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VinMap Pricing Structure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User tiers, product briefs, and feature packaging</w:t>
      </w:r>
    </w:p>
    <w:p>
      <w:pPr>
        <w:pStyle w:val="Heading1"/>
      </w:pPr>
      <w:r>
        <w:t>Pricing Structure</w:t>
      </w:r>
    </w:p>
    <w:tbl>
      <w:tblPr>
        <w:tblW w:type="dxa" w:w="94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350"/>
        <w:gridCol w:w="1600"/>
        <w:gridCol w:w="1700"/>
        <w:gridCol w:w="2100"/>
        <w:gridCol w:w="2710"/>
      </w:tblGrid>
      <w:tr>
        <w:tc>
          <w:tcPr>
            <w:tcW w:type="dxa" w:w="135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Tier</w:t>
            </w:r>
          </w:p>
        </w:tc>
        <w:tc>
          <w:tcPr>
            <w:tcW w:type="dxa" w:w="160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Price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User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Brief</w:t>
            </w:r>
          </w:p>
        </w:tc>
        <w:tc>
          <w:tcPr>
            <w:tcW w:type="dxa" w:w="271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Included Features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Explorer</w:t>
            </w:r>
          </w:p>
        </w:tc>
        <w:tc>
          <w:tcPr>
            <w:tcW w:type="dxa" w:w="16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Free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Visitors, students, early leads</w:t>
            </w:r>
          </w:p>
        </w:tc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Public Vietnam land and forest intelligence map.</w:t>
            </w:r>
          </w:p>
        </w:tc>
        <w:tc>
          <w:tcPr>
            <w:tcW w:type="dxa" w:w="2710"/>
            <w:vAlign w:val="center"/>
          </w:tcPr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color w:val="111827"/>
                <w:sz w:val="16"/>
              </w:rPr>
              <w:t>Vietnam map across 63 provinces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Forest cover and loss trends, 2000-2024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Forest-loss and fire hotspot visualization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Province stats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Limited news feed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Basic live forecast pulse</w:t>
            </w:r>
          </w:p>
        </w:tc>
      </w:tr>
      <w:tr>
        <w:tc>
          <w:tcPr>
            <w:tcW w:type="dxa" w:w="135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Individual</w:t>
            </w:r>
          </w:p>
        </w:tc>
        <w:tc>
          <w:tcPr>
            <w:tcW w:type="dxa" w:w="16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0.6M VND / user / year</w:t>
            </w:r>
          </w:p>
        </w:tc>
        <w:tc>
          <w:tcPr>
            <w:tcW w:type="dxa" w:w="17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Analysts, smallholders, consultants</w:t>
            </w:r>
          </w:p>
        </w:tc>
        <w:tc>
          <w:tcPr>
            <w:tcW w:type="dxa" w:w="21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Parcel checks and basic compliance workflow for one user.</w:t>
            </w:r>
          </w:p>
        </w:tc>
        <w:tc>
          <w:tcPr>
            <w:tcW w:type="dxa" w:w="2710"/>
            <w:shd w:fill="F7F9FB"/>
            <w:vAlign w:val="center"/>
          </w:tcPr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color w:val="111827"/>
                <w:sz w:val="16"/>
              </w:rPr>
              <w:t>Everything in Explorer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Full news feed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3 parcel assessments per month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Weather and soil data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Crop viability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Basic EUDR compliance check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5 saved assessments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3 PDF exports per month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Team / SME</w:t>
            </w:r>
          </w:p>
        </w:tc>
        <w:tc>
          <w:tcPr>
            <w:tcW w:type="dxa" w:w="16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3M VND / org / year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Exporters, traders, processors, SMEs</w:t>
            </w:r>
          </w:p>
        </w:tc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Operational EUDR and sourcing-risk workspace for a company.</w:t>
            </w:r>
          </w:p>
        </w:tc>
        <w:tc>
          <w:tcPr>
            <w:tcW w:type="dxa" w:w="2710"/>
            <w:vAlign w:val="center"/>
          </w:tcPr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color w:val="111827"/>
                <w:sz w:val="16"/>
              </w:rPr>
              <w:t>Everything in Individual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Unlimited parcel assessments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Investment score and suitability radar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Role-specific analysis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Unlimited PDF exports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50 saved assessments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Priority support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Optional API access</w:t>
            </w:r>
          </w:p>
        </w:tc>
      </w:tr>
      <w:tr>
        <w:tc>
          <w:tcPr>
            <w:tcW w:type="dxa" w:w="135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Enterprise / Gov</w:t>
            </w:r>
          </w:p>
        </w:tc>
        <w:tc>
          <w:tcPr>
            <w:tcW w:type="dxa" w:w="16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~400M VND / contract / year</w:t>
            </w:r>
          </w:p>
        </w:tc>
        <w:tc>
          <w:tcPr>
            <w:tcW w:type="dxa" w:w="17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Large exporters, banks, agencies, government</w:t>
            </w:r>
          </w:p>
        </w:tc>
        <w:tc>
          <w:tcPr>
            <w:tcW w:type="dxa" w:w="21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Custom deployment, integrations, SLA, and full AI suite.</w:t>
            </w:r>
          </w:p>
        </w:tc>
        <w:tc>
          <w:tcPr>
            <w:tcW w:type="dxa" w:w="2710"/>
            <w:shd w:fill="F7F9FB"/>
            <w:vAlign w:val="center"/>
          </w:tcPr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color w:val="111827"/>
                <w:sz w:val="16"/>
              </w:rPr>
              <w:t>Everything in Team / SME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Midori AI suite included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Unlimited API access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Custom dashboards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Local or private hosting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Multi-supplier tracking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Branded compliance reports</w:t>
            </w:r>
          </w:p>
          <w:p>
            <w:pPr>
              <w:pStyle w:val="ListBullet"/>
              <w:spacing w:after="20" w:line="264" w:lineRule="auto"/>
            </w:pPr>
            <w:r>
              <w:rPr>
                <w:rFonts w:ascii="Calibri" w:hAnsi="Calibri"/>
                <w:color w:val="111827"/>
                <w:sz w:val="16"/>
              </w:rPr>
              <w:t>Dedicated SLA support</w:t>
            </w:r>
          </w:p>
        </w:tc>
      </w:tr>
    </w:tbl>
    <w:p>
      <w:pPr>
        <w:pStyle w:val="Heading1"/>
      </w:pPr>
      <w:r>
        <w:t>Midori AI Add-On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100"/>
        <w:gridCol w:w="2200"/>
        <w:gridCol w:w="5060"/>
      </w:tblGrid>
      <w:tr>
        <w:tc>
          <w:tcPr>
            <w:tcW w:type="dxa" w:w="210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Product</w:t>
            </w:r>
          </w:p>
        </w:tc>
        <w:tc>
          <w:tcPr>
            <w:tcW w:type="dxa" w:w="220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Price</w:t>
            </w:r>
          </w:p>
        </w:tc>
        <w:tc>
          <w:tcPr>
            <w:tcW w:type="dxa" w:w="506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Brief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Midori Individual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+0.3M VND / user / year</w:t>
            </w:r>
          </w:p>
        </w:tc>
        <w:tc>
          <w:tcPr>
            <w:tcW w:type="dxa" w:w="50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Ask Midori, cited research answers, daily briefing, 20 AI research runs per month.</w:t>
            </w:r>
          </w:p>
        </w:tc>
      </w:tr>
      <w:tr>
        <w:tc>
          <w:tcPr>
            <w:tcW w:type="dxa" w:w="21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Midori Team</w:t>
            </w:r>
          </w:p>
        </w:tc>
        <w:tc>
          <w:tcPr>
            <w:tcW w:type="dxa" w:w="22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+1.5M VND / org / year</w:t>
            </w:r>
          </w:p>
        </w:tc>
        <w:tc>
          <w:tcPr>
            <w:tcW w:type="dxa" w:w="506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Team briefings, batch parcel analysis, auto EUDR report drafting, 500 API calls per day.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Enterprise AI</w:t>
            </w:r>
          </w:p>
        </w:tc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Included</w:t>
            </w:r>
          </w:p>
        </w:tc>
        <w:tc>
          <w:tcPr>
            <w:tcW w:type="dxa" w:w="50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Contract-defined AI usage, custom sources, and private deployment options.</w:t>
            </w:r>
          </w:p>
        </w:tc>
      </w:tr>
    </w:tbl>
    <w:p>
      <w:pPr>
        <w:pStyle w:val="Heading1"/>
      </w:pPr>
      <w:r>
        <w:t>Product Features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300"/>
        <w:gridCol w:w="5060"/>
        <w:gridCol w:w="2000"/>
      </w:tblGrid>
      <w:tr>
        <w:tc>
          <w:tcPr>
            <w:tcW w:type="dxa" w:w="230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Feature</w:t>
            </w:r>
          </w:p>
        </w:tc>
        <w:tc>
          <w:tcPr>
            <w:tcW w:type="dxa" w:w="506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Brief</w:t>
            </w:r>
          </w:p>
        </w:tc>
        <w:tc>
          <w:tcPr>
            <w:tcW w:type="dxa" w:w="200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Tier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Vietnam Forest Map</w:t>
            </w:r>
          </w:p>
        </w:tc>
        <w:tc>
          <w:tcPr>
            <w:tcW w:type="dxa" w:w="50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Interactive map for all 63 provinces with province-level forest context.</w:t>
            </w:r>
          </w:p>
        </w:tc>
        <w:tc>
          <w:tcPr>
            <w:tcW w:type="dxa" w:w="2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Explorer+</w:t>
            </w:r>
          </w:p>
        </w:tc>
      </w:tr>
      <w:tr>
        <w:tc>
          <w:tcPr>
            <w:tcW w:type="dxa" w:w="23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Province Analytics</w:t>
            </w:r>
          </w:p>
        </w:tc>
        <w:tc>
          <w:tcPr>
            <w:tcW w:type="dxa" w:w="506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Forest cover, forest loss, loss rate, crop, and regional risk context.</w:t>
            </w:r>
          </w:p>
        </w:tc>
        <w:tc>
          <w:tcPr>
            <w:tcW w:type="dxa" w:w="20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Explorer+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Forest Loss + Fire Layer</w:t>
            </w:r>
          </w:p>
        </w:tc>
        <w:tc>
          <w:tcPr>
            <w:tcW w:type="dxa" w:w="50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Visual overlay for forest-loss patterns and live NASA FIRMS fire hotspots.</w:t>
            </w:r>
          </w:p>
        </w:tc>
        <w:tc>
          <w:tcPr>
            <w:tcW w:type="dxa" w:w="2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Explorer+</w:t>
            </w:r>
          </w:p>
        </w:tc>
      </w:tr>
      <w:tr>
        <w:tc>
          <w:tcPr>
            <w:tcW w:type="dxa" w:w="23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News Layer</w:t>
            </w:r>
          </w:p>
        </w:tc>
        <w:tc>
          <w:tcPr>
            <w:tcW w:type="dxa" w:w="506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Geotagged Vietnam forestry, climate, agriculture, policy, and EUDR news.</w:t>
            </w:r>
          </w:p>
        </w:tc>
        <w:tc>
          <w:tcPr>
            <w:tcW w:type="dxa" w:w="20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Limited in Explorer; full in Individual+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Live Forecast Pulse</w:t>
            </w:r>
          </w:p>
        </w:tc>
        <w:tc>
          <w:tcPr>
            <w:tcW w:type="dxa" w:w="50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Auto-updating risk verdict combining forest trend, live fire activity, and 2030 projection.</w:t>
            </w:r>
          </w:p>
        </w:tc>
        <w:tc>
          <w:tcPr>
            <w:tcW w:type="dxa" w:w="2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Explorer+</w:t>
            </w:r>
          </w:p>
        </w:tc>
      </w:tr>
      <w:tr>
        <w:tc>
          <w:tcPr>
            <w:tcW w:type="dxa" w:w="23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Land Investment Assessment</w:t>
            </w:r>
          </w:p>
        </w:tc>
        <w:tc>
          <w:tcPr>
            <w:tcW w:type="dxa" w:w="506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Draw a parcel or select a province to produce a composite land suitability score.</w:t>
            </w:r>
          </w:p>
        </w:tc>
        <w:tc>
          <w:tcPr>
            <w:tcW w:type="dxa" w:w="20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Individual+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Weather + Soil Data</w:t>
            </w:r>
          </w:p>
        </w:tc>
        <w:tc>
          <w:tcPr>
            <w:tcW w:type="dxa" w:w="50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Climate and soil inputs for parcel-level assessment and crop fit.</w:t>
            </w:r>
          </w:p>
        </w:tc>
        <w:tc>
          <w:tcPr>
            <w:tcW w:type="dxa" w:w="2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Individual+</w:t>
            </w:r>
          </w:p>
        </w:tc>
      </w:tr>
      <w:tr>
        <w:tc>
          <w:tcPr>
            <w:tcW w:type="dxa" w:w="23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Crop Viability</w:t>
            </w:r>
          </w:p>
        </w:tc>
        <w:tc>
          <w:tcPr>
            <w:tcW w:type="dxa" w:w="506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Ranked crop recommendations with suitability, yield context, and demand signal.</w:t>
            </w:r>
          </w:p>
        </w:tc>
        <w:tc>
          <w:tcPr>
            <w:tcW w:type="dxa" w:w="20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Individual+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EUDR Plot Checker</w:t>
            </w:r>
          </w:p>
        </w:tc>
        <w:tc>
          <w:tcPr>
            <w:tcW w:type="dxa" w:w="50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Post-2020 forest-loss and alert workflow for compliance screening.</w:t>
            </w:r>
          </w:p>
        </w:tc>
        <w:tc>
          <w:tcPr>
            <w:tcW w:type="dxa" w:w="2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Individual+; deeper in Team+</w:t>
            </w:r>
          </w:p>
        </w:tc>
      </w:tr>
      <w:tr>
        <w:tc>
          <w:tcPr>
            <w:tcW w:type="dxa" w:w="23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Investment Score + Radar</w:t>
            </w:r>
          </w:p>
        </w:tc>
        <w:tc>
          <w:tcPr>
            <w:tcW w:type="dxa" w:w="506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Investor-friendly scorecard with suitability, regulatory, market, and vegetation factors.</w:t>
            </w:r>
          </w:p>
        </w:tc>
        <w:tc>
          <w:tcPr>
            <w:tcW w:type="dxa" w:w="20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Team+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Role-Based Insights</w:t>
            </w:r>
          </w:p>
        </w:tc>
        <w:tc>
          <w:tcPr>
            <w:tcW w:type="dxa" w:w="50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Assessment output tailored for exporters, traders, financiers, NGOs, and manufacturers.</w:t>
            </w:r>
          </w:p>
        </w:tc>
        <w:tc>
          <w:tcPr>
            <w:tcW w:type="dxa" w:w="2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Team+</w:t>
            </w:r>
          </w:p>
        </w:tc>
      </w:tr>
      <w:tr>
        <w:tc>
          <w:tcPr>
            <w:tcW w:type="dxa" w:w="23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PDF Reports</w:t>
            </w:r>
          </w:p>
        </w:tc>
        <w:tc>
          <w:tcPr>
            <w:tcW w:type="dxa" w:w="506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Printable compliance and province reports for internal or customer review.</w:t>
            </w:r>
          </w:p>
        </w:tc>
        <w:tc>
          <w:tcPr>
            <w:tcW w:type="dxa" w:w="20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Individual+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Saved Assessments</w:t>
            </w:r>
          </w:p>
        </w:tc>
        <w:tc>
          <w:tcPr>
            <w:tcW w:type="dxa" w:w="50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Store parcel and province assessments for repeat review.</w:t>
            </w:r>
          </w:p>
        </w:tc>
        <w:tc>
          <w:tcPr>
            <w:tcW w:type="dxa" w:w="2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Individual+</w:t>
            </w:r>
          </w:p>
        </w:tc>
      </w:tr>
      <w:tr>
        <w:tc>
          <w:tcPr>
            <w:tcW w:type="dxa" w:w="23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Midori Intelligence Profile</w:t>
            </w:r>
          </w:p>
        </w:tc>
        <w:tc>
          <w:tcPr>
            <w:tcW w:type="dxa" w:w="506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Business profile covering role, commodities, markets, sourcing provinces, and concerns.</w:t>
            </w:r>
          </w:p>
        </w:tc>
        <w:tc>
          <w:tcPr>
            <w:tcW w:type="dxa" w:w="20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Midori add-on / Enterprise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Midori Research Briefings</w:t>
            </w:r>
          </w:p>
        </w:tc>
        <w:tc>
          <w:tcPr>
            <w:tcW w:type="dxa" w:w="50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Cited research briefings that combine live news, forest data, fire signals, and business context.</w:t>
            </w:r>
          </w:p>
        </w:tc>
        <w:tc>
          <w:tcPr>
            <w:tcW w:type="dxa" w:w="2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Midori add-on / Enterprise</w:t>
            </w:r>
          </w:p>
        </w:tc>
      </w:tr>
      <w:tr>
        <w:tc>
          <w:tcPr>
            <w:tcW w:type="dxa" w:w="23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Midori Chat</w:t>
            </w:r>
          </w:p>
        </w:tc>
        <w:tc>
          <w:tcPr>
            <w:tcW w:type="dxa" w:w="506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Natural-language questions over VinMap data and latest briefing context.</w:t>
            </w:r>
          </w:p>
        </w:tc>
        <w:tc>
          <w:tcPr>
            <w:tcW w:type="dxa" w:w="20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Midori add-on / Enterprise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Batch Parcel Scanning</w:t>
            </w:r>
          </w:p>
        </w:tc>
        <w:tc>
          <w:tcPr>
            <w:tcW w:type="dxa" w:w="50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Run assessment and compliance workflows across multiple parcels.</w:t>
            </w:r>
          </w:p>
        </w:tc>
        <w:tc>
          <w:tcPr>
            <w:tcW w:type="dxa" w:w="2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Team add-on / Enterprise</w:t>
            </w:r>
          </w:p>
        </w:tc>
      </w:tr>
      <w:tr>
        <w:tc>
          <w:tcPr>
            <w:tcW w:type="dxa" w:w="23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API Access</w:t>
            </w:r>
          </w:p>
        </w:tc>
        <w:tc>
          <w:tcPr>
            <w:tcW w:type="dxa" w:w="506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Programmatic access for integrations and downstream dashboards.</w:t>
            </w:r>
          </w:p>
        </w:tc>
        <w:tc>
          <w:tcPr>
            <w:tcW w:type="dxa" w:w="2000"/>
            <w:shd w:fill="F7F9FB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Team add-on / Enterprise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11827"/>
                <w:sz w:val="17"/>
              </w:rPr>
              <w:t>Custom Dashboard + Hosting</w:t>
            </w:r>
          </w:p>
        </w:tc>
        <w:tc>
          <w:tcPr>
            <w:tcW w:type="dxa" w:w="50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Custom layers, dashboards, deployment, and private hosting options.</w:t>
            </w:r>
          </w:p>
        </w:tc>
        <w:tc>
          <w:tcPr>
            <w:tcW w:type="dxa" w:w="200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Enterprise / Gov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6"/>
      </w:rPr>
      <w:t>VinMap Pricing Structure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VinMap Pricing Structure</dc:title>
  <dc:subject>User tiers and product features</dc:subject>
  <dc:creator>VinMap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