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Figure S1. Plate-format microfluidic devices and axon regeneration across three DMSO-control plates.</w:t>
      </w:r>
      <w:r>
        <w:t xml:space="preserve"> </w:t>
      </w:r>
      <w:r>
        <w:t xml:space="preserve">Primary cortical neurons from one E18 rat embryo were cultured on three technical replicate plates. CTβ-647 labeling identified neurons whose axons reached the axon compartment before chemical axotomy on day 11 in vitro; regeneration was assessed 72 h later using calcein-AM imaging.</w:t>
      </w:r>
    </w:p>
    <w:p>
      <w:pPr>
        <w:pStyle w:val="BodyText"/>
      </w:pPr>
      <w:r>
        <w:rPr>
          <w:b/>
          <w:bCs/>
        </w:rPr>
        <w:t xml:space="preserve">(A)</w:t>
      </w:r>
      <w:r>
        <w:t xml:space="preserve"> </w:t>
      </w:r>
      <w:r>
        <w:t xml:space="preserve">Plate layout, device schematic, and PDMS rendering. The 48 devices occupy 96 wells on a standard 9 mm grid for multichannel pipetting and high-content imaging. Microchannels connect the soma and axon compartments; the highlighted interior region contains the 24 devices assessed per plate. Schematic scale bar, 5 mm.</w:t>
      </w:r>
    </w:p>
    <w:p>
      <w:pPr>
        <w:pStyle w:val="BodyText"/>
      </w:pPr>
      <w:r>
        <w:rPr>
          <w:b/>
          <w:bCs/>
        </w:rPr>
        <w:t xml:space="preserve">(B)</w:t>
      </w:r>
      <w:r>
        <w:t xml:space="preserve"> </w:t>
      </w:r>
      <w:r>
        <w:t xml:space="preserve">CTβ-positive cell count.</w:t>
      </w:r>
      <w:r>
        <w:t xml:space="preserve"> </w:t>
      </w:r>
      <w:r>
        <w:rPr>
          <w:b/>
          <w:bCs/>
        </w:rPr>
        <w:t xml:space="preserve">(C)</w:t>
      </w:r>
      <w:r>
        <w:t xml:space="preserve"> </w:t>
      </w:r>
      <w:r>
        <w:t xml:space="preserve">Total regenerating-axon skeleton length in the axon compartment (µm).</w:t>
      </w:r>
      <w:r>
        <w:t xml:space="preserve"> </w:t>
      </w:r>
      <w:r>
        <w:rPr>
          <w:b/>
          <w:bCs/>
        </w:rPr>
        <w:t xml:space="preserve">(D)</w:t>
      </w:r>
      <w:r>
        <w:t xml:space="preserve"> </w:t>
      </w:r>
      <w:r>
        <w:t xml:space="preserve">Hoechst 33342-positive nuclear count as a cellular-loading measure.</w:t>
      </w:r>
      <w:r>
        <w:t xml:space="preserve"> </w:t>
      </w:r>
      <w:r>
        <w:rPr>
          <w:b/>
          <w:bCs/>
        </w:rPr>
        <w:t xml:space="preserve">(E)</w:t>
      </w:r>
      <w:r>
        <w:t xml:space="preserve"> </w:t>
      </w:r>
      <w:r>
        <w:t xml:space="preserve">Axon skeleton length divided by the CTβ-positive cell count (µm/cell), expressing regeneration relative to initially connected neurons. Bars show mean ± SD; points represent devices. Five devices with counting artifacts were excluded from B and E and shown as red crosses: two on Plate 1 and three on Plate 2. Included sample sizes are 22, 21, and 24 in B and E, and 24 per plate in C and D.</w:t>
      </w:r>
    </w:p>
    <w:p>
      <w:pPr>
        <w:pStyle w:val="BodyText"/>
      </w:pPr>
      <w:r>
        <w:rPr>
          <w:b/>
          <w:bCs/>
        </w:rPr>
        <w:t xml:space="preserve">(F)</w:t>
      </w:r>
      <w:r>
        <w:t xml:space="preserve"> </w:t>
      </w:r>
      <w:r>
        <w:t xml:space="preserve">Left: immediate post-axotomy CTβ images showing axon removal at microchannel exits. Right: plate-position mosaics pairing CTβ-positive cell-body images with regenerating-axon images. Red outlines mark devices excluded from B and E.</w:t>
      </w:r>
    </w:p>
    <w:p>
      <w:pPr>
        <w:pStyle w:val="BodyText"/>
      </w:pPr>
      <w:r>
        <w:rPr>
          <w:b/>
          <w:bCs/>
        </w:rPr>
        <w:t xml:space="preserve">(G)</w:t>
      </w:r>
      <w:r>
        <w:t xml:space="preserve"> </w:t>
      </w:r>
      <w:r>
        <w:t xml:space="preserve">Enlarged representative devices from each plate, without (Untraced) and with (Traced) overlays. Cell-body images are on the left and regenerating axons on the right. Yellow overlays in F and G show cell segmentation and axon tracing. CTβ background correction and contrast adjustment were for display only. Scale bars in G, 500 µm. Images were stitched and analyzed with OpenHCS 0.5.15. CTβ, cholera toxin subunit β; DMSO, dimethyl sulfoxide; PDMS, polydimethylsiloxane.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2026-10-02T18:54:51Z</dcterms:created>
  <dcterms:modified xsi:type="dcterms:W3CDTF">2026-10-02T18:54:51Z</dcterms:modified>
</cp:coreProperties>
</file>

<file path=docProps/custom.xml><?xml version="1.0" encoding="utf-8"?>
<Properties xmlns="http://schemas.openxmlformats.org/officeDocument/2006/custom-properties" xmlns:vt="http://schemas.openxmlformats.org/officeDocument/2006/docPropsVTypes"/>
</file>