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SU-8/SUEX-patterned wafers.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OpenMFD also generated matching fabrication files for alternative compartment layouts.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w:t>
      </w:r>
      <w:r>
        <w:rPr>
          <w:rFonts w:ascii="Times New Roman" w:eastAsia="Times New Roman" w:hAnsi="Times New Roman" w:cs="Times New Roman"/>
          <w:color w:val="000000"/>
        </w:rPr>
        <w:t xml:space="preserve">that </w:t>
      </w:r>
      <w:r>
        <w:rPr>
          <w:rFonts w:ascii="Times New Roman" w:eastAsia="Times New Roman" w:hAnsi="Times New Roman" w:cs="Times New Roman"/>
          <w:color w:val="000000"/>
        </w:rPr>
        <w:t xml:space="preserve">can be combined into customizable neuronal culture configurations, whereas fluid-walled chambers support human neuronal microcircuits and moderate-throughput axotomy assays (PMIDs: 35466333; 38841815).</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w:t>
      </w:r>
      <w:r w:rsidRPr="00393B68">
        <w:rPr>
          <w:b w:val="0"/>
          <w:bCs/>
        </w:rPr>
        <w:lastRenderedPageBreak/>
        <w:t>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3FC3CBFD" w14:textId="77777777" w:rsidR="00CF477A" w:rsidRDefault="00CF477A" w:rsidP="00CF477A">
      <w:pPr>
        <w:jc w:val="both"/>
      </w:pPr>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The chamber margin is 17 times the nominal per-side clearance (Supplementary Table S3). Final alignment also depends on photolithographic registration and resin-printing precision. Importantly, the same </w:t>
      </w:r>
      <w:r>
        <w:rPr>
          <w:rFonts w:ascii="Times New Roman" w:hAnsi="Times New Roman"/>
          <w:color w:val="000000"/>
        </w:rPr>
        <w:lastRenderedPageBreak/>
        <w:t>array-transfer procedure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p>
    <w:p w14:paraId="182E7109" w14:textId="77777777" w:rsidR="00CF477A" w:rsidRDefault="00CF477A" w:rsidP="00CF477A">
      <w:pPr>
        <w:jc w:val="both"/>
      </w:pPr>
      <w:r>
        <w:rPr>
          <w:rFonts w:ascii="Times New Roman" w:hAnsi="Times New Roman"/>
          <w:color w:val="000000"/>
        </w:rPr>
        <w:t xml:space="preserve">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48-device array provides 96 culture wells on a standard 9 mm microplate grid, enabling multichannel pipetting and automated high-content imaging without instrument modification.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w:t>
      </w:r>
      <w:r>
        <w:rPr>
          <w:rFonts w:ascii="Times New Roman" w:hAnsi="Times New Roman"/>
          <w:color w:val="000000"/>
        </w:rPr>
        <w:lastRenderedPageBreak/>
        <w:t xml:space="preserve">neuronal experiments using 69 interior devices across three plates demonstrate assay feasibility but were performed using a single embryonic neuronal preparation.</w:t>
      </w:r>
    </w:p>
    <w:p w14:paraId="1DC3B9F6" w14:textId="77777777" w:rsidR="00CF477A" w:rsidRDefault="00CF477A" w:rsidP="00CF477A">
      <w:pPr>
        <w:jc w:val="both"/>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OpenMFD to arrange compartmentalized device layouts into plate-format arrays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and mold fabrication and casting outcomes. The per-device neuronal count table and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AEF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002696" cy="5753100"/>
            <wp:effectExtent l="0" t="0" r="0" b="0"/>
            <wp:docPr id="32" name="Picture"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002696" cy="57531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 µm parylene C; nominal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light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Henkel LOCTITE SI 5140 one-part alkoxy-cure RTV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Dendritic polyglycerol amine (dPGA;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Fluor-conjugated cholera toxin subunit B (CTβ-647).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Prepare Alexa Fluor 488- and Alexa Fluor 568-conjugated secondary antibodies, each at a 1:1000 dilution in phosphate-buffered saline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30 µL of 10 µg/mL dPGA to each culture well, incubate for 10 min, and wash once with sterile water. dPGA was selected as the neuronal culture substrate based on Clément et al. (2022).</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Maintain cultures for 11 days in vitro (DIV11) following the procedure of Harris et al. (2007),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Devices were excluded only when late-stage microbial contamination or an observable technical failure in culture or imaging prevented cell counting. Every usable count was included, whether high or low.</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In this experiment, 69 of the 72 interior devices had images suitable for cell counting. Three devices had late-stage contamination or a technical failure that prevented cell counting in the final image.</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Microscopy confirmed open channels after coating and casting.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