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Override PartName="/word/media/rId27.png" ContentType="image/png"/>
  <Override PartName="/word/media/rId20.png" ContentType="image/png"/>
  <Override PartName="/word/media/rId59.png" ContentType="image/png"/>
  <Override PartName="/word/media/rId63.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bookmarkStart w:id="45" w:name="X12ceffc4b83d42aed657f07f53ebec7c842ece4"/>
    <w:p>
      <w:pPr>
        <w:pStyle w:val="Heading1"/>
      </w:pPr>
      <w:r>
        <w:t xml:space="preserve">Plate-format PDMS microfluidic culture devices from hybrid SU-8/3D-printed resin wafer molds</w:t>
      </w:r>
    </w:p>
    <w:p>
      <w:pPr>
        <w:pStyle w:val="FirstParagraph"/>
      </w:pPr>
      <w:r>
        <w:rPr>
          <w:b/>
          <w:bCs/>
        </w:rPr>
        <w:t xml:space="preserve">Authors:</w:t>
      </w:r>
      <w:r>
        <w:t xml:space="preserve"> </w:t>
      </w:r>
      <w:r>
        <w:t xml:space="preserve">Tristan Simas, Yonatan Morocz, Jathav Puvirajan, David Juncker, and Alyson Fournier</w:t>
      </w:r>
      <w:r>
        <w:br/>
      </w:r>
      <w:r>
        <w:rPr>
          <w:b/>
          <w:bCs/>
        </w:rPr>
        <w:t xml:space="preserve">Affiliations:</w:t>
      </w:r>
      <w:r>
        <w:t xml:space="preserve"> </w:t>
      </w:r>
      <w:r>
        <w:t xml:space="preserve">McGill University</w:t>
      </w:r>
      <w:r>
        <w:br/>
      </w:r>
      <w:r>
        <w:rPr>
          <w:b/>
          <w:bCs/>
        </w:rPr>
        <w:t xml:space="preserve">Corresponding author:</w:t>
      </w:r>
      <w:r>
        <w:t xml:space="preserve"> </w:t>
      </w:r>
      <w:r>
        <w:t xml:space="preserve">Tristan Simas</w:t>
      </w:r>
    </w:p>
    <w:bookmarkStart w:id="9" w:name="abstract"/>
    <w:p>
      <w:pPr>
        <w:pStyle w:val="Heading2"/>
      </w:pPr>
      <w:r>
        <w:t xml:space="preserve">Abstract</w:t>
      </w:r>
    </w:p>
    <w:p>
      <w:pPr>
        <w:pStyle w:val="FirstParagraph"/>
      </w:pPr>
      <w:r>
        <w:t xml:space="preserve">Plate-format devices made from polydimethylsiloxane (PDMS), a silicone rubber, can combine spatially controlled cell culture with multichannel liquid handling and automated imaging, but pipette-accessible wells are often punched individually after curing. We developed a design and fabrication method for reusable silicon-wafer molds that combine microfeatures patterned in SU-8/SUEX light-sensitive resins with 3D-printed resin inserts to form all wells during casting. OpenMFD generates the photomasks and insert array from shared device dimensions so that the printed pins match the alignment-hole positions on the wafer. The inserts are then transferred and bonded as one array. Three molds produced more than 50 usable casts, and the most recent molds remained in use for more than 8 months without visible degradation. The tested plate contained 48 two-compartment devices with 96 wells on the standard 9 mm grid, supporting multichannel pipetting and imaging on unmodified high-content systems. Assays demonstrated directional tracer movement, primary cortical neuron culture, and retrograde axon labeling. Culture validation was limited to interior devices because growth was poorer at the plate edges. Once the mold is made, subsequent batches use benchtop casting and assembly, with all wells formed in each cast.</w:t>
      </w:r>
    </w:p>
    <w:bookmarkEnd w:id="9"/>
    <w:bookmarkStart w:id="10" w:name="introduction"/>
    <w:p>
      <w:pPr>
        <w:pStyle w:val="Heading2"/>
      </w:pPr>
      <w:r>
        <w:t xml:space="preserve">Introduction</w:t>
      </w:r>
    </w:p>
    <w:p>
      <w:pPr>
        <w:pStyle w:val="FirstParagraph"/>
      </w:pPr>
      <w:r>
        <w:t xml:space="preserve">Microfluidic devices give cell biologists spatial control over cell bodies, axons, local reagent exposure, gradients, migration, differentiation, and co-culture interactions. Established designs support applications across neuroscience, stem cell biology, cancer research, immunology, and developmental biology (Taylor et al., 2005; Taylor et al., 2015; Wang et al., 2018; Coquinco et al., 2014), and commercial devices are available from suppliers including Xona Microfluidics and ANANDA Devices. Plate-format devices extend these capabilities to experiments with many replicates using multichannel pipettes and automated imaging. For academic laboratories, custom designs and affordable local fabrication are important.</w:t>
      </w:r>
    </w:p>
    <w:p>
      <w:pPr>
        <w:pStyle w:val="BodyText"/>
      </w:pPr>
      <w:r>
        <w:t xml:space="preserve">Experiments with many biological replicates or treatment groups benefit from devices arranged for standard pipetting and long-term culture. Multiwell plates provide this format. Many academic laboratories make custom devices from polydimethylsiloxane (PDMS), a silicone rubber. They use light-based patterning (photolithography) to fabricate a reusable mold, then cast the devices, remove them from the mold (demolding), and bond them to glass. Commercial plates and hard-plastic methods based on hot embossing (pressing heated plastic against a mold), computer-controlled milling, or injection molding provide alternatives. For many academic biology groups, having a shared cleanroom fabricate a reusable mold is more accessible than acquiring precision molding or machining equipment. The laboratory can then cast and assemble devices on the bench. Hard-plastic methods require specialized equipment during each production run and may still require photolithography or another high-resolution process to define the micrometer-scale channels (Supplementary Table S2).</w:t>
      </w:r>
    </w:p>
    <w:p>
      <w:pPr>
        <w:pStyle w:val="BodyText"/>
      </w:pPr>
      <w:r>
        <w:t xml:space="preserve">The fabrication challenge is the difference in scale between micrometer-sized channels and millimeter-deep wells. Patterning the light-sensitive resin SU-8 reliably forms the channels, whereas pipette-accessible openings are commonly punched into the PDMS after curing. Laser removal of material (ablation), direct printing, hot embossing, hard-plastic fabrication, and modular inserts combine these scales using different equipment and added operations (Supplementary Table S2). Resin 3D printing can produce molds for PDMS casting as well as parts incorporated directly into the finished device. The choice of printer, resin, print orientation, and post-treatment affects printing accuracy and biological compatibility (Meynard et al., 2025; Venzac, 2025). Manually placed 3D-printed metal inserts have also been bonded to SU-8 molds to form open compartments around photolithographic microtunnels in neural co-culture devices (Ristola et al., 2019).</w:t>
      </w:r>
    </w:p>
    <w:p>
      <w:pPr>
        <w:pStyle w:val="BodyText"/>
      </w:pPr>
      <w:r>
        <w:t xml:space="preserve">Our approach uses shared design dimensions and transfers the entire insert array in one step to make a reusable mold. OpenMFD defines the microfeatures, insert pins, and matching SUEX alignment holes in the same coordinate system and applies the same correction for PDMS shrinkage to the masks and inserts. The matching positions allow the printed inserts to be aligned with the wafer as one array. A compressible backing accommodates pin-height differences during bonding. The bonded inserts remain in the mold and form every well in subsequent PDMS casts, so each batch follows the usual casting and assembly sequence.</w:t>
      </w:r>
    </w:p>
    <w:p>
      <w:pPr>
        <w:pStyle w:val="BodyText"/>
      </w:pPr>
      <w:r>
        <w:t xml:space="preserve">We evaluated the method using a compartmentalized neuronal culture device, from file generation and mold fabrication through repeated casting, plate handling, imaging, tracer-movement testing, and long-term culture. We also examined how the same design method generates matching masks, inserts, and frames for three literature-inspired layouts.</w:t>
      </w:r>
    </w:p>
    <w:bookmarkEnd w:id="10"/>
    <w:bookmarkStart w:id="19" w:name="materials-and-methods"/>
    <w:p>
      <w:pPr>
        <w:pStyle w:val="Heading2"/>
      </w:pPr>
      <w:r>
        <w:t xml:space="preserve">Materials and Methods</w:t>
      </w:r>
    </w:p>
    <w:p>
      <w:pPr>
        <w:pStyle w:val="FirstParagraph"/>
      </w:pPr>
      <w:r>
        <w:t xml:space="preserve">The two-compartment design was fabricated and evaluated through casting, assembly, directional tracer movement, neuronal culture, and imaging. Supplementary Protocol S1 describes routine device production and assays; Supplementary Protocol S2 describes one-time hybrid mold fabrication.</w:t>
      </w:r>
    </w:p>
    <w:bookmarkStart w:id="11" w:name="X64fbadb3544a79fd93e61bb7f6f27586ff5bf27"/>
    <w:p>
      <w:pPr>
        <w:pStyle w:val="Heading3"/>
      </w:pPr>
      <w:r>
        <w:t xml:space="preserve">OpenMFD design and fabrication-file generation</w:t>
      </w:r>
    </w:p>
    <w:p>
      <w:pPr>
        <w:pStyle w:val="FirstParagraph"/>
      </w:pPr>
      <w:r>
        <w:t xml:space="preserve">OpenMFD (</w:t>
      </w:r>
      <w:r>
        <w:rPr>
          <w:rStyle w:val="VerbatimChar"/>
        </w:rPr>
        <w:t xml:space="preserve">https://github.com/trissim/OpenMFD</w:t>
      </w:r>
      <w:r>
        <w:t xml:space="preserve">) generated photomasks, insert arrays, wafer outlines, cutting guides, and plate frames from shared well, chamber, channel, and array dimensions (Figure 1). Device shapes were defined in OpenSCAD design software using the SolidPython library and exported as two-dimensional DXF mask drawings for each layer and three-dimensional STL models of the inserts and frames. Matching solid and hollow marks were used to align the photolithographic layers. The pin positions in the insert STL and the hole positions in the SUEX photomask came from the same coordinates, allowing the printed array to be aligned with the patterned wafer as a unit.</w:t>
      </w:r>
    </w:p>
    <w:p>
      <w:pPr>
        <w:pStyle w:val="BodyText"/>
      </w:pPr>
      <w:r>
        <w:t xml:space="preserve">The tested design contained a 6 × 8 array of two-well units spaced 18 × 9 mm apart, giving 48 devices and 96 wells on a 9 mm grid. Each device had 62 microchannels with a design width of 10 µm and an interchannel gap of 30 µm. Matching masks and inserts received a horizontal scale factor of 1.0226 (2.26% enlargement) for the 100°C PDMS cure. Supplementary Table S3 gives the nominal device, channel, pin, taper, and frame dimensions used to generate the fabrication files.</w:t>
      </w:r>
    </w:p>
    <w:p>
      <w:pPr>
        <w:pStyle w:val="BodyText"/>
      </w:pPr>
      <w:r>
        <w:t xml:space="preserve">OpenMFD also generated matched photomasks, inserts, wafer outlines, and frames for three literature-inspired layouts: oligodendrocyte myelination (Kerman et al., 2015), axon guidance with gradients at right angles to each other (Taylor et al., 2015), and a three-compartment assay (Coquinco et al., 2014). These devices were not fabricated or biologically tested (Supplementary Table S3).</w:t>
      </w:r>
    </w:p>
    <w:bookmarkEnd w:id="11"/>
    <w:bookmarkStart w:id="12" w:name="hybrid-mold-fabrication"/>
    <w:p>
      <w:pPr>
        <w:pStyle w:val="Heading3"/>
      </w:pPr>
      <w:r>
        <w:t xml:space="preserve">Hybrid mold fabrication</w:t>
      </w:r>
    </w:p>
    <w:p>
      <w:pPr>
        <w:pStyle w:val="FirstParagraph"/>
      </w:pPr>
      <w:r>
        <w:t xml:space="preserve">The mold comprised two 5 µm layers of SU-8 2005 liquid photoresist (Kayaku Advanced Materials), a 200 µm layer of SUEX K200 dry-film photoresist (DJ MicroLaminates), and a printed resin-insert array on a 6-inch silicon wafer (UniversityWafer ID857). These photoresists are light-sensitive resins used to pattern the mold features. SU-8 was spread by spinning the wafer (spin-coating) using a Laurell WS-650-8B, SUEX was laminated using an SK 335R6, and photolithographic layers were aligned and exposed using an EVG620. Unless otherwise noted, materials were processed according to the manufacturers’ instructions; the SU-8 2005 procedure targeted a 5 µm layer. Changes to the manufacturers’ procedures are described below and in Supplementary Protocol S2. No dehydration bake or HMDS adhesion-promoter treatment was used. Facility-supplied propylene glycol monomethyl ether acetate (PGMEA) was the developer solvent used to remove unexposed material from both photoresists.</w:t>
      </w:r>
    </w:p>
    <w:p>
      <w:pPr>
        <w:pStyle w:val="BodyText"/>
      </w:pPr>
      <w:r>
        <w:rPr>
          <w:b/>
          <w:bCs/>
        </w:rPr>
        <w:t xml:space="preserve">Layer 1 (base):</w:t>
      </w:r>
      <w:r>
        <w:t xml:space="preserve"> </w:t>
      </w:r>
      <w:r>
        <w:t xml:space="preserve">SU-8 2005 was spin-coated to a 5 µm target thickness, flood-exposed without a mask, and left undeveloped beneath the patterned microchannel layer (Supplementary Note S2).</w:t>
      </w:r>
    </w:p>
    <w:p>
      <w:pPr>
        <w:pStyle w:val="BodyText"/>
      </w:pPr>
      <w:r>
        <w:rPr>
          <w:b/>
          <w:bCs/>
        </w:rPr>
        <w:t xml:space="preserve">Layer 2 (microchannels):</w:t>
      </w:r>
      <w:r>
        <w:t xml:space="preserve"> </w:t>
      </w:r>
      <w:r>
        <w:t xml:space="preserve">A second 5 µm SU-8 2005 layer was exposed through the microchannel photomask and developed. Before SUEX lamination, the wafer bearing the approximately 10 µm SU-8 stack was placed directly in an oven at 150°C for 10 min, then removed without controlled heating or cooling.</w:t>
      </w:r>
    </w:p>
    <w:p>
      <w:pPr>
        <w:pStyle w:val="BodyText"/>
      </w:pPr>
      <w:r>
        <w:rPr>
          <w:b/>
          <w:bCs/>
        </w:rPr>
        <w:t xml:space="preserve">Layer 3 (wells):</w:t>
      </w:r>
      <w:r>
        <w:t xml:space="preserve"> </w:t>
      </w:r>
      <w:r>
        <w:t xml:space="preserve">SUEX K200 dry film (200 µm) defined the well features and insert-alignment holes. The SUEX was exposed at 2800 mJ/cm² through an LP360 long-pass optical filter to block shorter-wavelength ultraviolet light. After exposure, the oven was heated from room temperature to 50°C at 1°C/min, held at 50°C for at least 12 h overnight, then switched off and allowed to cool. The wafer was submerged in developer and mixed for 20 min; the developer was replaced at 15 min. For the hard bake, the oven was heated to 120°C at 3°C/min, held for 30 min, then switched off and allowed to cool.</w:t>
      </w:r>
    </w:p>
    <w:p>
      <w:pPr>
        <w:pStyle w:val="BodyText"/>
      </w:pPr>
      <w:r>
        <w:t xml:space="preserve">Well inserts were printed at their final relative positions using an Elegoo Mars 3 Pro and Siraya Tech Sculpt Clear resin. The profile used 20 µm layers, 5.5 s normal exposure, 50 s bottom exposure, 7 bottom layers, edge smoothing (anti-aliasing) at grey level 2, and no shrinkage or tolerance compensation in the print-preparation software. Supplementary Table S4 provides the remaining motion, timing, washing, and UV post-cure settings. Each insert had a 1.85 × 1.85 mm alignment pin corresponding to a 2.0 × 2.0 mm SUEX hole, giving 150 µm total clearance (75 µm per side).</w:t>
      </w:r>
    </w:p>
    <w:p>
      <w:pPr>
        <w:pStyle w:val="BodyText"/>
      </w:pPr>
      <w:r>
        <w:t xml:space="preserve">The inserts were kept on a detachable flexible metal build plate so the whole array could be transferred at once. EPO-TEK 301-2 epoxy adhesive was applied around each pin, and the mold was positioned until the pins seated in their SUEX holes. An EPDM rubber sheet (0.03125 inch thick; Shore A hardness 60) between the fixed magnet and removable build plate provided a compressible backing; a second flat plate and clamps distributed pressure across the assembly (Figure 2). The clamped assembly was washed in two successive 1 min acetone baths, thoroughly blow-dried, and cured at room temperature for 48 h. After curing, the assembly was cleaned in an ultrasonic acetone bath for 10 min to remove residual material. The flexible metal build plate was flexed to release the bonded array (Supplementary Protocol S2).</w:t>
      </w:r>
    </w:p>
    <w:p>
      <w:pPr>
        <w:pStyle w:val="BodyText"/>
      </w:pPr>
      <w:r>
        <w:t xml:space="preserve">After bonding, the hybrid mold received a 1 µm coating of the polymer parylene C to separate the printed resin and adhesive from the cast PDMS and aid release during demolding (Musgrove et al., 2023; Chen et al., 2013). Parylene was deposited using a Specialty Coating Systems SCS 200 coater at the McGill Nanotools Microfab facility. The specified channel dimensions are the design dimensions before parylene coating.</w:t>
      </w:r>
    </w:p>
    <w:bookmarkEnd w:id="12"/>
    <w:bookmarkStart w:id="13" w:name="pdms-casting-and-plate-assembly"/>
    <w:p>
      <w:pPr>
        <w:pStyle w:val="Heading3"/>
      </w:pPr>
      <w:r>
        <w:t xml:space="preserve">PDMS casting and plate assembly</w:t>
      </w:r>
    </w:p>
    <w:p>
      <w:pPr>
        <w:pStyle w:val="FirstParagraph"/>
      </w:pPr>
      <w:r>
        <w:t xml:space="preserve">Frames were generated with the other fabrication files and printed in high-impact polystyrene (HIPS), a rubber-modified plastic, on an enclosed Creality K1C using a 0.4 mm nozzle, 0.20 mm layers, a 220°C nozzle, and a 100°C build plate. The remaining printing settings are listed in Supplementary Table S6 and included in the supplied Creality Print 6.0.4 G-code printer-instruction file.</w:t>
      </w:r>
    </w:p>
    <w:p>
      <w:pPr>
        <w:pStyle w:val="BodyText"/>
      </w:pPr>
      <w:r>
        <w:t xml:space="preserve">PDMS (Sylgard 184) was mixed at a 10:1 base:curing-agent ratio and poured over the full wafer within an aluminum-foil reservoir. The fill level remained below the insert tops to leave the wells open. Filled molds were supported in a six-shelf metal wafer rack, degassed until visible bubbles were removed (typically 10–30 min; approximately −15 inHg in our setup), and cured for 1 h at 100°C. Multiple molds could be degassed and cured in parallel.</w:t>
      </w:r>
    </w:p>
    <w:p>
      <w:pPr>
        <w:pStyle w:val="BodyText"/>
      </w:pPr>
      <w:r>
        <w:t xml:space="preserve">The large mold features had tapered sidewalls to aid demolding, following the same design principle used in earlier multiscale PDMS molds (Park et al., 2010; Ristola et al., 2019). The wafer was supported on a flat surface, and peeling proceeded from the corners toward the center while the PDMS was pulled backward to reduce local stress on the wafer.</w:t>
      </w:r>
    </w:p>
    <w:p>
      <w:pPr>
        <w:pStyle w:val="BodyText"/>
      </w:pPr>
      <w:r>
        <w:t xml:space="preserve">A rectangular guide molded around the array was aligned to an industrial paper guillotine to trim each cast to 108 × 72 mm. The trimmed PDMS and a 110 × 74 × 0.17 mm coverslip-glass sheet were activated with dry-air plasma for 1 min at 200–600 mTorr in a Harrick PDC-001, brought into contact, and heated at 100°C for at least 1 min under uniform pressure (Supplementary Protocol S1).</w:t>
      </w:r>
    </w:p>
    <w:p>
      <w:pPr>
        <w:pStyle w:val="BodyText"/>
      </w:pPr>
      <w:r>
        <w:t xml:space="preserve">The bonded PDMS-on-glass assembly was autoclaved in a sterilization pouch at 121°C for 15 min before frame assembly. The frame was decontaminated with 70% ethanol and inverted so that its adhesive groove faced upward. Henkel LOCTITE SI 5140 (3 oz tube, IDH 135264), a one-part silicone sealant that cures at room temperature, was dispensed into the groove (typically 0.5–1 mL per frame) (Henkel, 2023). The bonded device was inverted with the glass facing upward and seated into the frame. After a 3-day room-temperature cure, the assembly was turned upright and excess adhesive was trimmed with a razor blade.</w:t>
      </w:r>
    </w:p>
    <w:p>
      <w:pPr>
        <w:pStyle w:val="BodyText"/>
      </w:pPr>
      <w:r>
        <w:t xml:space="preserve">After adhesive curing, the assembled device received a second dry-air plasma treatment (Harrick PDC-001; high power, 30 W, 10 min, 400 mTorr) before aqueous coating and culture. This surface-treatment step was distinct from the earlier 1-min PDMS-glass bonding treatment.</w:t>
      </w:r>
    </w:p>
    <w:bookmarkEnd w:id="13"/>
    <w:bookmarkStart w:id="14" w:name="mold-and-device-characterization"/>
    <w:p>
      <w:pPr>
        <w:pStyle w:val="Heading3"/>
      </w:pPr>
      <w:r>
        <w:t xml:space="preserve">Mold and device characterization</w:t>
      </w:r>
    </w:p>
    <w:p>
      <w:pPr>
        <w:pStyle w:val="FirstParagraph"/>
      </w:pPr>
      <w:r>
        <w:t xml:space="preserve">Each pin height was measured individually with a micrometer at all 96 positions of one 8 × 12 printed array before bonding. Supplementary Table S1 reports the individual values, mean, standard deviation, and difference between the tallest and shortest pins. Molds and casts were inspected to check that the SU-8/SUEX features remained attached, the inserts were seated and bonded, and the cast wells and microchannels were open and intact. Microscopy was used to inspect the channels after coating and casting. Supplementary Table S5 reports mold numbers and usable-cast yield separately and defines a usable cast.</w:t>
      </w:r>
    </w:p>
    <w:p>
      <w:pPr>
        <w:pStyle w:val="BodyText"/>
      </w:pPr>
      <w:r>
        <w:t xml:space="preserve">Printed frames and assembled joints were inspected visually while selecting frame materials. Frame adhesives were screened by whether primary cortical-neuron cultures survived to the end of the experiment. Cell toxicity was not quantified.</w:t>
      </w:r>
    </w:p>
    <w:p>
      <w:pPr>
        <w:pStyle w:val="BodyText"/>
      </w:pPr>
      <w:r>
        <w:t xml:space="preserve">To test whether cells could grow at the outer positions without the frame, one PDMS device was bonded to glass without a frame or frame adhesive and placed in a 14.5 cm-diameter polystyrene culture dish. This control removed both the frame assembly and the sealing effect of the frame adhesive.</w:t>
      </w:r>
    </w:p>
    <w:p>
      <w:pPr>
        <w:pStyle w:val="BodyText"/>
      </w:pPr>
      <w:r>
        <w:t xml:space="preserve">Eight tips were fitted to a 12-channel pipette and aligned with one plate column to fill eight wells in parallel. Compatibility with plate-format imaging was tested by focusing and collecting images on Opera Phenix Plus and ImageXpress Micro Confocal microscopes at the Early Drug Discovery Unit (EDDU), The Neuro, McGill University, without custom plate handling or instrument modification.</w:t>
      </w:r>
    </w:p>
    <w:bookmarkEnd w:id="14"/>
    <w:bookmarkStart w:id="15" w:name="fluorescent-tracer-assay"/>
    <w:p>
      <w:pPr>
        <w:pStyle w:val="Heading3"/>
      </w:pPr>
      <w:r>
        <w:t xml:space="preserve">Fluorescent tracer assay</w:t>
      </w:r>
    </w:p>
    <w:p>
      <w:pPr>
        <w:pStyle w:val="FirstParagraph"/>
      </w:pPr>
      <w:r>
        <w:t xml:space="preserve">Tracer distributions were compared immediately after loading and after 72 h in 24 two-compartment devices. Alexa Fluor 568-conjugated secondary antibody diluted 1:1000 in phosphate-buffered saline (PBS) was loaded at 25 µL into the left compartment, and Alexa Fluor 488-conjugated secondary antibody diluted 1:1000 in PBS was loaded at 50 µL into the right compartment. The volume difference was established once, and the devices were kept in a cell-culture incubator for 72 h without replenishment or volume adjustment. Images were acquired in widefield mode using a 10× objective with a numerical aperture (NA) of 0.30, 2 × 2 camera binning, a 100 ms exposure, and red and green channels suited to the two fluorophores. Tracer movement was assessed visually by comparing green fluorescence appearing in the initially lower-volume compartment with red fluorescence appearing in the opposite compartment. Flow rate and the duration of the pressure difference were not measured.</w:t>
      </w:r>
    </w:p>
    <w:bookmarkEnd w:id="15"/>
    <w:bookmarkStart w:id="16" w:name="X1c32300148b051623a707f334fc1fb77d759c40"/>
    <w:p>
      <w:pPr>
        <w:pStyle w:val="Heading3"/>
      </w:pPr>
      <w:r>
        <w:t xml:space="preserve">Primary cortical neuron culture and CTβ retrograde axon tracing</w:t>
      </w:r>
    </w:p>
    <w:p>
      <w:pPr>
        <w:pStyle w:val="FirstParagraph"/>
      </w:pPr>
      <w:r>
        <w:t xml:space="preserve">Primary cortical neurons were isolated from one embryonic day 18 (E18) Sprague Dawley rat embryo following Harris et al. (2007), then distributed across three separately assembled plates. Routine culture maintenance followed the cited protocol, with the device-specific conditions described below. The three plates were technical replicates of a single neuronal preparation. Dendritic polyglycerol amine (dPGA; DendroTEK Biosciences) was selected as the cell-attachment coating based on Clément et al. (2022). Wells were coated with 30 µL of 10 µg/mL dPGA for 10 min and washed once with water. Neurons were seeded into the cell-body (soma) compartment in 50 µL Dulbecco’s modified Eagle medium (DMEM) containing 10% fetal bovine serum (FBS) at 5,000–10,000 cells per well, allowed to attach for at least 30 min, and then switched to supplemented Neurobasal Plus medium (1% N2, 2% B27, 1% glutamine). Volumes of 50 µL in the soma compartment and 25 µL in the axon compartment created a small pressure difference that directed fluid from the soma compartment toward the axon compartment during culture.</w:t>
      </w:r>
    </w:p>
    <w:p>
      <w:pPr>
        <w:pStyle w:val="BodyText"/>
      </w:pPr>
      <w:r>
        <w:t xml:space="preserve">Cultures were maintained for 11 days in vitro (DIV11). At DIV10, Alexa Fluor-conjugated cholera toxin subunit B (CTβ-647) was applied to the lower-volume axon compartment at 1 µg/mL. CTβ-positive neuronal cell bodies were counted 24 h later, with one count per analyzed device. Analysis was restricted to the 24 interior devices on each plate because culture performance was poorer at the plate edges. Devices were excluded only when contamination or a technical failure prevented cell counting in the final image; high or low cell counts alone were not grounds for exclusion. Supplementary Protocol S1 provides the complete procedure.</w:t>
      </w:r>
    </w:p>
    <w:bookmarkEnd w:id="16"/>
    <w:bookmarkStart w:id="17" w:name="imaging-and-cell-counting"/>
    <w:p>
      <w:pPr>
        <w:pStyle w:val="Heading3"/>
      </w:pPr>
      <w:r>
        <w:t xml:space="preserve">Imaging and cell counting</w:t>
      </w:r>
    </w:p>
    <w:p>
      <w:pPr>
        <w:pStyle w:val="FirstParagraph"/>
      </w:pPr>
      <w:r>
        <w:t xml:space="preserve">CTβ images were collected at DIV11 in widefield mode on a PerkinElmer Opera Phenix Plus at EDDU using a 10×/0.30 NA objective, 2 × 2 camera binning, and laser autofocus. The effective pixel size was 1.187 µm. Brightfield images used a 10 ms exposure; Alexa 647 images used 640 nm excitation, 706 nm emission, and a 100 ms exposure.</w:t>
      </w:r>
    </w:p>
    <w:p>
      <w:pPr>
        <w:pStyle w:val="BodyText"/>
      </w:pPr>
      <w:r>
        <w:t xml:space="preserve">For each device, images were collected at 35 positions (7 × 5 grid) on Plates 1 and 2 and 42 positions (7 × 6 grid) on Plate 3, with approximately 10% overlap. These images were stitched into one image per device. The PDMS array on Plate 3 was shifted slightly rightward during gluing, so a larger area was imaged to capture more microchannel exits. Each stitched image was aligned to a reference brightfield image and cropped to the same area for cell counting, regardless of the number of imaging positions. One cell count was recorded per analyzed device. These were baseline images collected before axotomy; Supplementary Protocol S1 describes the dataset. The supplementary files include the microscope’s saved settings and image positions for Plate 1 in XML format.</w:t>
      </w:r>
    </w:p>
    <w:bookmarkEnd w:id="17"/>
    <w:bookmarkStart w:id="18" w:name="statistical-analysis-and-reporting"/>
    <w:p>
      <w:pPr>
        <w:pStyle w:val="Heading3"/>
      </w:pPr>
      <w:r>
        <w:t xml:space="preserve">Statistical analysis and reporting</w:t>
      </w:r>
    </w:p>
    <w:p>
      <w:pPr>
        <w:pStyle w:val="FirstParagraph"/>
      </w:pPr>
      <w:r>
        <w:t xml:space="preserve">Supplementary Table S5 lists the numbers of molds and usable casts. All three culture plates contained neurons isolated from the same E18 rat embryo. The plates and the devices within them are therefore technical replicates. Figure 4C shows the mean number of CTβ-positive cell bodies per device for each plate, with the standard deviation across the analyzed interior devices. These summaries describe variation within this experiment.</w:t>
      </w:r>
    </w:p>
    <w:bookmarkEnd w:id="18"/>
    <w:bookmarkEnd w:id="19"/>
    <w:bookmarkStart w:id="39" w:name="results"/>
    <w:p>
      <w:pPr>
        <w:pStyle w:val="Heading2"/>
      </w:pPr>
      <w:r>
        <w:t xml:space="preserve">Results</w:t>
      </w:r>
    </w:p>
    <w:bookmarkStart w:id="26" w:name="X717742940894183eb5e8d72814c742e7eaec3b8"/>
    <w:p>
      <w:pPr>
        <w:pStyle w:val="Heading3"/>
      </w:pPr>
      <w:r>
        <w:t xml:space="preserve">Hybrid molds form all 96 wells in a single cast</w:t>
      </w:r>
    </w:p>
    <w:p>
      <w:pPr>
        <w:pStyle w:val="FirstParagraph"/>
      </w:pPr>
      <w:r>
        <w:t xml:space="preserve">OpenMFD generated the photomasks and printed insert array from shared device dimensions, keeping the microfeatures and wells aligned (Figure 1). Matching pins and alignment holes allowed all 96 inserts to be positioned together on the patterned wafer. The completed mold combined SU-8 microchannels, a SUEX well layer, and millimeter-tall resin inserts. During PDMS casting, the inserts formed all 96 wells at once, eliminating individual well punching.</w:t>
      </w:r>
    </w:p>
    <w:p>
      <w:pPr>
        <w:pStyle w:val="BodyText"/>
      </w:pPr>
      <w:r>
        <w:t xml:space="preserve">Flat SUEX surfaces were needed for the inserts to form a continuous epoxy seal. Exposure without an LP360 long-pass filter produced raised edges that interfered with sealing. Filtered exposure substantially reduced these ridges and provided a flatter bonding surface (Supplementary Note S1).</w:t>
      </w:r>
    </w:p>
    <w:p>
      <w:pPr>
        <w:pStyle w:val="BodyText"/>
      </w:pPr>
      <w:r>
        <w:t xml:space="preserve">The thin SU-8 features also needed to remain attached through SUEX processing and insert bonding. Microchannel features patterned directly on bare silicon detached from the wafer. An SU-8 base layer exposed uniformly without a mask prevented this observed failure. A high-temperature bake before SUEX lamination further improved layer adhesion. In an eight-wafer development batch without this bake, some wafers showed warping and layer separation around the well features during cooling after SUEX processing. Both wafers in a subsequent batch with the 150°C, 10 min bake remained intact (Supplementary Note S2).</w:t>
      </w:r>
    </w:p>
    <w:p>
      <w:pPr>
        <w:pStyle w:val="BodyText"/>
      </w:pPr>
      <w:r>
        <w:t xml:space="preserve">Bonding the entire insert array required contact across all inserts despite differences in pin height. The measured height range was 116 µm across one 8 × 12 array (Supplementary Table S1). With rigid clamping, pressure was uneven across the array. A compressible EPDM rubber sheet backing accommodated the height differences and allowed all pins to seat together. Slow heating at 1–3°C/min during SUEX processing, release from a flexible metal build plate, and room-temperature epoxy curing were used to reduce wafer stress and insert detachment.</w:t>
      </w:r>
    </w:p>
    <w:p>
      <w:pPr>
        <w:pStyle w:val="BodyText"/>
      </w:pPr>
      <w:r>
        <w:t xml:space="preserve">With the final process, bonding surfaces were visibly flat, SU-8 features remained attached, and inserts seated in their alignment holes. The parylene-coated molds released cured PDMS without a silane release treatment (silanization). Microscopy showed open channels in the resulting casts. Channel dimensions are reported as nominal values before parylene coating. Dimensional accuracy in the casts remains to be measured.</w:t>
      </w:r>
    </w:p>
    <w:p>
      <w:pPr>
        <w:pStyle w:val="BodyText"/>
      </w:pPr>
      <w:r>
        <w:t xml:space="preserve">Five wafer-scale hybrid molds were assembled using the final protocol. Three entered routine use and together produced more than 50 usable casts. One wafer broke during demolding; another was lost when PDMS leaked beneath it and cured in the casting rack. Supplementary Table S5 defines a usable cast and reports the mold and cast outcomes. The most recent molds remained in active use for more than 8 months without visible degradation.</w:t>
      </w:r>
    </w:p>
    <w:bookmarkEnd w:id="26"/>
    <w:bookmarkStart w:id="30" w:name="X71bb6a6148541b8fcc061f2cdde205718e37255"/>
    <w:p>
      <w:pPr>
        <w:pStyle w:val="Heading3"/>
      </w:pPr>
      <w:r>
        <w:t xml:space="preserve">Cast devices are compatible with plate-format handling and imaging</w:t>
      </w:r>
    </w:p>
    <w:p>
      <w:pPr>
        <w:pStyle w:val="FirstParagraph"/>
      </w:pPr>
      <w:r>
        <w:t xml:space="preserve">Each PDMS cast contained the complete well array. Multiple molds could be poured, degassed, and cured in parallel. The 96 wells follow the standard 9 mm grid. Eight wells were filled together with a multichannel pipette.</w:t>
      </w:r>
    </w:p>
    <w:p>
      <w:pPr>
        <w:pStyle w:val="BodyText"/>
      </w:pPr>
      <w:r>
        <w:t xml:space="preserve">HIPS and polypropylene plastics were evaluated as frame materials. HIPS showed less visible warping in our printing trials and was selected for assembly. Polypropylene warpage during extrusion printing has been described previously (Spoerk et al., 2020).</w:t>
      </w:r>
    </w:p>
    <w:p>
      <w:pPr>
        <w:pStyle w:val="BodyText"/>
      </w:pPr>
      <w:r>
        <w:t xml:space="preserve">LOCTITE SI 5140 was the only frame adhesive tested that supported primary cortical-neuron cultures to the end of the experiment; cultures did not survive with any of the other screened adhesives. SI 5140 also formed a flexible, visibly leak-tight glass-to-HIPS joint that remained intact during repeated incubator transfers.</w:t>
      </w:r>
    </w:p>
    <w:p>
      <w:pPr>
        <w:pStyle w:val="BodyText"/>
      </w:pPr>
      <w:r>
        <w:t xml:space="preserve">In the single unframed PDMS-on-glass control in a 14.5 cm polystyrene dish, cells at the outer positions appeared to grow as well as those elsewhere in the device. This observation shows that the outer positions can support culture in the unframed arrangement. The separate contributions of frame geometry, adhesive, sealing, and the surrounding dish environment remain unresolved.</w:t>
      </w:r>
    </w:p>
    <w:p>
      <w:pPr>
        <w:pStyle w:val="BodyText"/>
      </w:pPr>
      <w:r>
        <w:t xml:space="preserve">Both the Opera Phenix Plus and ImageXpress Micro Confocal focused and collected images without custom plate handling or instrument modification. The dye and CTβ images shown were collected on the Opera Phenix Plus, which was faster for these experiments.</w:t>
      </w:r>
    </w:p>
    <w:p>
      <w:pPr>
        <w:pStyle w:val="BodyText"/>
      </w:pPr>
      <w:r>
        <w:t xml:space="preserve">Images of 24 two-compartment devices acquired immediately after loading and at 72 h showed green tracer redistribution toward the initially lower-volume left compartment, with little visible red signal in the opposite direction (Figure 4A). The observed redistribution is consistent with the initial volume difference driving tracer movement. Flow duration and compartmental isolation between the two imaging time points remain uncharacterized.</w:t>
      </w:r>
    </w:p>
    <w:bookmarkEnd w:id="30"/>
    <w:bookmarkStart w:id="34" w:name="X3f88c5b347936d8a861d2a161ea3a222feb653a"/>
    <w:p>
      <w:pPr>
        <w:pStyle w:val="Heading3"/>
      </w:pPr>
      <w:r>
        <w:t xml:space="preserve">Neuronal compatibility demonstrated by CTβ retrograde axon tracing</w:t>
      </w:r>
    </w:p>
    <w:p>
      <w:pPr>
        <w:pStyle w:val="FirstParagraph"/>
      </w:pPr>
      <w:r>
        <w:t xml:space="preserve">Primary cortical neurons isolated from one E18 rat embryo were distributed across three assembled plates and cultured to DIV11. CTβ-647 added to the axon compartment on DIV10 labeled neuronal cell bodies in the soma compartment, consistent with tracer uptake by axons extending into the axon well and retrograde transport.</w:t>
      </w:r>
    </w:p>
    <w:p>
      <w:pPr>
        <w:pStyle w:val="BodyText"/>
      </w:pPr>
      <w:r>
        <w:t xml:space="preserve">Biological analysis used the 24 interior devices per plate because culture performance was poorer at the plate edges, giving 72 devices across three plates. Three devices were excluded because contamination or a technical failure prevented cell counting in their final images, leaving 69 analyzed devices. Figure 4C shows the mean CTβ-positive cell-body count per device and the standard deviation within each plate.</w:t>
      </w:r>
    </w:p>
    <w:bookmarkEnd w:id="34"/>
    <w:bookmarkStart w:id="38" w:name="Xbf6027e289ccb54ee7bce2d60958c6b8f49db67"/>
    <w:p>
      <w:pPr>
        <w:pStyle w:val="Heading3"/>
      </w:pPr>
      <w:r>
        <w:t xml:space="preserve">Shared dimensions support changes in device layout</w:t>
      </w:r>
    </w:p>
    <w:p>
      <w:pPr>
        <w:pStyle w:val="FirstParagraph"/>
      </w:pPr>
      <w:r>
        <w:t xml:space="preserve">The same design method generated matching masks and insert arrays for the myelination, axon-guidance, and three-compartment layouts (Figure 5). Changes in device spacing, well arrangement, and channel design were carried through to the corresponding mask and insert files. These examples show how the relationships between the mold components are retained when the layout changes. Physical fabrication and assay testing of these layouts remain future work. Supplementary Table S3 lists their dimensions and the checks before fabricating a new layout.</w:t>
      </w:r>
    </w:p>
    <w:bookmarkEnd w:id="38"/>
    <w:bookmarkEnd w:id="39"/>
    <w:bookmarkStart w:id="40" w:name="discussion"/>
    <w:p>
      <w:pPr>
        <w:pStyle w:val="Heading2"/>
      </w:pPr>
      <w:r>
        <w:t xml:space="preserve">Discussion</w:t>
      </w:r>
    </w:p>
    <w:p>
      <w:pPr>
        <w:pStyle w:val="FirstParagraph"/>
      </w:pPr>
      <w:r>
        <w:t xml:space="preserve">The method combines shared device coordinates with alignment and bonding of the entire insert array to form a reusable mold. Ristola et al. combined SU-8 features with three individually aligned, 3D-printed steel inserts for a neuron-oligodendrocyte co-culture device (Ristola et al., 2019). Here, matching pin and hole positions allow all 96 resin inserts to be aligned with a 6-inch wafer in a single operation. The square pins seat in matching SUEX holes, which limit sideways movement. Their nominal clearance is 75 µm per side, compared with a 1.275 mm chamber margin on each side of the channel array (Supplementary Table S3). This margin is 17 times the per-side clearance; final alignment also depends on printing accuracy and photolithographic layer alignment. For an array that fits on one wafer and print platform, the same alignment operation is used regardless of the number or arrangement of inserts. The compressible EPDM rubber sheet backing accommodates pin-height differences during bonding of the entire array. The resulting mold forms every well during casting.</w:t>
      </w:r>
    </w:p>
    <w:p>
      <w:pPr>
        <w:pStyle w:val="BodyText"/>
      </w:pPr>
      <w:r>
        <w:t xml:space="preserve">Recent resin-printing methods use both printed molds and printed parts retained in the finished culture device (Meynard et al., 2025). Post-treatment can improve PDMS curing and release from resin molds, but reproducibly printing features near 10 µm across a plate-scale mold remains difficult with accessible printers (Venzac, 2025). Combining SU-8 photolithography for the channels with resin printing for the wells accommodates both scales. Here, the resin inserts remain in the parylene-coated mold, and each finished culture device consists of PDMS bonded to glass.</w:t>
      </w:r>
    </w:p>
    <w:p>
      <w:pPr>
        <w:pStyle w:val="BodyText"/>
      </w:pPr>
      <w:r>
        <w:t xml:space="preserve">Three molds produced more than 50 usable casts, and the most recent molds remained in use for more than 8 months without visible degradation. Reuse depended on flat bonding surfaces, attached SU-8 features, and evenly seated inserts. Filtered SUEX exposure, the SU-8 base layer and hard bake, compressible clamping layers, and the flexible transfer plate addressed the failures observed during fabrication. Once the mold is complete, laboratories can cast and assemble further devices without repeating cleanroom processing. Parylene coating can be performed locally or by an external service.</w:t>
      </w:r>
    </w:p>
    <w:p>
      <w:pPr>
        <w:pStyle w:val="BodyText"/>
      </w:pPr>
      <w:r>
        <w:t xml:space="preserve">Changing device dimensions updates the matching masks, inserts, wafer layout, and frame together. The additional designs in Figure 5 extend this approach to an oligodendrocyte myelination layout, an axon-guidance layout with gradients at right angles to each other, and a three-compartment assay. These examples change the number and arrangement of compartments and the channel layout while retaining matching positions in the photomasks and printed insert arrays. This allows the culture arrangement to be adapted without separately redrawing the alignment features for each mold component. The generated files provide starting points for these assays; fabrication must still establish alignment, successful casting and release, and suitable fluid movement before biological testing. Several dimensions must work together: pin and hole sizes determine alignment clearance, the insert skirt (the rim around its base) provides space for adhesive, and the sidewall slope affects demolding and well capacity. The same 2.26% shrinkage correction is applied to the masks and inserts.</w:t>
      </w:r>
    </w:p>
    <w:p>
      <w:pPr>
        <w:pStyle w:val="BodyText"/>
      </w:pPr>
      <w:r>
        <w:t xml:space="preserve">Parylene coating also changes the mold geometry. A uniform 1 µm coating would add approximately 2 µm to the width of a channel-forming ridge, a substantial change for the nominal 10 µm channels. The ridge height relative to the surrounding surface would remain approximately unchanged because the coating raises both the ridge top and the flood-exposed base. This predicts wider molded channels, with final dimensions also affected by PDMS shrinkage. Measuring the coated molds and casts would allow a coating-thickness correction to be added to the design parameters. Supplementary Table S3 summarizes these relationships and the checks needed when adapting the design.</w:t>
      </w:r>
    </w:p>
    <w:p>
      <w:pPr>
        <w:pStyle w:val="BodyText"/>
      </w:pPr>
      <w:r>
        <w:t xml:space="preserve">The printed plate frame and its glass-to-frame seal are practical targets for further development. The assembled plates supported multichannel handling, automated imaging, and neuronal culture in the interior devices, while cell growth was poorer at the plate edges. In one unframed PDMS-on-glass device placed in a culture dish, cells at the outer positions appeared to grow as well as those elsewhere. The cause of the poorer edge growth in the assembled plates remains unresolved. Frame geometry and sealing can be revised independently of the PDMS device and reusable mold.</w:t>
      </w:r>
    </w:p>
    <w:p>
      <w:pPr>
        <w:pStyle w:val="BodyText"/>
      </w:pPr>
      <w:r>
        <w:t xml:space="preserve">Well geometry and the selected glass size also constrain the plate design. The tapered sidewalls needed for demolding leave less space for wells than in a conventional 96-well plate. At the fixed 9 mm well spacing, taper and the wall thickness between adjacent wells constrain both well width and depth (Supplementary Table S3). The safe maximum working volume in the present plate was 50 µL per well. Slightly larger wells were possible, but would have required a larger glass sheet to accommodate the array. Custom-cut glass would have substantially increased fabrication costs. Applications requiring more than 50 µL per well would therefore need a revised design that balances well capacity, demolding, plate dimensions, and glass cost.</w:t>
      </w:r>
    </w:p>
    <w:p>
      <w:pPr>
        <w:pStyle w:val="BodyText"/>
      </w:pPr>
      <w:r>
        <w:t xml:space="preserve">We assessed repeated casting, routine device use, tracer movement, and neuronal culture from one embryo. Further testing across independent neuronal preparations would assess biological reproducibility. Time-resolved transport measurements and standardized durability and toxicity tests would extend the assessment of device performance.</w:t>
      </w:r>
    </w:p>
    <w:bookmarkEnd w:id="40"/>
    <w:bookmarkStart w:id="41" w:name="conclusion"/>
    <w:p>
      <w:pPr>
        <w:pStyle w:val="Heading2"/>
      </w:pPr>
      <w:r>
        <w:t xml:space="preserve">Conclusion</w:t>
      </w:r>
    </w:p>
    <w:p>
      <w:pPr>
        <w:pStyle w:val="FirstParagraph"/>
      </w:pPr>
      <w:r>
        <w:t xml:space="preserve">OpenMFD links the design of matching photomasks and printed inserts to alignment and bonding of the entire insert array. The resulting reusable mold forms the microfeatures and wells in each PDMS cast, removing individual well punching from repeated device production. The demonstrated devices combine compartmentalized neuronal culture with multichannel pipetting and automated imaging, although culture performance at the plate edges requires improvement. By separating specialized mold fabrication from repeated device production, this approach allows laboratories to make subsequent batches by benchtop casting and assembly. The open-source design tools and fabrication procedure provide a starting point for adapting this approach to other plate-format culture devices.</w:t>
      </w:r>
    </w:p>
    <w:bookmarkEnd w:id="41"/>
    <w:bookmarkStart w:id="42" w:name="code-and-data-availability"/>
    <w:p>
      <w:pPr>
        <w:pStyle w:val="Heading2"/>
      </w:pPr>
      <w:r>
        <w:t xml:space="preserve">Code and data availability</w:t>
      </w:r>
    </w:p>
    <w:p>
      <w:pPr>
        <w:pStyle w:val="FirstParagraph"/>
      </w:pPr>
      <w:r>
        <w:t xml:space="preserve">OpenMFD, including the layout-generation code, photomask DXFs, resin-insert models, plate-frame models, and manuscript source, is available at</w:t>
      </w:r>
      <w:r>
        <w:t xml:space="preserve"> </w:t>
      </w:r>
      <w:r>
        <w:rPr>
          <w:rStyle w:val="VerbatimChar"/>
        </w:rPr>
        <w:t xml:space="preserve">https://github.com/trissim/OpenMFD</w:t>
      </w:r>
      <w:r>
        <w:t xml:space="preserve">. A versioned archive of the reported files will be deposited with the submission.</w:t>
      </w:r>
    </w:p>
    <w:p>
      <w:pPr>
        <w:pStyle w:val="BodyText"/>
      </w:pPr>
      <w:r>
        <w:t xml:space="preserve">The Supplementary Information contains Tables S1-S6, Protocols S1-S2, and Notes S1-S2. These contain pin-height measurements, comparisons of fabrication methods, checks for new designs, resin and HIPS printing settings, numbers of molds and casts produced, device and mold protocols, and observations of LP360-filtered exposure and SU-8 adhesion. The supplementary files also include a G-code file containing the HIPS frame-printing settings and an XML file containing the Opera Phenix microscope settings and image positions for Plate 1.</w:t>
      </w:r>
    </w:p>
    <w:p>
      <w:pPr>
        <w:pStyle w:val="BodyText"/>
      </w:pPr>
      <w:r>
        <w:t xml:space="preserve">Source images for the dye and CTβ panels and the script used to assemble Figure 4 are included in the source repository. The per-device CTβ count table will be deposited with the submission. The cell counts are from neurons isolated from one embryo and cultured across three plates.</w:t>
      </w:r>
    </w:p>
    <w:bookmarkEnd w:id="42"/>
    <w:bookmarkStart w:id="43" w:name="acknowledgements"/>
    <w:p>
      <w:pPr>
        <w:pStyle w:val="Heading2"/>
      </w:pPr>
      <w:r>
        <w:t xml:space="preserve">Acknowledgements</w:t>
      </w:r>
    </w:p>
    <w:p>
      <w:pPr>
        <w:pStyle w:val="FirstParagraph"/>
      </w:pPr>
      <w:r>
        <w:t xml:space="preserve">We acknowledge the McGill Makerspace for access to filament-extrusion (FDM) 3D printers used to develop the device frame. We also acknowledge the McGill Nanotools Microfab facility for access to microfabrication equipment and parylene coating, and for technical collaboration during process development.</w:t>
      </w:r>
    </w:p>
    <w:bookmarkEnd w:id="43"/>
    <w:bookmarkStart w:id="44" w:name="references"/>
    <w:p>
      <w:pPr>
        <w:pStyle w:val="Heading2"/>
      </w:pPr>
      <w:r>
        <w:t xml:space="preserve">References</w:t>
      </w:r>
    </w:p>
    <w:p>
      <w:pPr>
        <w:pStyle w:val="Compact"/>
        <w:numPr>
          <w:ilvl w:val="0"/>
          <w:numId w:val="1001"/>
        </w:numPr>
      </w:pPr>
      <w:r>
        <w:t xml:space="preserve">Harris, J., Lee, H., Tu, C. T., Cribbs, D., Cotman, C., Jeon, N. L.</w:t>
      </w:r>
      <w:r>
        <w:t xml:space="preserve"> </w:t>
      </w:r>
      <w:r>
        <w:rPr>
          <w:i/>
          <w:iCs/>
        </w:rPr>
        <w:t xml:space="preserve">Preparing E18 cortical rat neurons for compartmentalization in a microfluidic device.</w:t>
      </w:r>
      <w:r>
        <w:t xml:space="preserve"> </w:t>
      </w:r>
      <w:r>
        <w:t xml:space="preserve">J. Vis. Exp. (8), 305 (2007). https://doi.org/10.3791/305</w:t>
      </w:r>
    </w:p>
    <w:p>
      <w:pPr>
        <w:pStyle w:val="Compact"/>
        <w:numPr>
          <w:ilvl w:val="0"/>
          <w:numId w:val="1001"/>
        </w:numPr>
      </w:pPr>
      <w:r>
        <w:t xml:space="preserve">Clément, J.-P., et al. </w:t>
      </w:r>
      <w:r>
        <w:rPr>
          <w:i/>
          <w:iCs/>
        </w:rPr>
        <w:t xml:space="preserve">Dendritic Polyglycerol Amine: An Enhanced Substrate to Support Long-Term Neural Cell Culture.</w:t>
      </w:r>
      <w:r>
        <w:t xml:space="preserve"> </w:t>
      </w:r>
      <w:r>
        <w:t xml:space="preserve">ASN Neuro 14, 17590914211073276 (2022). https://doi.org/10.1177/17590914211073276</w:t>
      </w:r>
    </w:p>
    <w:p>
      <w:pPr>
        <w:pStyle w:val="Compact"/>
        <w:numPr>
          <w:ilvl w:val="0"/>
          <w:numId w:val="1001"/>
        </w:numPr>
      </w:pPr>
      <w:r>
        <w:t xml:space="preserve">Taylor, A. M., et al. </w:t>
      </w:r>
      <w:r>
        <w:rPr>
          <w:i/>
          <w:iCs/>
        </w:rPr>
        <w:t xml:space="preserve">A microfluidic culture platform for CNS axonal injury, regeneration and transport.</w:t>
      </w:r>
      <w:r>
        <w:t xml:space="preserve"> </w:t>
      </w:r>
      <w:r>
        <w:t xml:space="preserve">Nat. Methods 2, 599-605 (2005). https://doi.org/10.1038/nmeth777</w:t>
      </w:r>
    </w:p>
    <w:p>
      <w:pPr>
        <w:pStyle w:val="Compact"/>
        <w:numPr>
          <w:ilvl w:val="0"/>
          <w:numId w:val="1001"/>
        </w:numPr>
      </w:pPr>
      <w:r>
        <w:t xml:space="preserve">Taylor, A. M., Menon, S., Gupton, S. L.</w:t>
      </w:r>
      <w:r>
        <w:t xml:space="preserve"> </w:t>
      </w:r>
      <w:r>
        <w:rPr>
          <w:i/>
          <w:iCs/>
        </w:rPr>
        <w:t xml:space="preserve">Passive microfluidic chamber for long-term imaging of axon guidance in response to soluble gradients.</w:t>
      </w:r>
      <w:r>
        <w:t xml:space="preserve"> </w:t>
      </w:r>
      <w:r>
        <w:t xml:space="preserve">Lab Chip 15, 2781-2789 (2015). https://doi.org/10.1039/c5lc00503e</w:t>
      </w:r>
    </w:p>
    <w:p>
      <w:pPr>
        <w:pStyle w:val="Compact"/>
        <w:numPr>
          <w:ilvl w:val="0"/>
          <w:numId w:val="1001"/>
        </w:numPr>
      </w:pPr>
      <w:r>
        <w:t xml:space="preserve">Kerman, B. E., et al. </w:t>
      </w:r>
      <w:r>
        <w:rPr>
          <w:i/>
          <w:iCs/>
        </w:rPr>
        <w:t xml:space="preserve">In vitro myelin formation using embryonic stem cells.</w:t>
      </w:r>
      <w:r>
        <w:t xml:space="preserve"> </w:t>
      </w:r>
      <w:r>
        <w:t xml:space="preserve">Development 142, 2213-2225 (2015). https://doi.org/10.1242/dev.116517</w:t>
      </w:r>
    </w:p>
    <w:p>
      <w:pPr>
        <w:pStyle w:val="Compact"/>
        <w:numPr>
          <w:ilvl w:val="0"/>
          <w:numId w:val="1001"/>
        </w:numPr>
      </w:pPr>
      <w:r>
        <w:t xml:space="preserve">Wang, Z. Z., Wood, M. D., Mackinnon, S. E., Sakiyama-Elbert, S. E.</w:t>
      </w:r>
      <w:r>
        <w:t xml:space="preserve"> </w:t>
      </w:r>
      <w:r>
        <w:rPr>
          <w:i/>
          <w:iCs/>
        </w:rPr>
        <w:t xml:space="preserve">A microfluidic platform to study the effects of GDNF on neuronal axon entrapment.</w:t>
      </w:r>
      <w:r>
        <w:t xml:space="preserve"> </w:t>
      </w:r>
      <w:r>
        <w:t xml:space="preserve">J. Neurosci. Methods 308, 183-191 (2018). https://doi.org/10.1016/j.jneumeth.2018.08.002</w:t>
      </w:r>
    </w:p>
    <w:p>
      <w:pPr>
        <w:pStyle w:val="Compact"/>
        <w:numPr>
          <w:ilvl w:val="0"/>
          <w:numId w:val="1001"/>
        </w:numPr>
      </w:pPr>
      <w:r>
        <w:t xml:space="preserve">Coquinco, A., et al. </w:t>
      </w:r>
      <w:r>
        <w:rPr>
          <w:i/>
          <w:iCs/>
        </w:rPr>
        <w:t xml:space="preserve">A microfluidic based in vitro model of synaptic competition.</w:t>
      </w:r>
      <w:r>
        <w:t xml:space="preserve"> </w:t>
      </w:r>
      <w:r>
        <w:t xml:space="preserve">Mol. Cell. Neurosci. 60, 43-52 (2014). https://doi.org/10.1016/j.mcn.2014.03.001</w:t>
      </w:r>
    </w:p>
    <w:p>
      <w:pPr>
        <w:pStyle w:val="Compact"/>
        <w:numPr>
          <w:ilvl w:val="0"/>
          <w:numId w:val="1001"/>
        </w:numPr>
      </w:pPr>
      <w:r>
        <w:t xml:space="preserve">Holle, A. W., Chao, S.-H., Holl, M. R., Houkal, J. M., Meldrum, D. R.</w:t>
      </w:r>
      <w:r>
        <w:t xml:space="preserve"> </w:t>
      </w:r>
      <w:r>
        <w:rPr>
          <w:i/>
          <w:iCs/>
        </w:rPr>
        <w:t xml:space="preserve">Characterization of Program Controlled CO2 Laser-Cut PDMS Channels for Lab-on-a-chip Applications.</w:t>
      </w:r>
      <w:r>
        <w:t xml:space="preserve"> </w:t>
      </w:r>
      <w:r>
        <w:t xml:space="preserve">Proc. 2007 IEEE Int. Conf. Autom. Sci. Eng., 621-627 (2007). https://doi.org/10.1109/COASE.2007.4341853</w:t>
      </w:r>
    </w:p>
    <w:p>
      <w:pPr>
        <w:pStyle w:val="Compact"/>
        <w:numPr>
          <w:ilvl w:val="0"/>
          <w:numId w:val="1001"/>
        </w:numPr>
      </w:pPr>
      <w:r>
        <w:t xml:space="preserve">Epoxy Technology.</w:t>
      </w:r>
      <w:r>
        <w:t xml:space="preserve"> </w:t>
      </w:r>
      <w:r>
        <w:rPr>
          <w:i/>
          <w:iCs/>
        </w:rPr>
        <w:t xml:space="preserve">EPO-TEK 301-2 technical data sheet.</w:t>
      </w:r>
      <w:r>
        <w:t xml:space="preserve"> </w:t>
      </w:r>
      <w:r>
        <w:t xml:space="preserve">Rev. XVIII (2021). https://products.meridianadhesives.com/storage/downloads/uennuicaaxt1bodtipkbpydtg0u8qs33/301-2.pdf</w:t>
      </w:r>
    </w:p>
    <w:p>
      <w:pPr>
        <w:pStyle w:val="Compact"/>
        <w:numPr>
          <w:ilvl w:val="0"/>
          <w:numId w:val="1001"/>
        </w:numPr>
      </w:pPr>
      <w:r>
        <w:t xml:space="preserve">Henkel.</w:t>
      </w:r>
      <w:r>
        <w:t xml:space="preserve"> </w:t>
      </w:r>
      <w:r>
        <w:rPr>
          <w:i/>
          <w:iCs/>
        </w:rPr>
        <w:t xml:space="preserve">LOCTITE SI 5140 technical data sheet.</w:t>
      </w:r>
      <w:r>
        <w:t xml:space="preserve"> </w:t>
      </w:r>
      <w:r>
        <w:t xml:space="preserve">January 2023. https://datasheets.tdx.henkel.com/LOCTITE-SI-5140-en_GL.pdf</w:t>
      </w:r>
    </w:p>
    <w:p>
      <w:pPr>
        <w:pStyle w:val="Compact"/>
        <w:numPr>
          <w:ilvl w:val="0"/>
          <w:numId w:val="1001"/>
        </w:numPr>
      </w:pPr>
      <w:r>
        <w:t xml:space="preserve">Li, R., et al. </w:t>
      </w:r>
      <w:r>
        <w:rPr>
          <w:i/>
          <w:iCs/>
        </w:rPr>
        <w:t xml:space="preserve">A rapidly fabricated microfluidic chip for cell culture.</w:t>
      </w:r>
      <w:r>
        <w:t xml:space="preserve"> </w:t>
      </w:r>
      <w:r>
        <w:t xml:space="preserve">J. Chromatogr. Sci. 54, 523-530 (2016). https://doi.org/10.1093/chromsci/bmv176</w:t>
      </w:r>
    </w:p>
    <w:p>
      <w:pPr>
        <w:pStyle w:val="Compact"/>
        <w:numPr>
          <w:ilvl w:val="0"/>
          <w:numId w:val="1001"/>
        </w:numPr>
      </w:pPr>
      <w:r>
        <w:t xml:space="preserve">Siraya Tech.</w:t>
      </w:r>
      <w:r>
        <w:t xml:space="preserve"> </w:t>
      </w:r>
      <w:r>
        <w:rPr>
          <w:i/>
          <w:iCs/>
        </w:rPr>
        <w:t xml:space="preserve">Sculpt High-Temperature Resistant Resin product information.</w:t>
      </w:r>
      <w:r>
        <w:t xml:space="preserve"> </w:t>
      </w:r>
      <w:r>
        <w:t xml:space="preserve">n.d. Accessed 12 August 2026. https://siraya.tech/products/sculpt-resin-high-temperature-resistant-resin</w:t>
      </w:r>
    </w:p>
    <w:p>
      <w:pPr>
        <w:pStyle w:val="Compact"/>
        <w:numPr>
          <w:ilvl w:val="0"/>
          <w:numId w:val="1001"/>
        </w:numPr>
      </w:pPr>
      <w:r>
        <w:t xml:space="preserve">Park, J., Li, J., Han, A.</w:t>
      </w:r>
      <w:r>
        <w:t xml:space="preserve"> </w:t>
      </w:r>
      <w:r>
        <w:rPr>
          <w:i/>
          <w:iCs/>
        </w:rPr>
        <w:t xml:space="preserve">Micro-macro hybrid soft-lithography master (MMHSM) fabrication for lab-on-a-chip applications.</w:t>
      </w:r>
      <w:r>
        <w:t xml:space="preserve"> </w:t>
      </w:r>
      <w:r>
        <w:t xml:space="preserve">Biomed. Microdevices 12, 345-351 (2010). https://doi.org/10.1007/s10544-009-9390-9</w:t>
      </w:r>
    </w:p>
    <w:p>
      <w:pPr>
        <w:pStyle w:val="Compact"/>
        <w:numPr>
          <w:ilvl w:val="0"/>
          <w:numId w:val="1001"/>
        </w:numPr>
      </w:pPr>
      <w:r>
        <w:t xml:space="preserve">Tamura, T., Suzuki, T.</w:t>
      </w:r>
      <w:r>
        <w:t xml:space="preserve"> </w:t>
      </w:r>
      <w:r>
        <w:rPr>
          <w:i/>
          <w:iCs/>
        </w:rPr>
        <w:t xml:space="preserve">Seamless fabrication technique for micro to millimeter structures by combining 3D printing and photolithography.</w:t>
      </w:r>
      <w:r>
        <w:t xml:space="preserve"> </w:t>
      </w:r>
      <w:r>
        <w:t xml:space="preserve">Jpn. J. Appl. Phys. 58, SDDL10 (2019). https://doi.org/10.7567/1347-4065/ab09d0</w:t>
      </w:r>
    </w:p>
    <w:p>
      <w:pPr>
        <w:pStyle w:val="Compact"/>
        <w:numPr>
          <w:ilvl w:val="0"/>
          <w:numId w:val="1001"/>
        </w:numPr>
      </w:pPr>
      <w:r>
        <w:t xml:space="preserve">Kajtez, J., et al. </w:t>
      </w:r>
      <w:r>
        <w:rPr>
          <w:i/>
          <w:iCs/>
        </w:rPr>
        <w:t xml:space="preserve">3D-Printed Soft Lithography for Complex Compartmentalized Microfluidic Neural Devices.</w:t>
      </w:r>
      <w:r>
        <w:t xml:space="preserve"> </w:t>
      </w:r>
      <w:r>
        <w:t xml:space="preserve">Adv. Sci. 7, 2001150 (2020). https://doi.org/10.1002/advs.202001150</w:t>
      </w:r>
    </w:p>
    <w:p>
      <w:pPr>
        <w:pStyle w:val="Compact"/>
        <w:numPr>
          <w:ilvl w:val="0"/>
          <w:numId w:val="1001"/>
        </w:numPr>
      </w:pPr>
      <w:r>
        <w:t xml:space="preserve">Pan, J. Y., et al. </w:t>
      </w:r>
      <w:r>
        <w:rPr>
          <w:i/>
          <w:iCs/>
        </w:rPr>
        <w:t xml:space="preserve">Hybrid microfabrication of 3D pyrolytic carbon electrodes by photolithography and additive manufacturing.</w:t>
      </w:r>
      <w:r>
        <w:t xml:space="preserve"> </w:t>
      </w:r>
      <w:r>
        <w:t xml:space="preserve">Micro Nano Eng. 15, 100124 (2022). https://doi.org/10.1016/j.mne.2022.100124</w:t>
      </w:r>
    </w:p>
    <w:p>
      <w:pPr>
        <w:pStyle w:val="Compact"/>
        <w:numPr>
          <w:ilvl w:val="0"/>
          <w:numId w:val="1001"/>
        </w:numPr>
      </w:pPr>
      <w:r>
        <w:t xml:space="preserve">Chen, Y., Pei, W., Tang, R., Chen, S., Chen, H.</w:t>
      </w:r>
      <w:r>
        <w:t xml:space="preserve"> </w:t>
      </w:r>
      <w:r>
        <w:rPr>
          <w:i/>
          <w:iCs/>
        </w:rPr>
        <w:t xml:space="preserve">Conformal coating of parylene for surface anti-adhesion in polydimethylsiloxane (PDMS) double casting technique.</w:t>
      </w:r>
      <w:r>
        <w:t xml:space="preserve"> </w:t>
      </w:r>
      <w:r>
        <w:t xml:space="preserve">Sens. Actuators A Phys. 189, 143-150 (2013). https://doi.org/10.1016/j.sna.2012.09.024</w:t>
      </w:r>
    </w:p>
    <w:p>
      <w:pPr>
        <w:pStyle w:val="Compact"/>
        <w:numPr>
          <w:ilvl w:val="0"/>
          <w:numId w:val="1001"/>
        </w:numPr>
      </w:pPr>
      <w:r>
        <w:t xml:space="preserve">Musgrove, H. B., Cook, S. R., Pompano, R. R.</w:t>
      </w:r>
      <w:r>
        <w:t xml:space="preserve"> </w:t>
      </w:r>
      <w:r>
        <w:rPr>
          <w:i/>
          <w:iCs/>
        </w:rPr>
        <w:t xml:space="preserve">Parylene-C Coating Protects Resin-3D-Printed Devices from Material Erosion and Prevents Cytotoxicity toward Primary Cells.</w:t>
      </w:r>
      <w:r>
        <w:t xml:space="preserve"> </w:t>
      </w:r>
      <w:r>
        <w:t xml:space="preserve">ACS Appl. Bio Mater. 6, 3079-3083 (2023). https://doi.org/10.1021/acsabm.3c00444</w:t>
      </w:r>
    </w:p>
    <w:p>
      <w:pPr>
        <w:pStyle w:val="Compact"/>
        <w:numPr>
          <w:ilvl w:val="0"/>
          <w:numId w:val="1001"/>
        </w:numPr>
      </w:pPr>
      <w:r>
        <w:t xml:space="preserve">Ristola, M., et al. </w:t>
      </w:r>
      <w:r>
        <w:rPr>
          <w:i/>
          <w:iCs/>
        </w:rPr>
        <w:t xml:space="preserve">A compartmentalized neuron-oligodendrocyte co-culture device for myelin research: design, fabrication and functionality testing.</w:t>
      </w:r>
      <w:r>
        <w:t xml:space="preserve"> </w:t>
      </w:r>
      <w:r>
        <w:t xml:space="preserve">J. Micromech. Microeng. 29, 065009 (2019). https://doi.org/10.1088/1361-6439/ab16a7</w:t>
      </w:r>
    </w:p>
    <w:p>
      <w:pPr>
        <w:pStyle w:val="Compact"/>
        <w:numPr>
          <w:ilvl w:val="0"/>
          <w:numId w:val="1001"/>
        </w:numPr>
      </w:pPr>
      <w:r>
        <w:t xml:space="preserve">Moll, L., et al. </w:t>
      </w:r>
      <w:r>
        <w:rPr>
          <w:i/>
          <w:iCs/>
        </w:rPr>
        <w:t xml:space="preserve">A Microfluidic High-Capacity Screening Platform for Neurological Disorders.</w:t>
      </w:r>
      <w:r>
        <w:t xml:space="preserve"> </w:t>
      </w:r>
      <w:r>
        <w:t xml:space="preserve">ACS Chem. Neurosci. 15, 236-244 (2024). https://doi.org/10.1021/acschemneuro.3c00409</w:t>
      </w:r>
    </w:p>
    <w:p>
      <w:pPr>
        <w:pStyle w:val="Compact"/>
        <w:numPr>
          <w:ilvl w:val="0"/>
          <w:numId w:val="1001"/>
        </w:numPr>
      </w:pPr>
      <w:r>
        <w:t xml:space="preserve">Spijkers, X. M., et al. </w:t>
      </w:r>
      <w:r>
        <w:rPr>
          <w:i/>
          <w:iCs/>
        </w:rPr>
        <w:t xml:space="preserve">A directional 3D neurite outgrowth model for studying motor axon biology and disease.</w:t>
      </w:r>
      <w:r>
        <w:t xml:space="preserve"> </w:t>
      </w:r>
      <w:r>
        <w:t xml:space="preserve">Sci. Rep. 11, 2080 (2021). https://doi.org/10.1038/s41598-021-81335-z</w:t>
      </w:r>
    </w:p>
    <w:p>
      <w:pPr>
        <w:pStyle w:val="Compact"/>
        <w:numPr>
          <w:ilvl w:val="0"/>
          <w:numId w:val="1001"/>
        </w:numPr>
      </w:pPr>
      <w:r>
        <w:t xml:space="preserve">Spoerk, M., Holzer, C., González-Gutiérrez, J.</w:t>
      </w:r>
      <w:r>
        <w:t xml:space="preserve"> </w:t>
      </w:r>
      <w:r>
        <w:rPr>
          <w:i/>
          <w:iCs/>
        </w:rPr>
        <w:t xml:space="preserve">Material extrusion-based additive manufacturing of polypropylene: A review on how to improve dimensional inaccuracy and warpage.</w:t>
      </w:r>
      <w:r>
        <w:t xml:space="preserve"> </w:t>
      </w:r>
      <w:r>
        <w:t xml:space="preserve">J. Appl. Polym. Sci. 137, 48545 (2020). https://doi.org/10.1002/app.48545</w:t>
      </w:r>
    </w:p>
    <w:p>
      <w:pPr>
        <w:pStyle w:val="Compact"/>
        <w:numPr>
          <w:ilvl w:val="0"/>
          <w:numId w:val="1001"/>
        </w:numPr>
      </w:pPr>
      <w:r>
        <w:t xml:space="preserve">Meynard, T., et al. </w:t>
      </w:r>
      <w:r>
        <w:rPr>
          <w:i/>
          <w:iCs/>
        </w:rPr>
        <w:t xml:space="preserve">Fabrication of a bioreactor combining soft lithography and vat photopolymerisation to study tissues and multicellular organisms under dynamic culture conditions.</w:t>
      </w:r>
      <w:r>
        <w:t xml:space="preserve"> </w:t>
      </w:r>
      <w:r>
        <w:t xml:space="preserve">Lab Chip 25, 4119-4137 (2025). https://doi.org/10.1039/d5lc00172b</w:t>
      </w:r>
    </w:p>
    <w:p>
      <w:pPr>
        <w:pStyle w:val="Compact"/>
        <w:numPr>
          <w:ilvl w:val="0"/>
          <w:numId w:val="1001"/>
        </w:numPr>
      </w:pPr>
      <w:r>
        <w:t xml:space="preserve">Venzac, B.</w:t>
      </w:r>
      <w:r>
        <w:t xml:space="preserve"> </w:t>
      </w:r>
      <w:r>
        <w:rPr>
          <w:i/>
          <w:iCs/>
        </w:rPr>
        <w:t xml:space="preserve">Light-based 3D printing and post-treatments of moulds for PDMS soft lithography.</w:t>
      </w:r>
      <w:r>
        <w:t xml:space="preserve"> </w:t>
      </w:r>
      <w:r>
        <w:t xml:space="preserve">Lab Chip 25, 2129-2147 (2025). https://doi.org/10.1039/d4lc00836g</w:t>
      </w:r>
    </w:p>
    <w:bookmarkEnd w:id="44"/>
    <w:p>
      <w:pPr>
        <w:pStyle w:val="CaptionedFigure"/>
        <w:keepNext w:val="1"/>
        <w:keepLines w:val="1"/>
        <w:jc w:val="center"/>
      </w:pPr>
      <w:r>
        <w:drawing>
          <ns1:inline>
            <ns1:extent cx="5334000" cy="6934986"/>
            <ns1:effectExtent b="0" l="0" r="0" t="0"/>
            <ns1:docPr descr="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 title="" id="21" name="Picture"/>
            <ns2:graphic>
              <ns2:graphicData uri="http://schemas.openxmlformats.org/drawingml/2006/picture">
                <ns3:pic>
                  <ns3:nvPicPr>
                    <ns3:cNvPr descr="/home/ts/wt/mfd-pi-legend-discussion-20261002/papers/mfd_platform/build/run-20261002T185834-e0b45325/support/papers/mfd_platform/figures/rendered_docx/openmfd_design.png" id="22" name="Picture"/>
                    <ns3:cNvPicPr>
                      <ns2:picLocks noChangeArrowheads="1" noChangeAspect="1"/>
                    </ns3:cNvPicPr>
                  </ns3:nvPicPr>
                  <ns3:blipFill>
                    <ns2:blip ns4:embed="rId20"/>
                    <ns2:stretch>
                      <ns2:fillRect/>
                    </ns2:stretch>
                  </ns3:blipFill>
                  <ns3:spPr bwMode="auto">
                    <ns2:xfrm>
                      <ns2:off x="0" y="0"/>
                      <ns2:ext cx="5334000" cy="6934986"/>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Figure 1: Shared device dimensions connect photomask and insert design to plate assembly. (A) Editable preset containing the shared device dimensions. (B, C) Single-device and wafer-scale photomask DXFs. (D) Single and arrayed 3D-printable resin-insert models. (E) Plate-frame model. (F) Assembled plate-format device.</w:t>
      </w:r>
    </w:p>
    <w:p>
      <w:pPr>
        <w:pStyle w:val="CaptionedFigure"/>
        <w:keepNext w:val="1"/>
        <w:keepLines w:val="1"/>
        <w:jc w:val="center"/>
      </w:pPr>
      <w:r>
        <w:drawing>
          <ns1:inline>
            <ns1:extent cx="5334000" cy="5957583"/>
            <ns1:effectExtent b="0" l="0" r="0" t="0"/>
            <ns1:docPr descr="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 title="" id="24" name="Picture"/>
            <ns2:graphic>
              <ns2:graphicData uri="http://schemas.openxmlformats.org/drawingml/2006/picture">
                <ns3:pic>
                  <ns3:nvPicPr>
                    <ns3:cNvPr descr="/home/ts/wt/mfd-pi-legend-discussion-20261002/papers/mfd_platform/build/run-20261002T185834-e0b45325/support/papers/mfd_platform/figures/rendered_docx/insert_bonding.png" id="25" name="Picture"/>
                    <ns3:cNvPicPr>
                      <ns2:picLocks noChangeArrowheads="1" noChangeAspect="1"/>
                    </ns3:cNvPicPr>
                  </ns3:nvPicPr>
                  <ns3:blipFill>
                    <ns2:blip ns4:embed="rId23"/>
                    <ns2:stretch>
                      <ns2:fillRect/>
                    </ns2:stretch>
                  </ns3:blipFill>
                  <ns3:spPr bwMode="auto">
                    <ns2:xfrm>
                      <ns2:off x="0" y="0"/>
                      <ns2:ext cx="5334000" cy="5957583"/>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Figure 2: Insert transfer and wafer bonding for the hybrid mold. (A) Wafer and 3D-printed resin insert array before clamping. (B) Top view showing the relative positions of the printed insert, SUEX alignment hole, adhesive contact area, and gap around the alignment pin. (C) Clamped assembly used for acetone washing and room-temperature cure. (D) Side view of the clamping layers, including the compressible EPDM rubber sheet. (E) Bond between a resin insert and the wafer. (F) SUEX alignment-hole micrograph.</w:t>
      </w:r>
    </w:p>
    <w:p>
      <w:pPr>
        <w:pStyle w:val="CaptionedFigure"/>
        <w:keepNext w:val="1"/>
        <w:keepLines w:val="1"/>
        <w:jc w:val="center"/>
      </w:pPr>
      <w:r>
        <w:drawing>
          <ns1:inline>
            <ns1:extent cx="4298149" cy="3383280"/>
            <ns1:effectExtent b="0" l="0" r="0" t="0"/>
            <ns1:docPr descr="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 title="" id="28" name="Picture"/>
            <ns2:graphic>
              <ns2:graphicData uri="http://schemas.openxmlformats.org/drawingml/2006/picture">
                <ns3:pic>
                  <ns3:nvPicPr>
                    <ns3:cNvPr descr="/home/ts/wt/mfd-pi-legend-discussion-20261002/papers/mfd_platform/build/run-20261002T185834-e0b45325/support/papers/mfd_platform/figures/rendered_docx/mold_casts_package.png" id="29" name="Picture"/>
                    <ns3:cNvPicPr>
                      <ns2:picLocks noChangeArrowheads="1" noChangeAspect="1"/>
                    </ns3:cNvPicPr>
                  </ns3:nvPicPr>
                  <ns3:blipFill>
                    <ns2:blip ns4:embed="rId27"/>
                    <ns2:stretch>
                      <ns2:fillRect/>
                    </ns2:stretch>
                  </ns3:blipFill>
                  <ns3:spPr bwMode="auto">
                    <ns2:xfrm>
                      <ns2:off x="0" y="0"/>
                      <ns2:ext cx="4298149" cy="3383280"/>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Figure 3: Repeated PDMS device casting and plate assembly. PDMS is poured over the full hybrid mold within an aluminum-foil reservoir, degassed in a cylindrical vacuum chamber, and cured in a six-shelf wafer rack. The circular cast is demolded, placed with the molded channels facing upward, taped to paper along the cutting guides, and trimmed with a paper guillotine. The trimmed device is plasma-bonded to glass and autoclaved at 121°C for 15 min before frame assembly. The frame is inverted with its adhesive groove facing upward, and the device is seated with the glass facing upward. After a 3-day room-temperature cure, the assembled plate is turned upright and plasma-treated before coating and culture. One-time mold fabrication is detailed in Supplementary Protocol S2.</w:t>
      </w:r>
    </w:p>
    <w:p>
      <w:pPr>
        <w:pStyle w:val="CaptionedFigure"/>
        <w:keepNext w:val="1"/>
        <w:keepLines w:val="1"/>
        <w:jc w:val="center"/>
      </w:pPr>
      <w:r>
        <w:drawing>
          <ns1:inline>
            <ns1:extent cx="5002696" cy="5753100"/>
            <ns1:effectExtent b="0" l="0" r="0" t="0"/>
            <ns1:docPr descr="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 title="" id="32" name="Picture"/>
            <ns2:graphic>
              <ns2:graphicData uri="http://schemas.openxmlformats.org/drawingml/2006/picture">
                <ns3:pic>
                  <ns3:nvPicPr>
                    <ns3:cNvPr descr="/home/ts/wt/mfd-pi-legend-discussion-20261002/papers/mfd_platform/build/run-20261002T185834-e0b45325/support/papers/mfd_platform/figures/rendered_docx/validation.png" id="33" name="Picture"/>
                    <ns3:cNvPicPr>
                      <ns2:picLocks noChangeArrowheads="1" noChangeAspect="1"/>
                    </ns3:cNvPicPr>
                  </ns3:nvPicPr>
                  <ns3:blipFill>
                    <ns2:blip ns4:embed="rId31"/>
                    <ns2:stretch>
                      <ns2:fillRect/>
                    </ns2:stretch>
                  </ns3:blipFill>
                  <ns3:spPr bwMode="auto">
                    <ns2:xfrm>
                      <ns2:off x="0" y="0"/>
                      <ns2:ext cx="5002696" cy="5753100"/>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Figure 4: Directional fluid movement and neuronal compatibility. (A) Twenty-four two-compartment devices immediately after one-time loading (Hour 0) and after 72 h without volume adjustment. Alexa Fluor 568-conjugated secondary antibody (red; 25 µL) was loaded into the left compartment and Alexa Fluor 488-conjugated secondary antibody (green; 50 µL) into the right compartment, each at 1:1000 dilution in PBS; devices were kept in a cell-culture incubator between imaging time points. (B) DIV11 CTβ-647 plate overview with two representative device regions aligned and cropped to the same area. (C) Mean CTβ-positive cell-body count per analyzed device for each of three plates containing neurons from the same E18 rat embryo (technical replicates); error bars show the within-plate standard deviation, with 69 interior devices analyzed in total.</w:t>
      </w:r>
    </w:p>
    <w:p>
      <w:pPr>
        <w:pStyle w:val="CaptionedFigure"/>
        <w:keepNext w:val="1"/>
        <w:keepLines w:val="1"/>
        <w:jc w:val="center"/>
      </w:pPr>
      <w:r>
        <w:drawing>
          <ns1:inline>
            <ns1:extent cx="4769492" cy="4023360"/>
            <ns1:effectExtent b="0" l="0" r="0" t="0"/>
            <ns1:docPr descr="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 title="" id="36" name="Picture"/>
            <ns2:graphic>
              <ns2:graphicData uri="http://schemas.openxmlformats.org/drawingml/2006/picture">
                <ns3:pic>
                  <ns3:nvPicPr>
                    <ns3:cNvPr descr="/home/ts/wt/mfd-pi-legend-discussion-20261002/papers/mfd_platform/build/run-20261002T185834-e0b45325/support/papers/mfd_platform/figures/rendered_docx/generalizability.png" id="37" name="Picture"/>
                    <ns3:cNvPicPr>
                      <ns2:picLocks noChangeArrowheads="1" noChangeAspect="1"/>
                    </ns3:cNvPicPr>
                  </ns3:nvPicPr>
                  <ns3:blipFill>
                    <ns2:blip ns4:embed="rId35"/>
                    <ns2:stretch>
                      <ns2:fillRect/>
                    </ns2:stretch>
                  </ns3:blipFill>
                  <ns3:spPr bwMode="auto">
                    <ns2:xfrm>
                      <ns2:off x="0" y="0"/>
                      <ns2:ext cx="4769492" cy="4023360"/>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Figure 5: Matching photomasks and insert arrays generated from shared dimensions for three literature-inspired layouts. (A, C, E) Single-device and wafer-scale photomask DXFs; (B, D, F) single and arrayed resin-insert renderings. The examples are an oligodendrocyte myelination layout inspired by Kerman et al. (2015) (A, B), an axon-guidance layout with gradients at right angles to each other inspired by Taylor et al. (2015) (C, D), and a three-compartment layout inspired by Coquinco et al. (2014) (E, F). Plate-frame outputs are omitted for clarity. Physical fabrication and assay testing of these generated designs remain future work.</w:t>
      </w:r>
    </w:p>
    <w:p>
      <w:pPr>
        <w:pStyle w:val="Heading2"/>
      </w:pPr>
      <w:r>
        <w:t xml:space="preserve">Supplementary Information</w:t>
      </w:r>
    </w:p>
    <w:bookmarkEnd w:id="45"/>
    <w:bookmarkStart w:id="48" w:name="Xe1611cb7db7a755bf2bf9788b3b9eb9c3b70061"/>
    <w:p>
      <w:pPr>
        <w:pStyle w:val="Heading1"/>
      </w:pPr>
      <w:r>
        <w:t xml:space="preserve">Supplementary Table S1. Resin-insert pin-height variation across a 96-position array</w:t>
      </w:r>
    </w:p>
    <w:p>
      <w:pPr>
        <w:pStyle w:val="FirstParagraph"/>
      </w:pPr>
      <w:r>
        <w:t xml:space="preserve">Each pin height was measured individually with a micrometer across one 8 × 12 resin-insert array (rows A-H, columns 1-12;</w:t>
      </w:r>
      <w:r>
        <w:t xml:space="preserve"> </w:t>
      </w:r>
      <w:r>
        <w:rPr>
          <w:i/>
          <w:iCs/>
        </w:rPr>
        <w:t xml:space="preserve">n</w:t>
      </w:r>
      <w:r>
        <w:t xml:space="preserve"> </w:t>
      </w:r>
      <w:r>
        <w:t xml:space="preserve">= 96). Values are reported in millimeters (mm) and as deviations from the mean in micrometers (µm).</w:t>
      </w:r>
    </w:p>
    <w:p>
      <w:pPr>
        <w:pStyle w:val="Compact"/>
        <w:numPr>
          <w:ilvl w:val="0"/>
          <w:numId w:val="1002"/>
        </w:numPr>
      </w:pPr>
      <w:r>
        <w:t xml:space="preserve">Mean height:</w:t>
      </w:r>
      <w:r>
        <w:t xml:space="preserve"> </w:t>
      </w:r>
      <w:r>
        <w:rPr>
          <w:b/>
          <w:bCs/>
        </w:rPr>
        <w:t xml:space="preserve">5.551 mm</w:t>
      </w:r>
    </w:p>
    <w:p>
      <w:pPr>
        <w:pStyle w:val="Compact"/>
        <w:numPr>
          <w:ilvl w:val="0"/>
          <w:numId w:val="1002"/>
        </w:numPr>
      </w:pPr>
      <w:r>
        <w:t xml:space="preserve">Standard deviation:</w:t>
      </w:r>
      <w:r>
        <w:t xml:space="preserve"> </w:t>
      </w:r>
      <w:r>
        <w:rPr>
          <w:b/>
          <w:bCs/>
        </w:rPr>
        <w:t xml:space="preserve">26.7 µm</w:t>
      </w:r>
    </w:p>
    <w:p>
      <w:pPr>
        <w:pStyle w:val="Compact"/>
        <w:numPr>
          <w:ilvl w:val="0"/>
          <w:numId w:val="1002"/>
        </w:numPr>
      </w:pPr>
      <w:r>
        <w:t xml:space="preserve">Minimum / maximum height:</w:t>
      </w:r>
      <w:r>
        <w:t xml:space="preserve"> </w:t>
      </w:r>
      <w:r>
        <w:rPr>
          <w:b/>
          <w:bCs/>
        </w:rPr>
        <w:t xml:space="preserve">5.483 mm</w:t>
      </w:r>
      <w:r>
        <w:t xml:space="preserve"> </w:t>
      </w:r>
      <w:r>
        <w:t xml:space="preserve">(H12) /</w:t>
      </w:r>
      <w:r>
        <w:t xml:space="preserve"> </w:t>
      </w:r>
      <w:r>
        <w:rPr>
          <w:b/>
          <w:bCs/>
        </w:rPr>
        <w:t xml:space="preserve">5.599 mm</w:t>
      </w:r>
      <w:r>
        <w:t xml:space="preserve"> </w:t>
      </w:r>
      <w:r>
        <w:t xml:space="preserve">(A3, A4, and A6)</w:t>
      </w:r>
    </w:p>
    <w:p>
      <w:pPr>
        <w:pStyle w:val="Compact"/>
        <w:numPr>
          <w:ilvl w:val="0"/>
          <w:numId w:val="1002"/>
        </w:numPr>
      </w:pPr>
      <w:r>
        <w:t xml:space="preserve">Difference between tallest and shortest pins:</w:t>
      </w:r>
      <w:r>
        <w:t xml:space="preserve"> </w:t>
      </w:r>
      <w:r>
        <w:rPr>
          <w:b/>
          <w:bCs/>
        </w:rPr>
        <w:t xml:space="preserve">116 µm</w:t>
      </w:r>
    </w:p>
    <w:bookmarkStart w:id="46" w:name="s1a.-measured-pin-heights-mm"/>
    <w:p>
      <w:pPr>
        <w:pStyle w:val="Heading2"/>
      </w:pPr>
      <w:r>
        <w:t xml:space="preserve">S1A. Measured pin heights (mm)</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cantSplit/>
        </w:trPr>
        <w:tc>
          <w:tcPr/>
          <w:p>
            <w:pPr>
              <w:pStyle w:val="Compact"/>
            </w:pPr>
            <w:r>
              <w:rPr>
                <w:szCs w:val="20"/>
                <w:sz w:val="20"/>
              </w:rPr>
              <w:t xml:space="preserve">Row</w:t>
            </w:r>
          </w:p>
        </w:tc>
        <w:tc>
          <w:tcPr/>
          <w:p>
            <w:pPr>
              <w:pStyle w:val="Compact"/>
            </w:pPr>
            <w:r>
              <w:rPr>
                <w:szCs w:val="20"/>
                <w:sz w:val="20"/>
              </w:rPr>
              <w:t xml:space="preserve">1</w:t>
            </w:r>
          </w:p>
        </w:tc>
        <w:tc>
          <w:tcPr/>
          <w:p>
            <w:pPr>
              <w:pStyle w:val="Compact"/>
            </w:pPr>
            <w:r>
              <w:rPr>
                <w:szCs w:val="20"/>
                <w:sz w:val="20"/>
              </w:rPr>
              <w:t xml:space="preserve">2</w:t>
            </w:r>
          </w:p>
        </w:tc>
        <w:tc>
          <w:tcPr/>
          <w:p>
            <w:pPr>
              <w:pStyle w:val="Compact"/>
            </w:pPr>
            <w:r>
              <w:rPr>
                <w:szCs w:val="20"/>
                <w:sz w:val="20"/>
              </w:rPr>
              <w:t xml:space="preserve">3</w:t>
            </w:r>
          </w:p>
        </w:tc>
        <w:tc>
          <w:tcPr/>
          <w:p>
            <w:pPr>
              <w:pStyle w:val="Compact"/>
            </w:pPr>
            <w:r>
              <w:rPr>
                <w:szCs w:val="20"/>
                <w:sz w:val="20"/>
              </w:rPr>
              <w:t xml:space="preserve">4</w:t>
            </w:r>
          </w:p>
        </w:tc>
        <w:tc>
          <w:tcPr/>
          <w:p>
            <w:pPr>
              <w:pStyle w:val="Compact"/>
            </w:pPr>
            <w:r>
              <w:rPr>
                <w:szCs w:val="20"/>
                <w:sz w:val="20"/>
              </w:rPr>
              <w:t xml:space="preserve">5</w:t>
            </w:r>
          </w:p>
        </w:tc>
        <w:tc>
          <w:tcPr/>
          <w:p>
            <w:pPr>
              <w:pStyle w:val="Compact"/>
            </w:pPr>
            <w:r>
              <w:rPr>
                <w:szCs w:val="20"/>
                <w:sz w:val="20"/>
              </w:rPr>
              <w:t xml:space="preserve">6</w:t>
            </w:r>
          </w:p>
        </w:tc>
        <w:tc>
          <w:tcPr/>
          <w:p>
            <w:pPr>
              <w:pStyle w:val="Compact"/>
            </w:pPr>
            <w:r>
              <w:rPr>
                <w:szCs w:val="20"/>
                <w:sz w:val="20"/>
              </w:rPr>
              <w:t xml:space="preserve">7</w:t>
            </w:r>
          </w:p>
        </w:tc>
        <w:tc>
          <w:tcPr/>
          <w:p>
            <w:pPr>
              <w:pStyle w:val="Compact"/>
            </w:pPr>
            <w:r>
              <w:rPr>
                <w:szCs w:val="20"/>
                <w:sz w:val="20"/>
              </w:rPr>
              <w:t xml:space="preserve">8</w:t>
            </w:r>
          </w:p>
        </w:tc>
        <w:tc>
          <w:tcPr/>
          <w:p>
            <w:pPr>
              <w:pStyle w:val="Compact"/>
            </w:pPr>
            <w:r>
              <w:rPr>
                <w:szCs w:val="20"/>
                <w:sz w:val="20"/>
              </w:rPr>
              <w:t xml:space="preserve">9</w:t>
            </w:r>
          </w:p>
        </w:tc>
        <w:tc>
          <w:tcPr/>
          <w:p>
            <w:pPr>
              <w:pStyle w:val="Compact"/>
            </w:pPr>
            <w:r>
              <w:rPr>
                <w:szCs w:val="20"/>
                <w:sz w:val="20"/>
              </w:rPr>
              <w:t xml:space="preserve">10</w:t>
            </w:r>
          </w:p>
        </w:tc>
        <w:tc>
          <w:tcPr/>
          <w:p>
            <w:pPr>
              <w:pStyle w:val="Compact"/>
            </w:pPr>
            <w:r>
              <w:rPr>
                <w:szCs w:val="20"/>
                <w:sz w:val="20"/>
              </w:rPr>
              <w:t xml:space="preserve">11</w:t>
            </w:r>
          </w:p>
        </w:tc>
        <w:tc>
          <w:tcPr/>
          <w:p>
            <w:pPr>
              <w:pStyle w:val="Compact"/>
            </w:pPr>
            <w:r>
              <w:rPr>
                <w:szCs w:val="20"/>
                <w:sz w:val="20"/>
              </w:rPr>
              <w:t xml:space="preserve">12</w:t>
            </w:r>
          </w:p>
        </w:tc>
      </w:tr>
      <w:tr>
        <w:trPr>
          <w:cantSplit/>
        </w:trPr>
        <w:tc>
          <w:tcPr/>
          <w:p>
            <w:pPr>
              <w:pStyle w:val="Compact"/>
            </w:pPr>
            <w:r>
              <w:rPr>
                <w:szCs w:val="20"/>
                <w:sz w:val="20"/>
              </w:rPr>
              <w:t xml:space="preserve">A</w:t>
            </w:r>
          </w:p>
        </w:tc>
        <w:tc>
          <w:tcPr/>
          <w:p>
            <w:pPr>
              <w:pStyle w:val="Compact"/>
            </w:pPr>
            <w:r>
              <w:rPr>
                <w:szCs w:val="20"/>
                <w:sz w:val="20"/>
              </w:rPr>
              <w:t xml:space="preserve">5.567</w:t>
            </w:r>
          </w:p>
        </w:tc>
        <w:tc>
          <w:tcPr/>
          <w:p>
            <w:pPr>
              <w:pStyle w:val="Compact"/>
            </w:pPr>
            <w:r>
              <w:rPr>
                <w:szCs w:val="20"/>
                <w:sz w:val="20"/>
              </w:rPr>
              <w:t xml:space="preserve">5.588</w:t>
            </w:r>
          </w:p>
        </w:tc>
        <w:tc>
          <w:tcPr/>
          <w:p>
            <w:pPr>
              <w:pStyle w:val="Compact"/>
            </w:pPr>
            <w:r>
              <w:rPr>
                <w:szCs w:val="20"/>
                <w:sz w:val="20"/>
              </w:rPr>
              <w:t xml:space="preserve">5.599</w:t>
            </w:r>
          </w:p>
        </w:tc>
        <w:tc>
          <w:tcPr/>
          <w:p>
            <w:pPr>
              <w:pStyle w:val="Compact"/>
            </w:pPr>
            <w:r>
              <w:rPr>
                <w:szCs w:val="20"/>
                <w:sz w:val="20"/>
              </w:rPr>
              <w:t xml:space="preserve">5.599</w:t>
            </w:r>
          </w:p>
        </w:tc>
        <w:tc>
          <w:tcPr/>
          <w:p>
            <w:pPr>
              <w:pStyle w:val="Compact"/>
            </w:pPr>
            <w:r>
              <w:rPr>
                <w:szCs w:val="20"/>
                <w:sz w:val="20"/>
              </w:rPr>
              <w:t xml:space="preserve">5.591</w:t>
            </w:r>
          </w:p>
        </w:tc>
        <w:tc>
          <w:tcPr/>
          <w:p>
            <w:pPr>
              <w:pStyle w:val="Compact"/>
            </w:pPr>
            <w:r>
              <w:rPr>
                <w:szCs w:val="20"/>
                <w:sz w:val="20"/>
              </w:rPr>
              <w:t xml:space="preserve">5.599</w:t>
            </w:r>
          </w:p>
        </w:tc>
        <w:tc>
          <w:tcPr/>
          <w:p>
            <w:pPr>
              <w:pStyle w:val="Compact"/>
            </w:pPr>
            <w:r>
              <w:rPr>
                <w:szCs w:val="20"/>
                <w:sz w:val="20"/>
              </w:rPr>
              <w:t xml:space="preserve">5.598</w:t>
            </w:r>
          </w:p>
        </w:tc>
        <w:tc>
          <w:tcPr/>
          <w:p>
            <w:pPr>
              <w:pStyle w:val="Compact"/>
            </w:pPr>
            <w:r>
              <w:rPr>
                <w:szCs w:val="20"/>
                <w:sz w:val="20"/>
              </w:rPr>
              <w:t xml:space="preserve">5.598</w:t>
            </w:r>
          </w:p>
        </w:tc>
        <w:tc>
          <w:tcPr/>
          <w:p>
            <w:pPr>
              <w:pStyle w:val="Compact"/>
            </w:pPr>
            <w:r>
              <w:rPr>
                <w:szCs w:val="20"/>
                <w:sz w:val="20"/>
              </w:rPr>
              <w:t xml:space="preserve">5.597</w:t>
            </w:r>
          </w:p>
        </w:tc>
        <w:tc>
          <w:tcPr/>
          <w:p>
            <w:pPr>
              <w:pStyle w:val="Compact"/>
            </w:pPr>
            <w:r>
              <w:rPr>
                <w:szCs w:val="20"/>
                <w:sz w:val="20"/>
              </w:rPr>
              <w:t xml:space="preserve">5.596</w:t>
            </w:r>
          </w:p>
        </w:tc>
        <w:tc>
          <w:tcPr/>
          <w:p>
            <w:pPr>
              <w:pStyle w:val="Compact"/>
            </w:pPr>
            <w:r>
              <w:rPr>
                <w:szCs w:val="20"/>
                <w:sz w:val="20"/>
              </w:rPr>
              <w:t xml:space="preserve">5.581</w:t>
            </w:r>
          </w:p>
        </w:tc>
        <w:tc>
          <w:tcPr/>
          <w:p>
            <w:pPr>
              <w:pStyle w:val="Compact"/>
            </w:pPr>
            <w:r>
              <w:rPr>
                <w:szCs w:val="20"/>
                <w:sz w:val="20"/>
              </w:rPr>
              <w:t xml:space="preserve">5.562</w:t>
            </w:r>
          </w:p>
        </w:tc>
      </w:tr>
      <w:tr>
        <w:trPr>
          <w:cantSplit/>
        </w:trPr>
        <w:tc>
          <w:tcPr/>
          <w:p>
            <w:pPr>
              <w:pStyle w:val="Compact"/>
            </w:pPr>
            <w:r>
              <w:rPr>
                <w:szCs w:val="20"/>
                <w:sz w:val="20"/>
              </w:rPr>
              <w:t xml:space="preserve">B</w:t>
            </w:r>
          </w:p>
        </w:tc>
        <w:tc>
          <w:tcPr/>
          <w:p>
            <w:pPr>
              <w:pStyle w:val="Compact"/>
            </w:pPr>
            <w:r>
              <w:rPr>
                <w:szCs w:val="20"/>
                <w:sz w:val="20"/>
              </w:rPr>
              <w:t xml:space="preserve">5.557</w:t>
            </w:r>
          </w:p>
        </w:tc>
        <w:tc>
          <w:tcPr/>
          <w:p>
            <w:pPr>
              <w:pStyle w:val="Compact"/>
            </w:pPr>
            <w:r>
              <w:rPr>
                <w:szCs w:val="20"/>
                <w:sz w:val="20"/>
              </w:rPr>
              <w:t xml:space="preserve">5.588</w:t>
            </w:r>
          </w:p>
        </w:tc>
        <w:tc>
          <w:tcPr/>
          <w:p>
            <w:pPr>
              <w:pStyle w:val="Compact"/>
            </w:pPr>
            <w:r>
              <w:rPr>
                <w:szCs w:val="20"/>
                <w:sz w:val="20"/>
              </w:rPr>
              <w:t xml:space="preserve">5.591</w:t>
            </w:r>
          </w:p>
        </w:tc>
        <w:tc>
          <w:tcPr/>
          <w:p>
            <w:pPr>
              <w:pStyle w:val="Compact"/>
            </w:pPr>
            <w:r>
              <w:rPr>
                <w:szCs w:val="20"/>
                <w:sz w:val="20"/>
              </w:rPr>
              <w:t xml:space="preserve">5.591</w:t>
            </w:r>
          </w:p>
        </w:tc>
        <w:tc>
          <w:tcPr/>
          <w:p>
            <w:pPr>
              <w:pStyle w:val="Compact"/>
            </w:pPr>
            <w:r>
              <w:rPr>
                <w:szCs w:val="20"/>
                <w:sz w:val="20"/>
              </w:rPr>
              <w:t xml:space="preserve">5.592</w:t>
            </w:r>
          </w:p>
        </w:tc>
        <w:tc>
          <w:tcPr/>
          <w:p>
            <w:pPr>
              <w:pStyle w:val="Compact"/>
            </w:pPr>
            <w:r>
              <w:rPr>
                <w:szCs w:val="20"/>
                <w:sz w:val="20"/>
              </w:rPr>
              <w:t xml:space="preserve">5.588</w:t>
            </w:r>
          </w:p>
        </w:tc>
        <w:tc>
          <w:tcPr/>
          <w:p>
            <w:pPr>
              <w:pStyle w:val="Compact"/>
            </w:pPr>
            <w:r>
              <w:rPr>
                <w:szCs w:val="20"/>
                <w:sz w:val="20"/>
              </w:rPr>
              <w:t xml:space="preserve">5.593</w:t>
            </w:r>
          </w:p>
        </w:tc>
        <w:tc>
          <w:tcPr/>
          <w:p>
            <w:pPr>
              <w:pStyle w:val="Compact"/>
            </w:pPr>
            <w:r>
              <w:rPr>
                <w:szCs w:val="20"/>
                <w:sz w:val="20"/>
              </w:rPr>
              <w:t xml:space="preserve">5.592</w:t>
            </w:r>
          </w:p>
        </w:tc>
        <w:tc>
          <w:tcPr/>
          <w:p>
            <w:pPr>
              <w:pStyle w:val="Compact"/>
            </w:pPr>
            <w:r>
              <w:rPr>
                <w:szCs w:val="20"/>
                <w:sz w:val="20"/>
              </w:rPr>
              <w:t xml:space="preserve">5.592</w:t>
            </w:r>
          </w:p>
        </w:tc>
        <w:tc>
          <w:tcPr/>
          <w:p>
            <w:pPr>
              <w:pStyle w:val="Compact"/>
            </w:pPr>
            <w:r>
              <w:rPr>
                <w:szCs w:val="20"/>
                <w:sz w:val="20"/>
              </w:rPr>
              <w:t xml:space="preserve">5.591</w:t>
            </w:r>
          </w:p>
        </w:tc>
        <w:tc>
          <w:tcPr/>
          <w:p>
            <w:pPr>
              <w:pStyle w:val="Compact"/>
            </w:pPr>
            <w:r>
              <w:rPr>
                <w:szCs w:val="20"/>
                <w:sz w:val="20"/>
              </w:rPr>
              <w:t xml:space="preserve">5.587</w:t>
            </w:r>
          </w:p>
        </w:tc>
        <w:tc>
          <w:tcPr/>
          <w:p>
            <w:pPr>
              <w:pStyle w:val="Compact"/>
            </w:pPr>
            <w:r>
              <w:rPr>
                <w:szCs w:val="20"/>
                <w:sz w:val="20"/>
              </w:rPr>
              <w:t xml:space="preserve">5.562</w:t>
            </w:r>
          </w:p>
        </w:tc>
      </w:tr>
      <w:tr>
        <w:trPr>
          <w:cantSplit/>
        </w:trPr>
        <w:tc>
          <w:tcPr/>
          <w:p>
            <w:pPr>
              <w:pStyle w:val="Compact"/>
            </w:pPr>
            <w:r>
              <w:rPr>
                <w:szCs w:val="20"/>
                <w:sz w:val="20"/>
              </w:rPr>
              <w:t xml:space="preserve">C</w:t>
            </w:r>
          </w:p>
        </w:tc>
        <w:tc>
          <w:tcPr/>
          <w:p>
            <w:pPr>
              <w:pStyle w:val="Compact"/>
            </w:pPr>
            <w:r>
              <w:rPr>
                <w:szCs w:val="20"/>
                <w:sz w:val="20"/>
              </w:rPr>
              <w:t xml:space="preserve">5.555</w:t>
            </w:r>
          </w:p>
        </w:tc>
        <w:tc>
          <w:tcPr/>
          <w:p>
            <w:pPr>
              <w:pStyle w:val="Compact"/>
            </w:pPr>
            <w:r>
              <w:rPr>
                <w:szCs w:val="20"/>
                <w:sz w:val="20"/>
              </w:rPr>
              <w:t xml:space="preserve">5.556</w:t>
            </w:r>
          </w:p>
        </w:tc>
        <w:tc>
          <w:tcPr/>
          <w:p>
            <w:pPr>
              <w:pStyle w:val="Compact"/>
            </w:pPr>
            <w:r>
              <w:rPr>
                <w:szCs w:val="20"/>
                <w:sz w:val="20"/>
              </w:rPr>
              <w:t xml:space="preserve">5.555</w:t>
            </w:r>
          </w:p>
        </w:tc>
        <w:tc>
          <w:tcPr/>
          <w:p>
            <w:pPr>
              <w:pStyle w:val="Compact"/>
            </w:pPr>
            <w:r>
              <w:rPr>
                <w:szCs w:val="20"/>
                <w:sz w:val="20"/>
              </w:rPr>
              <w:t xml:space="preserve">5.563</w:t>
            </w:r>
          </w:p>
        </w:tc>
        <w:tc>
          <w:tcPr/>
          <w:p>
            <w:pPr>
              <w:pStyle w:val="Compact"/>
            </w:pPr>
            <w:r>
              <w:rPr>
                <w:szCs w:val="20"/>
                <w:sz w:val="20"/>
              </w:rPr>
              <w:t xml:space="preserve">5.563</w:t>
            </w:r>
          </w:p>
        </w:tc>
        <w:tc>
          <w:tcPr/>
          <w:p>
            <w:pPr>
              <w:pStyle w:val="Compact"/>
            </w:pPr>
            <w:r>
              <w:rPr>
                <w:szCs w:val="20"/>
                <w:sz w:val="20"/>
              </w:rPr>
              <w:t xml:space="preserve">5.556</w:t>
            </w:r>
          </w:p>
        </w:tc>
        <w:tc>
          <w:tcPr/>
          <w:p>
            <w:pPr>
              <w:pStyle w:val="Compact"/>
            </w:pPr>
            <w:r>
              <w:rPr>
                <w:szCs w:val="20"/>
                <w:sz w:val="20"/>
              </w:rPr>
              <w:t xml:space="preserve">5.560</w:t>
            </w:r>
          </w:p>
        </w:tc>
        <w:tc>
          <w:tcPr/>
          <w:p>
            <w:pPr>
              <w:pStyle w:val="Compact"/>
            </w:pPr>
            <w:r>
              <w:rPr>
                <w:szCs w:val="20"/>
                <w:sz w:val="20"/>
              </w:rPr>
              <w:t xml:space="preserve">5.557</w:t>
            </w:r>
          </w:p>
        </w:tc>
        <w:tc>
          <w:tcPr/>
          <w:p>
            <w:pPr>
              <w:pStyle w:val="Compact"/>
            </w:pPr>
            <w:r>
              <w:rPr>
                <w:szCs w:val="20"/>
                <w:sz w:val="20"/>
              </w:rPr>
              <w:t xml:space="preserve">5.560</w:t>
            </w:r>
          </w:p>
        </w:tc>
        <w:tc>
          <w:tcPr/>
          <w:p>
            <w:pPr>
              <w:pStyle w:val="Compact"/>
            </w:pPr>
            <w:r>
              <w:rPr>
                <w:szCs w:val="20"/>
                <w:sz w:val="20"/>
              </w:rPr>
              <w:t xml:space="preserve">5.560</w:t>
            </w:r>
          </w:p>
        </w:tc>
        <w:tc>
          <w:tcPr/>
          <w:p>
            <w:pPr>
              <w:pStyle w:val="Compact"/>
            </w:pPr>
            <w:r>
              <w:rPr>
                <w:szCs w:val="20"/>
                <w:sz w:val="20"/>
              </w:rPr>
              <w:t xml:space="preserve">5.558</w:t>
            </w:r>
          </w:p>
        </w:tc>
        <w:tc>
          <w:tcPr/>
          <w:p>
            <w:pPr>
              <w:pStyle w:val="Compact"/>
            </w:pPr>
            <w:r>
              <w:rPr>
                <w:szCs w:val="20"/>
                <w:sz w:val="20"/>
              </w:rPr>
              <w:t xml:space="preserve">5.555</w:t>
            </w:r>
          </w:p>
        </w:tc>
      </w:tr>
      <w:tr>
        <w:trPr>
          <w:cantSplit/>
        </w:trPr>
        <w:tc>
          <w:tcPr/>
          <w:p>
            <w:pPr>
              <w:pStyle w:val="Compact"/>
            </w:pPr>
            <w:r>
              <w:rPr>
                <w:szCs w:val="20"/>
                <w:sz w:val="20"/>
              </w:rPr>
              <w:t xml:space="preserve">D</w:t>
            </w:r>
          </w:p>
        </w:tc>
        <w:tc>
          <w:tcPr/>
          <w:p>
            <w:pPr>
              <w:pStyle w:val="Compact"/>
            </w:pPr>
            <w:r>
              <w:rPr>
                <w:szCs w:val="20"/>
                <w:sz w:val="20"/>
              </w:rPr>
              <w:t xml:space="preserve">5.549</w:t>
            </w:r>
          </w:p>
        </w:tc>
        <w:tc>
          <w:tcPr/>
          <w:p>
            <w:pPr>
              <w:pStyle w:val="Compact"/>
            </w:pPr>
            <w:r>
              <w:rPr>
                <w:szCs w:val="20"/>
                <w:sz w:val="20"/>
              </w:rPr>
              <w:t xml:space="preserve">5.552</w:t>
            </w:r>
          </w:p>
        </w:tc>
        <w:tc>
          <w:tcPr/>
          <w:p>
            <w:pPr>
              <w:pStyle w:val="Compact"/>
            </w:pPr>
            <w:r>
              <w:rPr>
                <w:szCs w:val="20"/>
                <w:sz w:val="20"/>
              </w:rPr>
              <w:t xml:space="preserve">5.552</w:t>
            </w:r>
          </w:p>
        </w:tc>
        <w:tc>
          <w:tcPr/>
          <w:p>
            <w:pPr>
              <w:pStyle w:val="Compact"/>
            </w:pPr>
            <w:r>
              <w:rPr>
                <w:szCs w:val="20"/>
                <w:sz w:val="20"/>
              </w:rPr>
              <w:t xml:space="preserve">5.555</w:t>
            </w:r>
          </w:p>
        </w:tc>
        <w:tc>
          <w:tcPr/>
          <w:p>
            <w:pPr>
              <w:pStyle w:val="Compact"/>
            </w:pPr>
            <w:r>
              <w:rPr>
                <w:szCs w:val="20"/>
                <w:sz w:val="20"/>
              </w:rPr>
              <w:t xml:space="preserve">5.552</w:t>
            </w:r>
          </w:p>
        </w:tc>
        <w:tc>
          <w:tcPr/>
          <w:p>
            <w:pPr>
              <w:pStyle w:val="Compact"/>
            </w:pPr>
            <w:r>
              <w:rPr>
                <w:szCs w:val="20"/>
                <w:sz w:val="20"/>
              </w:rPr>
              <w:t xml:space="preserve">5.552</w:t>
            </w:r>
          </w:p>
        </w:tc>
        <w:tc>
          <w:tcPr/>
          <w:p>
            <w:pPr>
              <w:pStyle w:val="Compact"/>
            </w:pPr>
            <w:r>
              <w:rPr>
                <w:szCs w:val="20"/>
                <w:sz w:val="20"/>
              </w:rPr>
              <w:t xml:space="preserve">5.549</w:t>
            </w:r>
          </w:p>
        </w:tc>
        <w:tc>
          <w:tcPr/>
          <w:p>
            <w:pPr>
              <w:pStyle w:val="Compact"/>
            </w:pPr>
            <w:r>
              <w:rPr>
                <w:szCs w:val="20"/>
                <w:sz w:val="20"/>
              </w:rPr>
              <w:t xml:space="preserve">5.552</w:t>
            </w:r>
          </w:p>
        </w:tc>
        <w:tc>
          <w:tcPr/>
          <w:p>
            <w:pPr>
              <w:pStyle w:val="Compact"/>
            </w:pPr>
            <w:r>
              <w:rPr>
                <w:szCs w:val="20"/>
                <w:sz w:val="20"/>
              </w:rPr>
              <w:t xml:space="preserve">5.549</w:t>
            </w:r>
          </w:p>
        </w:tc>
        <w:tc>
          <w:tcPr/>
          <w:p>
            <w:pPr>
              <w:pStyle w:val="Compact"/>
            </w:pPr>
            <w:r>
              <w:rPr>
                <w:szCs w:val="20"/>
                <w:sz w:val="20"/>
              </w:rPr>
              <w:t xml:space="preserve">5.552</w:t>
            </w:r>
          </w:p>
        </w:tc>
        <w:tc>
          <w:tcPr/>
          <w:p>
            <w:pPr>
              <w:pStyle w:val="Compact"/>
            </w:pPr>
            <w:r>
              <w:rPr>
                <w:szCs w:val="20"/>
                <w:sz w:val="20"/>
              </w:rPr>
              <w:t xml:space="preserve">5.550</w:t>
            </w:r>
          </w:p>
        </w:tc>
        <w:tc>
          <w:tcPr/>
          <w:p>
            <w:pPr>
              <w:pStyle w:val="Compact"/>
            </w:pPr>
            <w:r>
              <w:rPr>
                <w:szCs w:val="20"/>
                <w:sz w:val="20"/>
              </w:rPr>
              <w:t xml:space="preserve">5.545</w:t>
            </w:r>
          </w:p>
        </w:tc>
      </w:tr>
      <w:tr>
        <w:trPr>
          <w:cantSplit/>
        </w:trPr>
        <w:tc>
          <w:tcPr/>
          <w:p>
            <w:pPr>
              <w:pStyle w:val="Compact"/>
            </w:pPr>
            <w:r>
              <w:rPr>
                <w:szCs w:val="20"/>
                <w:sz w:val="20"/>
              </w:rPr>
              <w:t xml:space="preserve">E</w:t>
            </w:r>
          </w:p>
        </w:tc>
        <w:tc>
          <w:tcPr/>
          <w:p>
            <w:pPr>
              <w:pStyle w:val="Compact"/>
            </w:pPr>
            <w:r>
              <w:rPr>
                <w:szCs w:val="20"/>
                <w:sz w:val="20"/>
              </w:rPr>
              <w:t xml:space="preserve">5.543</w:t>
            </w:r>
          </w:p>
        </w:tc>
        <w:tc>
          <w:tcPr/>
          <w:p>
            <w:pPr>
              <w:pStyle w:val="Compact"/>
            </w:pPr>
            <w:r>
              <w:rPr>
                <w:szCs w:val="20"/>
                <w:sz w:val="20"/>
              </w:rPr>
              <w:t xml:space="preserve">5.546</w:t>
            </w:r>
          </w:p>
        </w:tc>
        <w:tc>
          <w:tcPr/>
          <w:p>
            <w:pPr>
              <w:pStyle w:val="Compact"/>
            </w:pPr>
            <w:r>
              <w:rPr>
                <w:szCs w:val="20"/>
                <w:sz w:val="20"/>
              </w:rPr>
              <w:t xml:space="preserve">5.549</w:t>
            </w:r>
          </w:p>
        </w:tc>
        <w:tc>
          <w:tcPr/>
          <w:p>
            <w:pPr>
              <w:pStyle w:val="Compact"/>
            </w:pPr>
            <w:r>
              <w:rPr>
                <w:szCs w:val="20"/>
                <w:sz w:val="20"/>
              </w:rPr>
              <w:t xml:space="preserve">5.550</w:t>
            </w:r>
          </w:p>
        </w:tc>
        <w:tc>
          <w:tcPr/>
          <w:p>
            <w:pPr>
              <w:pStyle w:val="Compact"/>
            </w:pPr>
            <w:r>
              <w:rPr>
                <w:szCs w:val="20"/>
                <w:sz w:val="20"/>
              </w:rPr>
              <w:t xml:space="preserve">5.547</w:t>
            </w:r>
          </w:p>
        </w:tc>
        <w:tc>
          <w:tcPr/>
          <w:p>
            <w:pPr>
              <w:pStyle w:val="Compact"/>
            </w:pPr>
            <w:r>
              <w:rPr>
                <w:szCs w:val="20"/>
                <w:sz w:val="20"/>
              </w:rPr>
              <w:t xml:space="preserve">5.547</w:t>
            </w:r>
          </w:p>
        </w:tc>
        <w:tc>
          <w:tcPr/>
          <w:p>
            <w:pPr>
              <w:pStyle w:val="Compact"/>
            </w:pPr>
            <w:r>
              <w:rPr>
                <w:szCs w:val="20"/>
                <w:sz w:val="20"/>
              </w:rPr>
              <w:t xml:space="preserve">5.548</w:t>
            </w:r>
          </w:p>
        </w:tc>
        <w:tc>
          <w:tcPr/>
          <w:p>
            <w:pPr>
              <w:pStyle w:val="Compact"/>
            </w:pPr>
            <w:r>
              <w:rPr>
                <w:szCs w:val="20"/>
                <w:sz w:val="20"/>
              </w:rPr>
              <w:t xml:space="preserve">5.544</w:t>
            </w:r>
          </w:p>
        </w:tc>
        <w:tc>
          <w:tcPr/>
          <w:p>
            <w:pPr>
              <w:pStyle w:val="Compact"/>
            </w:pPr>
            <w:r>
              <w:rPr>
                <w:szCs w:val="20"/>
                <w:sz w:val="20"/>
              </w:rPr>
              <w:t xml:space="preserve">5.544</w:t>
            </w:r>
          </w:p>
        </w:tc>
        <w:tc>
          <w:tcPr/>
          <w:p>
            <w:pPr>
              <w:pStyle w:val="Compact"/>
            </w:pPr>
            <w:r>
              <w:rPr>
                <w:szCs w:val="20"/>
                <w:sz w:val="20"/>
              </w:rPr>
              <w:t xml:space="preserve">5.543</w:t>
            </w:r>
          </w:p>
        </w:tc>
        <w:tc>
          <w:tcPr/>
          <w:p>
            <w:pPr>
              <w:pStyle w:val="Compact"/>
            </w:pPr>
            <w:r>
              <w:rPr>
                <w:szCs w:val="20"/>
                <w:sz w:val="20"/>
              </w:rPr>
              <w:t xml:space="preserve">5.536</w:t>
            </w:r>
          </w:p>
        </w:tc>
        <w:tc>
          <w:tcPr/>
          <w:p>
            <w:pPr>
              <w:pStyle w:val="Compact"/>
            </w:pPr>
            <w:r>
              <w:rPr>
                <w:szCs w:val="20"/>
                <w:sz w:val="20"/>
              </w:rPr>
              <w:t xml:space="preserve">5.532</w:t>
            </w:r>
          </w:p>
        </w:tc>
      </w:tr>
      <w:tr>
        <w:trPr>
          <w:cantSplit/>
        </w:trPr>
        <w:tc>
          <w:tcPr/>
          <w:p>
            <w:pPr>
              <w:pStyle w:val="Compact"/>
            </w:pPr>
            <w:r>
              <w:rPr>
                <w:szCs w:val="20"/>
                <w:sz w:val="20"/>
              </w:rPr>
              <w:t xml:space="preserve">F</w:t>
            </w:r>
          </w:p>
        </w:tc>
        <w:tc>
          <w:tcPr/>
          <w:p>
            <w:pPr>
              <w:pStyle w:val="Compact"/>
            </w:pPr>
            <w:r>
              <w:rPr>
                <w:szCs w:val="20"/>
                <w:sz w:val="20"/>
              </w:rPr>
              <w:t xml:space="preserve">5.522</w:t>
            </w:r>
          </w:p>
        </w:tc>
        <w:tc>
          <w:tcPr/>
          <w:p>
            <w:pPr>
              <w:pStyle w:val="Compact"/>
            </w:pPr>
            <w:r>
              <w:rPr>
                <w:szCs w:val="20"/>
                <w:sz w:val="20"/>
              </w:rPr>
              <w:t xml:space="preserve">5.531</w:t>
            </w:r>
          </w:p>
        </w:tc>
        <w:tc>
          <w:tcPr/>
          <w:p>
            <w:pPr>
              <w:pStyle w:val="Compact"/>
            </w:pPr>
            <w:r>
              <w:rPr>
                <w:szCs w:val="20"/>
                <w:sz w:val="20"/>
              </w:rPr>
              <w:t xml:space="preserve">5.548</w:t>
            </w:r>
          </w:p>
        </w:tc>
        <w:tc>
          <w:tcPr/>
          <w:p>
            <w:pPr>
              <w:pStyle w:val="Compact"/>
            </w:pPr>
            <w:r>
              <w:rPr>
                <w:szCs w:val="20"/>
                <w:sz w:val="20"/>
              </w:rPr>
              <w:t xml:space="preserve">5.544</w:t>
            </w:r>
          </w:p>
        </w:tc>
        <w:tc>
          <w:tcPr/>
          <w:p>
            <w:pPr>
              <w:pStyle w:val="Compact"/>
            </w:pPr>
            <w:r>
              <w:rPr>
                <w:szCs w:val="20"/>
                <w:sz w:val="20"/>
              </w:rPr>
              <w:t xml:space="preserve">5.540</w:t>
            </w:r>
          </w:p>
        </w:tc>
        <w:tc>
          <w:tcPr/>
          <w:p>
            <w:pPr>
              <w:pStyle w:val="Compact"/>
            </w:pPr>
            <w:r>
              <w:rPr>
                <w:szCs w:val="20"/>
                <w:sz w:val="20"/>
              </w:rPr>
              <w:t xml:space="preserve">5.540</w:t>
            </w:r>
          </w:p>
        </w:tc>
        <w:tc>
          <w:tcPr/>
          <w:p>
            <w:pPr>
              <w:pStyle w:val="Compact"/>
            </w:pPr>
            <w:r>
              <w:rPr>
                <w:szCs w:val="20"/>
                <w:sz w:val="20"/>
              </w:rPr>
              <w:t xml:space="preserve">5.543</w:t>
            </w:r>
          </w:p>
        </w:tc>
        <w:tc>
          <w:tcPr/>
          <w:p>
            <w:pPr>
              <w:pStyle w:val="Compact"/>
            </w:pPr>
            <w:r>
              <w:rPr>
                <w:szCs w:val="20"/>
                <w:sz w:val="20"/>
              </w:rPr>
              <w:t xml:space="preserve">5.542</w:t>
            </w:r>
          </w:p>
        </w:tc>
        <w:tc>
          <w:tcPr/>
          <w:p>
            <w:pPr>
              <w:pStyle w:val="Compact"/>
            </w:pPr>
            <w:r>
              <w:rPr>
                <w:szCs w:val="20"/>
                <w:sz w:val="20"/>
              </w:rPr>
              <w:t xml:space="preserve">5.536</w:t>
            </w:r>
          </w:p>
        </w:tc>
        <w:tc>
          <w:tcPr/>
          <w:p>
            <w:pPr>
              <w:pStyle w:val="Compact"/>
            </w:pPr>
            <w:r>
              <w:rPr>
                <w:szCs w:val="20"/>
                <w:sz w:val="20"/>
              </w:rPr>
              <w:t xml:space="preserve">5.531</w:t>
            </w:r>
          </w:p>
        </w:tc>
        <w:tc>
          <w:tcPr/>
          <w:p>
            <w:pPr>
              <w:pStyle w:val="Compact"/>
            </w:pPr>
            <w:r>
              <w:rPr>
                <w:szCs w:val="20"/>
                <w:sz w:val="20"/>
              </w:rPr>
              <w:t xml:space="preserve">5.528</w:t>
            </w:r>
          </w:p>
        </w:tc>
        <w:tc>
          <w:tcPr/>
          <w:p>
            <w:pPr>
              <w:pStyle w:val="Compact"/>
            </w:pPr>
            <w:r>
              <w:rPr>
                <w:szCs w:val="20"/>
                <w:sz w:val="20"/>
              </w:rPr>
              <w:t xml:space="preserve">5.522</w:t>
            </w:r>
          </w:p>
        </w:tc>
      </w:tr>
      <w:tr>
        <w:trPr>
          <w:cantSplit/>
        </w:trPr>
        <w:tc>
          <w:tcPr/>
          <w:p>
            <w:pPr>
              <w:pStyle w:val="Compact"/>
            </w:pPr>
            <w:r>
              <w:rPr>
                <w:szCs w:val="20"/>
                <w:sz w:val="20"/>
              </w:rPr>
              <w:t xml:space="preserve">G</w:t>
            </w:r>
          </w:p>
        </w:tc>
        <w:tc>
          <w:tcPr/>
          <w:p>
            <w:pPr>
              <w:pStyle w:val="Compact"/>
            </w:pPr>
            <w:r>
              <w:rPr>
                <w:szCs w:val="20"/>
                <w:sz w:val="20"/>
              </w:rPr>
              <w:t xml:space="preserve">5.519</w:t>
            </w:r>
          </w:p>
        </w:tc>
        <w:tc>
          <w:tcPr/>
          <w:p>
            <w:pPr>
              <w:pStyle w:val="Compact"/>
            </w:pPr>
            <w:r>
              <w:rPr>
                <w:szCs w:val="20"/>
                <w:sz w:val="20"/>
              </w:rPr>
              <w:t xml:space="preserve">5.528</w:t>
            </w:r>
          </w:p>
        </w:tc>
        <w:tc>
          <w:tcPr/>
          <w:p>
            <w:pPr>
              <w:pStyle w:val="Compact"/>
            </w:pPr>
            <w:r>
              <w:rPr>
                <w:szCs w:val="20"/>
                <w:sz w:val="20"/>
              </w:rPr>
              <w:t xml:space="preserve">5.542</w:t>
            </w:r>
          </w:p>
        </w:tc>
        <w:tc>
          <w:tcPr/>
          <w:p>
            <w:pPr>
              <w:pStyle w:val="Compact"/>
            </w:pPr>
            <w:r>
              <w:rPr>
                <w:szCs w:val="20"/>
                <w:sz w:val="20"/>
              </w:rPr>
              <w:t xml:space="preserve">5.543</w:t>
            </w:r>
          </w:p>
        </w:tc>
        <w:tc>
          <w:tcPr/>
          <w:p>
            <w:pPr>
              <w:pStyle w:val="Compact"/>
            </w:pPr>
            <w:r>
              <w:rPr>
                <w:szCs w:val="20"/>
                <w:sz w:val="20"/>
              </w:rPr>
              <w:t xml:space="preserve">5.536</w:t>
            </w:r>
          </w:p>
        </w:tc>
        <w:tc>
          <w:tcPr/>
          <w:p>
            <w:pPr>
              <w:pStyle w:val="Compact"/>
            </w:pPr>
            <w:r>
              <w:rPr>
                <w:szCs w:val="20"/>
                <w:sz w:val="20"/>
              </w:rPr>
              <w:t xml:space="preserve">5.535</w:t>
            </w:r>
          </w:p>
        </w:tc>
        <w:tc>
          <w:tcPr/>
          <w:p>
            <w:pPr>
              <w:pStyle w:val="Compact"/>
            </w:pPr>
            <w:r>
              <w:rPr>
                <w:szCs w:val="20"/>
                <w:sz w:val="20"/>
              </w:rPr>
              <w:t xml:space="preserve">5.538</w:t>
            </w:r>
          </w:p>
        </w:tc>
        <w:tc>
          <w:tcPr/>
          <w:p>
            <w:pPr>
              <w:pStyle w:val="Compact"/>
            </w:pPr>
            <w:r>
              <w:rPr>
                <w:szCs w:val="20"/>
                <w:sz w:val="20"/>
              </w:rPr>
              <w:t xml:space="preserve">5.538</w:t>
            </w:r>
          </w:p>
        </w:tc>
        <w:tc>
          <w:tcPr/>
          <w:p>
            <w:pPr>
              <w:pStyle w:val="Compact"/>
            </w:pPr>
            <w:r>
              <w:rPr>
                <w:szCs w:val="20"/>
                <w:sz w:val="20"/>
              </w:rPr>
              <w:t xml:space="preserve">5.532</w:t>
            </w:r>
          </w:p>
        </w:tc>
        <w:tc>
          <w:tcPr/>
          <w:p>
            <w:pPr>
              <w:pStyle w:val="Compact"/>
            </w:pPr>
            <w:r>
              <w:rPr>
                <w:szCs w:val="20"/>
                <w:sz w:val="20"/>
              </w:rPr>
              <w:t xml:space="preserve">5.529</w:t>
            </w:r>
          </w:p>
        </w:tc>
        <w:tc>
          <w:tcPr/>
          <w:p>
            <w:pPr>
              <w:pStyle w:val="Compact"/>
            </w:pPr>
            <w:r>
              <w:rPr>
                <w:szCs w:val="20"/>
                <w:sz w:val="20"/>
              </w:rPr>
              <w:t xml:space="preserve">5.521</w:t>
            </w:r>
          </w:p>
        </w:tc>
        <w:tc>
          <w:tcPr/>
          <w:p>
            <w:pPr>
              <w:pStyle w:val="Compact"/>
            </w:pPr>
            <w:r>
              <w:rPr>
                <w:szCs w:val="20"/>
                <w:sz w:val="20"/>
              </w:rPr>
              <w:t xml:space="preserve">5.501</w:t>
            </w:r>
          </w:p>
        </w:tc>
      </w:tr>
      <w:tr>
        <w:trPr>
          <w:cantSplit/>
        </w:trPr>
        <w:tc>
          <w:tcPr/>
          <w:p>
            <w:pPr>
              <w:pStyle w:val="Compact"/>
            </w:pPr>
            <w:r>
              <w:rPr>
                <w:szCs w:val="20"/>
                <w:sz w:val="20"/>
              </w:rPr>
              <w:t xml:space="preserve">H</w:t>
            </w:r>
          </w:p>
        </w:tc>
        <w:tc>
          <w:tcPr/>
          <w:p>
            <w:pPr>
              <w:pStyle w:val="Compact"/>
            </w:pPr>
            <w:r>
              <w:rPr>
                <w:szCs w:val="20"/>
                <w:sz w:val="20"/>
              </w:rPr>
              <w:t xml:space="preserve">5.499</w:t>
            </w:r>
          </w:p>
        </w:tc>
        <w:tc>
          <w:tcPr/>
          <w:p>
            <w:pPr>
              <w:pStyle w:val="Compact"/>
            </w:pPr>
            <w:r>
              <w:rPr>
                <w:szCs w:val="20"/>
                <w:sz w:val="20"/>
              </w:rPr>
              <w:t xml:space="preserve">5.516</w:t>
            </w:r>
          </w:p>
        </w:tc>
        <w:tc>
          <w:tcPr/>
          <w:p>
            <w:pPr>
              <w:pStyle w:val="Compact"/>
            </w:pPr>
            <w:r>
              <w:rPr>
                <w:szCs w:val="20"/>
                <w:sz w:val="20"/>
              </w:rPr>
              <w:t xml:space="preserve">5.525</w:t>
            </w:r>
          </w:p>
        </w:tc>
        <w:tc>
          <w:tcPr/>
          <w:p>
            <w:pPr>
              <w:pStyle w:val="Compact"/>
            </w:pPr>
            <w:r>
              <w:rPr>
                <w:szCs w:val="20"/>
                <w:sz w:val="20"/>
              </w:rPr>
              <w:t xml:space="preserve">5.525</w:t>
            </w:r>
          </w:p>
        </w:tc>
        <w:tc>
          <w:tcPr/>
          <w:p>
            <w:pPr>
              <w:pStyle w:val="Compact"/>
            </w:pPr>
            <w:r>
              <w:rPr>
                <w:szCs w:val="20"/>
                <w:sz w:val="20"/>
              </w:rPr>
              <w:t xml:space="preserve">5.521</w:t>
            </w:r>
          </w:p>
        </w:tc>
        <w:tc>
          <w:tcPr/>
          <w:p>
            <w:pPr>
              <w:pStyle w:val="Compact"/>
            </w:pPr>
            <w:r>
              <w:rPr>
                <w:szCs w:val="20"/>
                <w:sz w:val="20"/>
              </w:rPr>
              <w:t xml:space="preserve">5.520</w:t>
            </w:r>
          </w:p>
        </w:tc>
        <w:tc>
          <w:tcPr/>
          <w:p>
            <w:pPr>
              <w:pStyle w:val="Compact"/>
            </w:pPr>
            <w:r>
              <w:rPr>
                <w:szCs w:val="20"/>
                <w:sz w:val="20"/>
              </w:rPr>
              <w:t xml:space="preserve">5.529</w:t>
            </w:r>
          </w:p>
        </w:tc>
        <w:tc>
          <w:tcPr/>
          <w:p>
            <w:pPr>
              <w:pStyle w:val="Compact"/>
            </w:pPr>
            <w:r>
              <w:rPr>
                <w:szCs w:val="20"/>
                <w:sz w:val="20"/>
              </w:rPr>
              <w:t xml:space="preserve">5.517</w:t>
            </w:r>
          </w:p>
        </w:tc>
        <w:tc>
          <w:tcPr/>
          <w:p>
            <w:pPr>
              <w:pStyle w:val="Compact"/>
            </w:pPr>
            <w:r>
              <w:rPr>
                <w:szCs w:val="20"/>
                <w:sz w:val="20"/>
              </w:rPr>
              <w:t xml:space="preserve">5.517</w:t>
            </w:r>
          </w:p>
        </w:tc>
        <w:tc>
          <w:tcPr/>
          <w:p>
            <w:pPr>
              <w:pStyle w:val="Compact"/>
            </w:pPr>
            <w:r>
              <w:rPr>
                <w:szCs w:val="20"/>
                <w:sz w:val="20"/>
              </w:rPr>
              <w:t xml:space="preserve">5.503</w:t>
            </w:r>
          </w:p>
        </w:tc>
        <w:tc>
          <w:tcPr/>
          <w:p>
            <w:pPr>
              <w:pStyle w:val="Compact"/>
            </w:pPr>
            <w:r>
              <w:rPr>
                <w:szCs w:val="20"/>
                <w:sz w:val="20"/>
              </w:rPr>
              <w:t xml:space="preserve">5.495</w:t>
            </w:r>
          </w:p>
        </w:tc>
        <w:tc>
          <w:tcPr/>
          <w:p>
            <w:pPr>
              <w:pStyle w:val="Compact"/>
            </w:pPr>
            <w:r>
              <w:rPr>
                <w:szCs w:val="20"/>
                <w:sz w:val="20"/>
              </w:rPr>
              <w:t xml:space="preserve">5.483</w:t>
            </w:r>
          </w:p>
        </w:tc>
      </w:tr>
    </w:tbl>
    <w:bookmarkEnd w:id="46"/>
    <w:bookmarkStart w:id="47" w:name="s1b.-deviation-from-mean-µm"/>
    <w:p>
      <w:pPr>
        <w:pStyle w:val="Heading2"/>
      </w:pPr>
      <w:r>
        <w:t xml:space="preserve">S1B. Deviation from mean (µm)</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cantSplit/>
        </w:trPr>
        <w:tc>
          <w:tcPr/>
          <w:p>
            <w:pPr>
              <w:pStyle w:val="Compact"/>
            </w:pPr>
            <w:r>
              <w:rPr>
                <w:szCs w:val="20"/>
                <w:sz w:val="20"/>
              </w:rPr>
              <w:t xml:space="preserve">Row</w:t>
            </w:r>
          </w:p>
        </w:tc>
        <w:tc>
          <w:tcPr/>
          <w:p>
            <w:pPr>
              <w:pStyle w:val="Compact"/>
            </w:pPr>
            <w:r>
              <w:rPr>
                <w:szCs w:val="20"/>
                <w:sz w:val="20"/>
              </w:rPr>
              <w:t xml:space="preserve">1</w:t>
            </w:r>
          </w:p>
        </w:tc>
        <w:tc>
          <w:tcPr/>
          <w:p>
            <w:pPr>
              <w:pStyle w:val="Compact"/>
            </w:pPr>
            <w:r>
              <w:rPr>
                <w:szCs w:val="20"/>
                <w:sz w:val="20"/>
              </w:rPr>
              <w:t xml:space="preserve">2</w:t>
            </w:r>
          </w:p>
        </w:tc>
        <w:tc>
          <w:tcPr/>
          <w:p>
            <w:pPr>
              <w:pStyle w:val="Compact"/>
            </w:pPr>
            <w:r>
              <w:rPr>
                <w:szCs w:val="20"/>
                <w:sz w:val="20"/>
              </w:rPr>
              <w:t xml:space="preserve">3</w:t>
            </w:r>
          </w:p>
        </w:tc>
        <w:tc>
          <w:tcPr/>
          <w:p>
            <w:pPr>
              <w:pStyle w:val="Compact"/>
            </w:pPr>
            <w:r>
              <w:rPr>
                <w:szCs w:val="20"/>
                <w:sz w:val="20"/>
              </w:rPr>
              <w:t xml:space="preserve">4</w:t>
            </w:r>
          </w:p>
        </w:tc>
        <w:tc>
          <w:tcPr/>
          <w:p>
            <w:pPr>
              <w:pStyle w:val="Compact"/>
            </w:pPr>
            <w:r>
              <w:rPr>
                <w:szCs w:val="20"/>
                <w:sz w:val="20"/>
              </w:rPr>
              <w:t xml:space="preserve">5</w:t>
            </w:r>
          </w:p>
        </w:tc>
        <w:tc>
          <w:tcPr/>
          <w:p>
            <w:pPr>
              <w:pStyle w:val="Compact"/>
            </w:pPr>
            <w:r>
              <w:rPr>
                <w:szCs w:val="20"/>
                <w:sz w:val="20"/>
              </w:rPr>
              <w:t xml:space="preserve">6</w:t>
            </w:r>
          </w:p>
        </w:tc>
        <w:tc>
          <w:tcPr/>
          <w:p>
            <w:pPr>
              <w:pStyle w:val="Compact"/>
            </w:pPr>
            <w:r>
              <w:rPr>
                <w:szCs w:val="20"/>
                <w:sz w:val="20"/>
              </w:rPr>
              <w:t xml:space="preserve">7</w:t>
            </w:r>
          </w:p>
        </w:tc>
        <w:tc>
          <w:tcPr/>
          <w:p>
            <w:pPr>
              <w:pStyle w:val="Compact"/>
            </w:pPr>
            <w:r>
              <w:rPr>
                <w:szCs w:val="20"/>
                <w:sz w:val="20"/>
              </w:rPr>
              <w:t xml:space="preserve">8</w:t>
            </w:r>
          </w:p>
        </w:tc>
        <w:tc>
          <w:tcPr/>
          <w:p>
            <w:pPr>
              <w:pStyle w:val="Compact"/>
            </w:pPr>
            <w:r>
              <w:rPr>
                <w:szCs w:val="20"/>
                <w:sz w:val="20"/>
              </w:rPr>
              <w:t xml:space="preserve">9</w:t>
            </w:r>
          </w:p>
        </w:tc>
        <w:tc>
          <w:tcPr/>
          <w:p>
            <w:pPr>
              <w:pStyle w:val="Compact"/>
            </w:pPr>
            <w:r>
              <w:rPr>
                <w:szCs w:val="20"/>
                <w:sz w:val="20"/>
              </w:rPr>
              <w:t xml:space="preserve">10</w:t>
            </w:r>
          </w:p>
        </w:tc>
        <w:tc>
          <w:tcPr/>
          <w:p>
            <w:pPr>
              <w:pStyle w:val="Compact"/>
            </w:pPr>
            <w:r>
              <w:rPr>
                <w:szCs w:val="20"/>
                <w:sz w:val="20"/>
              </w:rPr>
              <w:t xml:space="preserve">11</w:t>
            </w:r>
          </w:p>
        </w:tc>
        <w:tc>
          <w:tcPr/>
          <w:p>
            <w:pPr>
              <w:pStyle w:val="Compact"/>
            </w:pPr>
            <w:r>
              <w:rPr>
                <w:szCs w:val="20"/>
                <w:sz w:val="20"/>
              </w:rPr>
              <w:t xml:space="preserve">12</w:t>
            </w:r>
          </w:p>
        </w:tc>
      </w:tr>
      <w:tr>
        <w:trPr>
          <w:cantSplit/>
        </w:trPr>
        <w:tc>
          <w:tcPr/>
          <w:p>
            <w:pPr>
              <w:pStyle w:val="Compact"/>
            </w:pPr>
            <w:r>
              <w:rPr>
                <w:szCs w:val="20"/>
                <w:sz w:val="20"/>
              </w:rPr>
              <w:t xml:space="preserve">A</w:t>
            </w:r>
          </w:p>
        </w:tc>
        <w:tc>
          <w:tcPr/>
          <w:p>
            <w:pPr>
              <w:pStyle w:val="Compact"/>
            </w:pPr>
            <w:r>
              <w:rPr>
                <w:szCs w:val="20"/>
                <w:sz w:val="20"/>
              </w:rPr>
              <w:t xml:space="preserve">+16.2</w:t>
            </w:r>
          </w:p>
        </w:tc>
        <w:tc>
          <w:tcPr/>
          <w:p>
            <w:pPr>
              <w:pStyle w:val="Compact"/>
            </w:pPr>
            <w:r>
              <w:rPr>
                <w:szCs w:val="20"/>
                <w:sz w:val="20"/>
              </w:rPr>
              <w:t xml:space="preserve">+37.2</w:t>
            </w:r>
          </w:p>
        </w:tc>
        <w:tc>
          <w:tcPr/>
          <w:p>
            <w:pPr>
              <w:pStyle w:val="Compact"/>
            </w:pPr>
            <w:r>
              <w:rPr>
                <w:szCs w:val="20"/>
                <w:sz w:val="20"/>
              </w:rPr>
              <w:t xml:space="preserve">+48.2</w:t>
            </w:r>
          </w:p>
        </w:tc>
        <w:tc>
          <w:tcPr/>
          <w:p>
            <w:pPr>
              <w:pStyle w:val="Compact"/>
            </w:pPr>
            <w:r>
              <w:rPr>
                <w:szCs w:val="20"/>
                <w:sz w:val="20"/>
              </w:rPr>
              <w:t xml:space="preserve">+48.2</w:t>
            </w:r>
          </w:p>
        </w:tc>
        <w:tc>
          <w:tcPr/>
          <w:p>
            <w:pPr>
              <w:pStyle w:val="Compact"/>
            </w:pPr>
            <w:r>
              <w:rPr>
                <w:szCs w:val="20"/>
                <w:sz w:val="20"/>
              </w:rPr>
              <w:t xml:space="preserve">+40.2</w:t>
            </w:r>
          </w:p>
        </w:tc>
        <w:tc>
          <w:tcPr/>
          <w:p>
            <w:pPr>
              <w:pStyle w:val="Compact"/>
            </w:pPr>
            <w:r>
              <w:rPr>
                <w:szCs w:val="20"/>
                <w:sz w:val="20"/>
              </w:rPr>
              <w:t xml:space="preserve">+48.2</w:t>
            </w:r>
          </w:p>
        </w:tc>
        <w:tc>
          <w:tcPr/>
          <w:p>
            <w:pPr>
              <w:pStyle w:val="Compact"/>
            </w:pPr>
            <w:r>
              <w:rPr>
                <w:szCs w:val="20"/>
                <w:sz w:val="20"/>
              </w:rPr>
              <w:t xml:space="preserve">+47.2</w:t>
            </w:r>
          </w:p>
        </w:tc>
        <w:tc>
          <w:tcPr/>
          <w:p>
            <w:pPr>
              <w:pStyle w:val="Compact"/>
            </w:pPr>
            <w:r>
              <w:rPr>
                <w:szCs w:val="20"/>
                <w:sz w:val="20"/>
              </w:rPr>
              <w:t xml:space="preserve">+47.2</w:t>
            </w:r>
          </w:p>
        </w:tc>
        <w:tc>
          <w:tcPr/>
          <w:p>
            <w:pPr>
              <w:pStyle w:val="Compact"/>
            </w:pPr>
            <w:r>
              <w:rPr>
                <w:szCs w:val="20"/>
                <w:sz w:val="20"/>
              </w:rPr>
              <w:t xml:space="preserve">+46.2</w:t>
            </w:r>
          </w:p>
        </w:tc>
        <w:tc>
          <w:tcPr/>
          <w:p>
            <w:pPr>
              <w:pStyle w:val="Compact"/>
            </w:pPr>
            <w:r>
              <w:rPr>
                <w:szCs w:val="20"/>
                <w:sz w:val="20"/>
              </w:rPr>
              <w:t xml:space="preserve">+45.2</w:t>
            </w:r>
          </w:p>
        </w:tc>
        <w:tc>
          <w:tcPr/>
          <w:p>
            <w:pPr>
              <w:pStyle w:val="Compact"/>
            </w:pPr>
            <w:r>
              <w:rPr>
                <w:szCs w:val="20"/>
                <w:sz w:val="20"/>
              </w:rPr>
              <w:t xml:space="preserve">+30.2</w:t>
            </w:r>
          </w:p>
        </w:tc>
        <w:tc>
          <w:tcPr/>
          <w:p>
            <w:pPr>
              <w:pStyle w:val="Compact"/>
            </w:pPr>
            <w:r>
              <w:rPr>
                <w:szCs w:val="20"/>
                <w:sz w:val="20"/>
              </w:rPr>
              <w:t xml:space="preserve">+11.2</w:t>
            </w:r>
          </w:p>
        </w:tc>
      </w:tr>
      <w:tr>
        <w:trPr>
          <w:cantSplit/>
        </w:trPr>
        <w:tc>
          <w:tcPr/>
          <w:p>
            <w:pPr>
              <w:pStyle w:val="Compact"/>
            </w:pPr>
            <w:r>
              <w:rPr>
                <w:szCs w:val="20"/>
                <w:sz w:val="20"/>
              </w:rPr>
              <w:t xml:space="preserve">B</w:t>
            </w:r>
          </w:p>
        </w:tc>
        <w:tc>
          <w:tcPr/>
          <w:p>
            <w:pPr>
              <w:pStyle w:val="Compact"/>
            </w:pPr>
            <w:r>
              <w:rPr>
                <w:szCs w:val="20"/>
                <w:sz w:val="20"/>
              </w:rPr>
              <w:t xml:space="preserve">+6.2</w:t>
            </w:r>
          </w:p>
        </w:tc>
        <w:tc>
          <w:tcPr/>
          <w:p>
            <w:pPr>
              <w:pStyle w:val="Compact"/>
            </w:pPr>
            <w:r>
              <w:rPr>
                <w:szCs w:val="20"/>
                <w:sz w:val="20"/>
              </w:rPr>
              <w:t xml:space="preserve">+37.2</w:t>
            </w:r>
          </w:p>
        </w:tc>
        <w:tc>
          <w:tcPr/>
          <w:p>
            <w:pPr>
              <w:pStyle w:val="Compact"/>
            </w:pPr>
            <w:r>
              <w:rPr>
                <w:szCs w:val="20"/>
                <w:sz w:val="20"/>
              </w:rPr>
              <w:t xml:space="preserve">+40.2</w:t>
            </w:r>
          </w:p>
        </w:tc>
        <w:tc>
          <w:tcPr/>
          <w:p>
            <w:pPr>
              <w:pStyle w:val="Compact"/>
            </w:pPr>
            <w:r>
              <w:rPr>
                <w:szCs w:val="20"/>
                <w:sz w:val="20"/>
              </w:rPr>
              <w:t xml:space="preserve">+40.2</w:t>
            </w:r>
          </w:p>
        </w:tc>
        <w:tc>
          <w:tcPr/>
          <w:p>
            <w:pPr>
              <w:pStyle w:val="Compact"/>
            </w:pPr>
            <w:r>
              <w:rPr>
                <w:szCs w:val="20"/>
                <w:sz w:val="20"/>
              </w:rPr>
              <w:t xml:space="preserve">+41.2</w:t>
            </w:r>
          </w:p>
        </w:tc>
        <w:tc>
          <w:tcPr/>
          <w:p>
            <w:pPr>
              <w:pStyle w:val="Compact"/>
            </w:pPr>
            <w:r>
              <w:rPr>
                <w:szCs w:val="20"/>
                <w:sz w:val="20"/>
              </w:rPr>
              <w:t xml:space="preserve">+37.2</w:t>
            </w:r>
          </w:p>
        </w:tc>
        <w:tc>
          <w:tcPr/>
          <w:p>
            <w:pPr>
              <w:pStyle w:val="Compact"/>
            </w:pPr>
            <w:r>
              <w:rPr>
                <w:szCs w:val="20"/>
                <w:sz w:val="20"/>
              </w:rPr>
              <w:t xml:space="preserve">+42.2</w:t>
            </w:r>
          </w:p>
        </w:tc>
        <w:tc>
          <w:tcPr/>
          <w:p>
            <w:pPr>
              <w:pStyle w:val="Compact"/>
            </w:pPr>
            <w:r>
              <w:rPr>
                <w:szCs w:val="20"/>
                <w:sz w:val="20"/>
              </w:rPr>
              <w:t xml:space="preserve">+41.2</w:t>
            </w:r>
          </w:p>
        </w:tc>
        <w:tc>
          <w:tcPr/>
          <w:p>
            <w:pPr>
              <w:pStyle w:val="Compact"/>
            </w:pPr>
            <w:r>
              <w:rPr>
                <w:szCs w:val="20"/>
                <w:sz w:val="20"/>
              </w:rPr>
              <w:t xml:space="preserve">+41.2</w:t>
            </w:r>
          </w:p>
        </w:tc>
        <w:tc>
          <w:tcPr/>
          <w:p>
            <w:pPr>
              <w:pStyle w:val="Compact"/>
            </w:pPr>
            <w:r>
              <w:rPr>
                <w:szCs w:val="20"/>
                <w:sz w:val="20"/>
              </w:rPr>
              <w:t xml:space="preserve">+40.2</w:t>
            </w:r>
          </w:p>
        </w:tc>
        <w:tc>
          <w:tcPr/>
          <w:p>
            <w:pPr>
              <w:pStyle w:val="Compact"/>
            </w:pPr>
            <w:r>
              <w:rPr>
                <w:szCs w:val="20"/>
                <w:sz w:val="20"/>
              </w:rPr>
              <w:t xml:space="preserve">+36.2</w:t>
            </w:r>
          </w:p>
        </w:tc>
        <w:tc>
          <w:tcPr/>
          <w:p>
            <w:pPr>
              <w:pStyle w:val="Compact"/>
            </w:pPr>
            <w:r>
              <w:rPr>
                <w:szCs w:val="20"/>
                <w:sz w:val="20"/>
              </w:rPr>
              <w:t xml:space="preserve">+11.2</w:t>
            </w:r>
          </w:p>
        </w:tc>
      </w:tr>
      <w:tr>
        <w:trPr>
          <w:cantSplit/>
        </w:trPr>
        <w:tc>
          <w:tcPr/>
          <w:p>
            <w:pPr>
              <w:pStyle w:val="Compact"/>
            </w:pPr>
            <w:r>
              <w:rPr>
                <w:szCs w:val="20"/>
                <w:sz w:val="20"/>
              </w:rPr>
              <w:t xml:space="preserve">C</w:t>
            </w:r>
          </w:p>
        </w:tc>
        <w:tc>
          <w:tcPr/>
          <w:p>
            <w:pPr>
              <w:pStyle w:val="Compact"/>
            </w:pPr>
            <w:r>
              <w:rPr>
                <w:szCs w:val="20"/>
                <w:sz w:val="20"/>
              </w:rPr>
              <w:t xml:space="preserve">+4.2</w:t>
            </w:r>
          </w:p>
        </w:tc>
        <w:tc>
          <w:tcPr/>
          <w:p>
            <w:pPr>
              <w:pStyle w:val="Compact"/>
            </w:pPr>
            <w:r>
              <w:rPr>
                <w:szCs w:val="20"/>
                <w:sz w:val="20"/>
              </w:rPr>
              <w:t xml:space="preserve">+5.2</w:t>
            </w:r>
          </w:p>
        </w:tc>
        <w:tc>
          <w:tcPr/>
          <w:p>
            <w:pPr>
              <w:pStyle w:val="Compact"/>
            </w:pPr>
            <w:r>
              <w:rPr>
                <w:szCs w:val="20"/>
                <w:sz w:val="20"/>
              </w:rPr>
              <w:t xml:space="preserve">+4.2</w:t>
            </w:r>
          </w:p>
        </w:tc>
        <w:tc>
          <w:tcPr/>
          <w:p>
            <w:pPr>
              <w:pStyle w:val="Compact"/>
            </w:pPr>
            <w:r>
              <w:rPr>
                <w:szCs w:val="20"/>
                <w:sz w:val="20"/>
              </w:rPr>
              <w:t xml:space="preserve">+12.2</w:t>
            </w:r>
          </w:p>
        </w:tc>
        <w:tc>
          <w:tcPr/>
          <w:p>
            <w:pPr>
              <w:pStyle w:val="Compact"/>
            </w:pPr>
            <w:r>
              <w:rPr>
                <w:szCs w:val="20"/>
                <w:sz w:val="20"/>
              </w:rPr>
              <w:t xml:space="preserve">+12.2</w:t>
            </w:r>
          </w:p>
        </w:tc>
        <w:tc>
          <w:tcPr/>
          <w:p>
            <w:pPr>
              <w:pStyle w:val="Compact"/>
            </w:pPr>
            <w:r>
              <w:rPr>
                <w:szCs w:val="20"/>
                <w:sz w:val="20"/>
              </w:rPr>
              <w:t xml:space="preserve">+5.2</w:t>
            </w:r>
          </w:p>
        </w:tc>
        <w:tc>
          <w:tcPr/>
          <w:p>
            <w:pPr>
              <w:pStyle w:val="Compact"/>
            </w:pPr>
            <w:r>
              <w:rPr>
                <w:szCs w:val="20"/>
                <w:sz w:val="20"/>
              </w:rPr>
              <w:t xml:space="preserve">+9.2</w:t>
            </w:r>
          </w:p>
        </w:tc>
        <w:tc>
          <w:tcPr/>
          <w:p>
            <w:pPr>
              <w:pStyle w:val="Compact"/>
            </w:pPr>
            <w:r>
              <w:rPr>
                <w:szCs w:val="20"/>
                <w:sz w:val="20"/>
              </w:rPr>
              <w:t xml:space="preserve">+6.2</w:t>
            </w:r>
          </w:p>
        </w:tc>
        <w:tc>
          <w:tcPr/>
          <w:p>
            <w:pPr>
              <w:pStyle w:val="Compact"/>
            </w:pPr>
            <w:r>
              <w:rPr>
                <w:szCs w:val="20"/>
                <w:sz w:val="20"/>
              </w:rPr>
              <w:t xml:space="preserve">+9.2</w:t>
            </w:r>
          </w:p>
        </w:tc>
        <w:tc>
          <w:tcPr/>
          <w:p>
            <w:pPr>
              <w:pStyle w:val="Compact"/>
            </w:pPr>
            <w:r>
              <w:rPr>
                <w:szCs w:val="20"/>
                <w:sz w:val="20"/>
              </w:rPr>
              <w:t xml:space="preserve">+9.2</w:t>
            </w:r>
          </w:p>
        </w:tc>
        <w:tc>
          <w:tcPr/>
          <w:p>
            <w:pPr>
              <w:pStyle w:val="Compact"/>
            </w:pPr>
            <w:r>
              <w:rPr>
                <w:szCs w:val="20"/>
                <w:sz w:val="20"/>
              </w:rPr>
              <w:t xml:space="preserve">+7.2</w:t>
            </w:r>
          </w:p>
        </w:tc>
        <w:tc>
          <w:tcPr/>
          <w:p>
            <w:pPr>
              <w:pStyle w:val="Compact"/>
            </w:pPr>
            <w:r>
              <w:rPr>
                <w:szCs w:val="20"/>
                <w:sz w:val="20"/>
              </w:rPr>
              <w:t xml:space="preserve">+4.2</w:t>
            </w:r>
          </w:p>
        </w:tc>
      </w:tr>
      <w:tr>
        <w:trPr>
          <w:cantSplit/>
        </w:trPr>
        <w:tc>
          <w:tcPr/>
          <w:p>
            <w:pPr>
              <w:pStyle w:val="Compact"/>
            </w:pPr>
            <w:r>
              <w:rPr>
                <w:szCs w:val="20"/>
                <w:sz w:val="20"/>
              </w:rPr>
              <w:t xml:space="preserve">D</w:t>
            </w:r>
          </w:p>
        </w:tc>
        <w:tc>
          <w:tcPr/>
          <w:p>
            <w:pPr>
              <w:pStyle w:val="Compact"/>
            </w:pPr>
            <w:r>
              <w:rPr>
                <w:szCs w:val="20"/>
                <w:sz w:val="20"/>
              </w:rPr>
              <w:t xml:space="preserve">-1.8</w:t>
            </w:r>
          </w:p>
        </w:tc>
        <w:tc>
          <w:tcPr/>
          <w:p>
            <w:pPr>
              <w:pStyle w:val="Compact"/>
            </w:pPr>
            <w:r>
              <w:rPr>
                <w:szCs w:val="20"/>
                <w:sz w:val="20"/>
              </w:rPr>
              <w:t xml:space="preserve">+1.2</w:t>
            </w:r>
          </w:p>
        </w:tc>
        <w:tc>
          <w:tcPr/>
          <w:p>
            <w:pPr>
              <w:pStyle w:val="Compact"/>
            </w:pPr>
            <w:r>
              <w:rPr>
                <w:szCs w:val="20"/>
                <w:sz w:val="20"/>
              </w:rPr>
              <w:t xml:space="preserve">+1.2</w:t>
            </w:r>
          </w:p>
        </w:tc>
        <w:tc>
          <w:tcPr/>
          <w:p>
            <w:pPr>
              <w:pStyle w:val="Compact"/>
            </w:pPr>
            <w:r>
              <w:rPr>
                <w:szCs w:val="20"/>
                <w:sz w:val="20"/>
              </w:rPr>
              <w:t xml:space="preserve">+4.2</w:t>
            </w:r>
          </w:p>
        </w:tc>
        <w:tc>
          <w:tcPr/>
          <w:p>
            <w:pPr>
              <w:pStyle w:val="Compact"/>
            </w:pPr>
            <w:r>
              <w:rPr>
                <w:szCs w:val="20"/>
                <w:sz w:val="20"/>
              </w:rPr>
              <w:t xml:space="preserve">+1.2</w:t>
            </w:r>
          </w:p>
        </w:tc>
        <w:tc>
          <w:tcPr/>
          <w:p>
            <w:pPr>
              <w:pStyle w:val="Compact"/>
            </w:pPr>
            <w:r>
              <w:rPr>
                <w:szCs w:val="20"/>
                <w:sz w:val="20"/>
              </w:rPr>
              <w:t xml:space="preserve">+1.2</w:t>
            </w:r>
          </w:p>
        </w:tc>
        <w:tc>
          <w:tcPr/>
          <w:p>
            <w:pPr>
              <w:pStyle w:val="Compact"/>
            </w:pPr>
            <w:r>
              <w:rPr>
                <w:szCs w:val="20"/>
                <w:sz w:val="20"/>
              </w:rPr>
              <w:t xml:space="preserve">-1.8</w:t>
            </w:r>
          </w:p>
        </w:tc>
        <w:tc>
          <w:tcPr/>
          <w:p>
            <w:pPr>
              <w:pStyle w:val="Compact"/>
            </w:pPr>
            <w:r>
              <w:rPr>
                <w:szCs w:val="20"/>
                <w:sz w:val="20"/>
              </w:rPr>
              <w:t xml:space="preserve">+1.2</w:t>
            </w:r>
          </w:p>
        </w:tc>
        <w:tc>
          <w:tcPr/>
          <w:p>
            <w:pPr>
              <w:pStyle w:val="Compact"/>
            </w:pPr>
            <w:r>
              <w:rPr>
                <w:szCs w:val="20"/>
                <w:sz w:val="20"/>
              </w:rPr>
              <w:t xml:space="preserve">-1.8</w:t>
            </w:r>
          </w:p>
        </w:tc>
        <w:tc>
          <w:tcPr/>
          <w:p>
            <w:pPr>
              <w:pStyle w:val="Compact"/>
            </w:pPr>
            <w:r>
              <w:rPr>
                <w:szCs w:val="20"/>
                <w:sz w:val="20"/>
              </w:rPr>
              <w:t xml:space="preserve">+1.2</w:t>
            </w:r>
          </w:p>
        </w:tc>
        <w:tc>
          <w:tcPr/>
          <w:p>
            <w:pPr>
              <w:pStyle w:val="Compact"/>
            </w:pPr>
            <w:r>
              <w:rPr>
                <w:szCs w:val="20"/>
                <w:sz w:val="20"/>
              </w:rPr>
              <w:t xml:space="preserve">-0.8</w:t>
            </w:r>
          </w:p>
        </w:tc>
        <w:tc>
          <w:tcPr/>
          <w:p>
            <w:pPr>
              <w:pStyle w:val="Compact"/>
            </w:pPr>
            <w:r>
              <w:rPr>
                <w:szCs w:val="20"/>
                <w:sz w:val="20"/>
              </w:rPr>
              <w:t xml:space="preserve">-5.8</w:t>
            </w:r>
          </w:p>
        </w:tc>
      </w:tr>
      <w:tr>
        <w:trPr>
          <w:cantSplit/>
        </w:trPr>
        <w:tc>
          <w:tcPr/>
          <w:p>
            <w:pPr>
              <w:pStyle w:val="Compact"/>
            </w:pPr>
            <w:r>
              <w:rPr>
                <w:szCs w:val="20"/>
                <w:sz w:val="20"/>
              </w:rPr>
              <w:t xml:space="preserve">E</w:t>
            </w:r>
          </w:p>
        </w:tc>
        <w:tc>
          <w:tcPr/>
          <w:p>
            <w:pPr>
              <w:pStyle w:val="Compact"/>
            </w:pPr>
            <w:r>
              <w:rPr>
                <w:szCs w:val="20"/>
                <w:sz w:val="20"/>
              </w:rPr>
              <w:t xml:space="preserve">-7.8</w:t>
            </w:r>
          </w:p>
        </w:tc>
        <w:tc>
          <w:tcPr/>
          <w:p>
            <w:pPr>
              <w:pStyle w:val="Compact"/>
            </w:pPr>
            <w:r>
              <w:rPr>
                <w:szCs w:val="20"/>
                <w:sz w:val="20"/>
              </w:rPr>
              <w:t xml:space="preserve">-4.8</w:t>
            </w:r>
          </w:p>
        </w:tc>
        <w:tc>
          <w:tcPr/>
          <w:p>
            <w:pPr>
              <w:pStyle w:val="Compact"/>
            </w:pPr>
            <w:r>
              <w:rPr>
                <w:szCs w:val="20"/>
                <w:sz w:val="20"/>
              </w:rPr>
              <w:t xml:space="preserve">-1.8</w:t>
            </w:r>
          </w:p>
        </w:tc>
        <w:tc>
          <w:tcPr/>
          <w:p>
            <w:pPr>
              <w:pStyle w:val="Compact"/>
            </w:pPr>
            <w:r>
              <w:rPr>
                <w:szCs w:val="20"/>
                <w:sz w:val="20"/>
              </w:rPr>
              <w:t xml:space="preserve">-0.8</w:t>
            </w:r>
          </w:p>
        </w:tc>
        <w:tc>
          <w:tcPr/>
          <w:p>
            <w:pPr>
              <w:pStyle w:val="Compact"/>
            </w:pPr>
            <w:r>
              <w:rPr>
                <w:szCs w:val="20"/>
                <w:sz w:val="20"/>
              </w:rPr>
              <w:t xml:space="preserve">-3.8</w:t>
            </w:r>
          </w:p>
        </w:tc>
        <w:tc>
          <w:tcPr/>
          <w:p>
            <w:pPr>
              <w:pStyle w:val="Compact"/>
            </w:pPr>
            <w:r>
              <w:rPr>
                <w:szCs w:val="20"/>
                <w:sz w:val="20"/>
              </w:rPr>
              <w:t xml:space="preserve">-3.8</w:t>
            </w:r>
          </w:p>
        </w:tc>
        <w:tc>
          <w:tcPr/>
          <w:p>
            <w:pPr>
              <w:pStyle w:val="Compact"/>
            </w:pPr>
            <w:r>
              <w:rPr>
                <w:szCs w:val="20"/>
                <w:sz w:val="20"/>
              </w:rPr>
              <w:t xml:space="preserve">-2.8</w:t>
            </w:r>
          </w:p>
        </w:tc>
        <w:tc>
          <w:tcPr/>
          <w:p>
            <w:pPr>
              <w:pStyle w:val="Compact"/>
            </w:pPr>
            <w:r>
              <w:rPr>
                <w:szCs w:val="20"/>
                <w:sz w:val="20"/>
              </w:rPr>
              <w:t xml:space="preserve">-6.8</w:t>
            </w:r>
          </w:p>
        </w:tc>
        <w:tc>
          <w:tcPr/>
          <w:p>
            <w:pPr>
              <w:pStyle w:val="Compact"/>
            </w:pPr>
            <w:r>
              <w:rPr>
                <w:szCs w:val="20"/>
                <w:sz w:val="20"/>
              </w:rPr>
              <w:t xml:space="preserve">-6.8</w:t>
            </w:r>
          </w:p>
        </w:tc>
        <w:tc>
          <w:tcPr/>
          <w:p>
            <w:pPr>
              <w:pStyle w:val="Compact"/>
            </w:pPr>
            <w:r>
              <w:rPr>
                <w:szCs w:val="20"/>
                <w:sz w:val="20"/>
              </w:rPr>
              <w:t xml:space="preserve">-7.8</w:t>
            </w:r>
          </w:p>
        </w:tc>
        <w:tc>
          <w:tcPr/>
          <w:p>
            <w:pPr>
              <w:pStyle w:val="Compact"/>
            </w:pPr>
            <w:r>
              <w:rPr>
                <w:szCs w:val="20"/>
                <w:sz w:val="20"/>
              </w:rPr>
              <w:t xml:space="preserve">-14.8</w:t>
            </w:r>
          </w:p>
        </w:tc>
        <w:tc>
          <w:tcPr/>
          <w:p>
            <w:pPr>
              <w:pStyle w:val="Compact"/>
            </w:pPr>
            <w:r>
              <w:rPr>
                <w:szCs w:val="20"/>
                <w:sz w:val="20"/>
              </w:rPr>
              <w:t xml:space="preserve">-18.8</w:t>
            </w:r>
          </w:p>
        </w:tc>
      </w:tr>
      <w:tr>
        <w:trPr>
          <w:cantSplit/>
        </w:trPr>
        <w:tc>
          <w:tcPr/>
          <w:p>
            <w:pPr>
              <w:pStyle w:val="Compact"/>
            </w:pPr>
            <w:r>
              <w:rPr>
                <w:szCs w:val="20"/>
                <w:sz w:val="20"/>
              </w:rPr>
              <w:t xml:space="preserve">F</w:t>
            </w:r>
          </w:p>
        </w:tc>
        <w:tc>
          <w:tcPr/>
          <w:p>
            <w:pPr>
              <w:pStyle w:val="Compact"/>
            </w:pPr>
            <w:r>
              <w:rPr>
                <w:szCs w:val="20"/>
                <w:sz w:val="20"/>
              </w:rPr>
              <w:t xml:space="preserve">-28.8</w:t>
            </w:r>
          </w:p>
        </w:tc>
        <w:tc>
          <w:tcPr/>
          <w:p>
            <w:pPr>
              <w:pStyle w:val="Compact"/>
            </w:pPr>
            <w:r>
              <w:rPr>
                <w:szCs w:val="20"/>
                <w:sz w:val="20"/>
              </w:rPr>
              <w:t xml:space="preserve">-19.8</w:t>
            </w:r>
          </w:p>
        </w:tc>
        <w:tc>
          <w:tcPr/>
          <w:p>
            <w:pPr>
              <w:pStyle w:val="Compact"/>
            </w:pPr>
            <w:r>
              <w:rPr>
                <w:szCs w:val="20"/>
                <w:sz w:val="20"/>
              </w:rPr>
              <w:t xml:space="preserve">-2.8</w:t>
            </w:r>
          </w:p>
        </w:tc>
        <w:tc>
          <w:tcPr/>
          <w:p>
            <w:pPr>
              <w:pStyle w:val="Compact"/>
            </w:pPr>
            <w:r>
              <w:rPr>
                <w:szCs w:val="20"/>
                <w:sz w:val="20"/>
              </w:rPr>
              <w:t xml:space="preserve">-6.8</w:t>
            </w:r>
          </w:p>
        </w:tc>
        <w:tc>
          <w:tcPr/>
          <w:p>
            <w:pPr>
              <w:pStyle w:val="Compact"/>
            </w:pPr>
            <w:r>
              <w:rPr>
                <w:szCs w:val="20"/>
                <w:sz w:val="20"/>
              </w:rPr>
              <w:t xml:space="preserve">-10.8</w:t>
            </w:r>
          </w:p>
        </w:tc>
        <w:tc>
          <w:tcPr/>
          <w:p>
            <w:pPr>
              <w:pStyle w:val="Compact"/>
            </w:pPr>
            <w:r>
              <w:rPr>
                <w:szCs w:val="20"/>
                <w:sz w:val="20"/>
              </w:rPr>
              <w:t xml:space="preserve">-10.8</w:t>
            </w:r>
          </w:p>
        </w:tc>
        <w:tc>
          <w:tcPr/>
          <w:p>
            <w:pPr>
              <w:pStyle w:val="Compact"/>
            </w:pPr>
            <w:r>
              <w:rPr>
                <w:szCs w:val="20"/>
                <w:sz w:val="20"/>
              </w:rPr>
              <w:t xml:space="preserve">-7.8</w:t>
            </w:r>
          </w:p>
        </w:tc>
        <w:tc>
          <w:tcPr/>
          <w:p>
            <w:pPr>
              <w:pStyle w:val="Compact"/>
            </w:pPr>
            <w:r>
              <w:rPr>
                <w:szCs w:val="20"/>
                <w:sz w:val="20"/>
              </w:rPr>
              <w:t xml:space="preserve">-8.8</w:t>
            </w:r>
          </w:p>
        </w:tc>
        <w:tc>
          <w:tcPr/>
          <w:p>
            <w:pPr>
              <w:pStyle w:val="Compact"/>
            </w:pPr>
            <w:r>
              <w:rPr>
                <w:szCs w:val="20"/>
                <w:sz w:val="20"/>
              </w:rPr>
              <w:t xml:space="preserve">-14.8</w:t>
            </w:r>
          </w:p>
        </w:tc>
        <w:tc>
          <w:tcPr/>
          <w:p>
            <w:pPr>
              <w:pStyle w:val="Compact"/>
            </w:pPr>
            <w:r>
              <w:rPr>
                <w:szCs w:val="20"/>
                <w:sz w:val="20"/>
              </w:rPr>
              <w:t xml:space="preserve">-19.8</w:t>
            </w:r>
          </w:p>
        </w:tc>
        <w:tc>
          <w:tcPr/>
          <w:p>
            <w:pPr>
              <w:pStyle w:val="Compact"/>
            </w:pPr>
            <w:r>
              <w:rPr>
                <w:szCs w:val="20"/>
                <w:sz w:val="20"/>
              </w:rPr>
              <w:t xml:space="preserve">-22.8</w:t>
            </w:r>
          </w:p>
        </w:tc>
        <w:tc>
          <w:tcPr/>
          <w:p>
            <w:pPr>
              <w:pStyle w:val="Compact"/>
            </w:pPr>
            <w:r>
              <w:rPr>
                <w:szCs w:val="20"/>
                <w:sz w:val="20"/>
              </w:rPr>
              <w:t xml:space="preserve">-28.8</w:t>
            </w:r>
          </w:p>
        </w:tc>
      </w:tr>
      <w:tr>
        <w:trPr>
          <w:cantSplit/>
        </w:trPr>
        <w:tc>
          <w:tcPr/>
          <w:p>
            <w:pPr>
              <w:pStyle w:val="Compact"/>
            </w:pPr>
            <w:r>
              <w:rPr>
                <w:szCs w:val="20"/>
                <w:sz w:val="20"/>
              </w:rPr>
              <w:t xml:space="preserve">G</w:t>
            </w:r>
          </w:p>
        </w:tc>
        <w:tc>
          <w:tcPr/>
          <w:p>
            <w:pPr>
              <w:pStyle w:val="Compact"/>
            </w:pPr>
            <w:r>
              <w:rPr>
                <w:szCs w:val="20"/>
                <w:sz w:val="20"/>
              </w:rPr>
              <w:t xml:space="preserve">-31.8</w:t>
            </w:r>
          </w:p>
        </w:tc>
        <w:tc>
          <w:tcPr/>
          <w:p>
            <w:pPr>
              <w:pStyle w:val="Compact"/>
            </w:pPr>
            <w:r>
              <w:rPr>
                <w:szCs w:val="20"/>
                <w:sz w:val="20"/>
              </w:rPr>
              <w:t xml:space="preserve">-22.8</w:t>
            </w:r>
          </w:p>
        </w:tc>
        <w:tc>
          <w:tcPr/>
          <w:p>
            <w:pPr>
              <w:pStyle w:val="Compact"/>
            </w:pPr>
            <w:r>
              <w:rPr>
                <w:szCs w:val="20"/>
                <w:sz w:val="20"/>
              </w:rPr>
              <w:t xml:space="preserve">-8.8</w:t>
            </w:r>
          </w:p>
        </w:tc>
        <w:tc>
          <w:tcPr/>
          <w:p>
            <w:pPr>
              <w:pStyle w:val="Compact"/>
            </w:pPr>
            <w:r>
              <w:rPr>
                <w:szCs w:val="20"/>
                <w:sz w:val="20"/>
              </w:rPr>
              <w:t xml:space="preserve">-7.8</w:t>
            </w:r>
          </w:p>
        </w:tc>
        <w:tc>
          <w:tcPr/>
          <w:p>
            <w:pPr>
              <w:pStyle w:val="Compact"/>
            </w:pPr>
            <w:r>
              <w:rPr>
                <w:szCs w:val="20"/>
                <w:sz w:val="20"/>
              </w:rPr>
              <w:t xml:space="preserve">-14.8</w:t>
            </w:r>
          </w:p>
        </w:tc>
        <w:tc>
          <w:tcPr/>
          <w:p>
            <w:pPr>
              <w:pStyle w:val="Compact"/>
            </w:pPr>
            <w:r>
              <w:rPr>
                <w:szCs w:val="20"/>
                <w:sz w:val="20"/>
              </w:rPr>
              <w:t xml:space="preserve">-15.8</w:t>
            </w:r>
          </w:p>
        </w:tc>
        <w:tc>
          <w:tcPr/>
          <w:p>
            <w:pPr>
              <w:pStyle w:val="Compact"/>
            </w:pPr>
            <w:r>
              <w:rPr>
                <w:szCs w:val="20"/>
                <w:sz w:val="20"/>
              </w:rPr>
              <w:t xml:space="preserve">-12.8</w:t>
            </w:r>
          </w:p>
        </w:tc>
        <w:tc>
          <w:tcPr/>
          <w:p>
            <w:pPr>
              <w:pStyle w:val="Compact"/>
            </w:pPr>
            <w:r>
              <w:rPr>
                <w:szCs w:val="20"/>
                <w:sz w:val="20"/>
              </w:rPr>
              <w:t xml:space="preserve">-12.8</w:t>
            </w:r>
          </w:p>
        </w:tc>
        <w:tc>
          <w:tcPr/>
          <w:p>
            <w:pPr>
              <w:pStyle w:val="Compact"/>
            </w:pPr>
            <w:r>
              <w:rPr>
                <w:szCs w:val="20"/>
                <w:sz w:val="20"/>
              </w:rPr>
              <w:t xml:space="preserve">-18.8</w:t>
            </w:r>
          </w:p>
        </w:tc>
        <w:tc>
          <w:tcPr/>
          <w:p>
            <w:pPr>
              <w:pStyle w:val="Compact"/>
            </w:pPr>
            <w:r>
              <w:rPr>
                <w:szCs w:val="20"/>
                <w:sz w:val="20"/>
              </w:rPr>
              <w:t xml:space="preserve">-21.8</w:t>
            </w:r>
          </w:p>
        </w:tc>
        <w:tc>
          <w:tcPr/>
          <w:p>
            <w:pPr>
              <w:pStyle w:val="Compact"/>
            </w:pPr>
            <w:r>
              <w:rPr>
                <w:szCs w:val="20"/>
                <w:sz w:val="20"/>
              </w:rPr>
              <w:t xml:space="preserve">-29.8</w:t>
            </w:r>
          </w:p>
        </w:tc>
        <w:tc>
          <w:tcPr/>
          <w:p>
            <w:pPr>
              <w:pStyle w:val="Compact"/>
            </w:pPr>
            <w:r>
              <w:rPr>
                <w:szCs w:val="20"/>
                <w:sz w:val="20"/>
              </w:rPr>
              <w:t xml:space="preserve">-49.8</w:t>
            </w:r>
          </w:p>
        </w:tc>
      </w:tr>
      <w:tr>
        <w:trPr>
          <w:cantSplit/>
        </w:trPr>
        <w:tc>
          <w:tcPr/>
          <w:p>
            <w:pPr>
              <w:pStyle w:val="Compact"/>
            </w:pPr>
            <w:r>
              <w:rPr>
                <w:szCs w:val="20"/>
                <w:sz w:val="20"/>
              </w:rPr>
              <w:t xml:space="preserve">H</w:t>
            </w:r>
          </w:p>
        </w:tc>
        <w:tc>
          <w:tcPr/>
          <w:p>
            <w:pPr>
              <w:pStyle w:val="Compact"/>
            </w:pPr>
            <w:r>
              <w:rPr>
                <w:szCs w:val="20"/>
                <w:sz w:val="20"/>
              </w:rPr>
              <w:t xml:space="preserve">-51.8</w:t>
            </w:r>
          </w:p>
        </w:tc>
        <w:tc>
          <w:tcPr/>
          <w:p>
            <w:pPr>
              <w:pStyle w:val="Compact"/>
            </w:pPr>
            <w:r>
              <w:rPr>
                <w:szCs w:val="20"/>
                <w:sz w:val="20"/>
              </w:rPr>
              <w:t xml:space="preserve">-34.8</w:t>
            </w:r>
          </w:p>
        </w:tc>
        <w:tc>
          <w:tcPr/>
          <w:p>
            <w:pPr>
              <w:pStyle w:val="Compact"/>
            </w:pPr>
            <w:r>
              <w:rPr>
                <w:szCs w:val="20"/>
                <w:sz w:val="20"/>
              </w:rPr>
              <w:t xml:space="preserve">-25.8</w:t>
            </w:r>
          </w:p>
        </w:tc>
        <w:tc>
          <w:tcPr/>
          <w:p>
            <w:pPr>
              <w:pStyle w:val="Compact"/>
            </w:pPr>
            <w:r>
              <w:rPr>
                <w:szCs w:val="20"/>
                <w:sz w:val="20"/>
              </w:rPr>
              <w:t xml:space="preserve">-25.8</w:t>
            </w:r>
          </w:p>
        </w:tc>
        <w:tc>
          <w:tcPr/>
          <w:p>
            <w:pPr>
              <w:pStyle w:val="Compact"/>
            </w:pPr>
            <w:r>
              <w:rPr>
                <w:szCs w:val="20"/>
                <w:sz w:val="20"/>
              </w:rPr>
              <w:t xml:space="preserve">-29.8</w:t>
            </w:r>
          </w:p>
        </w:tc>
        <w:tc>
          <w:tcPr/>
          <w:p>
            <w:pPr>
              <w:pStyle w:val="Compact"/>
            </w:pPr>
            <w:r>
              <w:rPr>
                <w:szCs w:val="20"/>
                <w:sz w:val="20"/>
              </w:rPr>
              <w:t xml:space="preserve">-30.8</w:t>
            </w:r>
          </w:p>
        </w:tc>
        <w:tc>
          <w:tcPr/>
          <w:p>
            <w:pPr>
              <w:pStyle w:val="Compact"/>
            </w:pPr>
            <w:r>
              <w:rPr>
                <w:szCs w:val="20"/>
                <w:sz w:val="20"/>
              </w:rPr>
              <w:t xml:space="preserve">-21.8</w:t>
            </w:r>
          </w:p>
        </w:tc>
        <w:tc>
          <w:tcPr/>
          <w:p>
            <w:pPr>
              <w:pStyle w:val="Compact"/>
            </w:pPr>
            <w:r>
              <w:rPr>
                <w:szCs w:val="20"/>
                <w:sz w:val="20"/>
              </w:rPr>
              <w:t xml:space="preserve">-33.8</w:t>
            </w:r>
          </w:p>
        </w:tc>
        <w:tc>
          <w:tcPr/>
          <w:p>
            <w:pPr>
              <w:pStyle w:val="Compact"/>
            </w:pPr>
            <w:r>
              <w:rPr>
                <w:szCs w:val="20"/>
                <w:sz w:val="20"/>
              </w:rPr>
              <w:t xml:space="preserve">-33.8</w:t>
            </w:r>
          </w:p>
        </w:tc>
        <w:tc>
          <w:tcPr/>
          <w:p>
            <w:pPr>
              <w:pStyle w:val="Compact"/>
            </w:pPr>
            <w:r>
              <w:rPr>
                <w:szCs w:val="20"/>
                <w:sz w:val="20"/>
              </w:rPr>
              <w:t xml:space="preserve">-47.8</w:t>
            </w:r>
          </w:p>
        </w:tc>
        <w:tc>
          <w:tcPr/>
          <w:p>
            <w:pPr>
              <w:pStyle w:val="Compact"/>
            </w:pPr>
            <w:r>
              <w:rPr>
                <w:szCs w:val="20"/>
                <w:sz w:val="20"/>
              </w:rPr>
              <w:t xml:space="preserve">-55.8</w:t>
            </w:r>
          </w:p>
        </w:tc>
        <w:tc>
          <w:tcPr/>
          <w:p>
            <w:pPr>
              <w:pStyle w:val="Compact"/>
            </w:pPr>
            <w:r>
              <w:rPr>
                <w:szCs w:val="20"/>
                <w:sz w:val="20"/>
              </w:rPr>
              <w:t xml:space="preserve">-67.8</w:t>
            </w:r>
          </w:p>
        </w:tc>
      </w:tr>
    </w:tbl>
    <w:bookmarkEnd w:id="47"/>
    <w:bookmarkEnd w:id="48"/>
    <w:bookmarkStart w:id="49" w:name="Xba4f7565cbc3769b85d534b4fb0d4729d40e3ab"/>
    <w:p>
      <w:pPr>
        <w:pStyle w:val="Heading1"/>
      </w:pPr>
      <w:r>
        <w:t xml:space="preserve">Supplementary Table S2. Multiscale microfluidic fabrication strategies</w:t>
      </w:r>
    </w:p>
    <w:p>
      <w:pPr>
        <w:pStyle w:val="FirstParagraph"/>
      </w:pPr>
      <w:r>
        <w:t xml:space="preserve">Representative strategies for combining micrometer-scale features with millimeter-scale wells or other tall structures are summarized below. The comparison emphasizes the operations and equipment each strategy adds to conventional PDMS soft lithography.</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pPr>
            <w:r>
              <w:rPr>
                <w:szCs w:val="20"/>
                <w:sz w:val="20"/>
              </w:rPr>
              <w:t xml:space="preserve">Approach</w:t>
            </w:r>
          </w:p>
        </w:tc>
        <w:tc>
          <w:tcPr/>
          <w:p>
            <w:pPr>
              <w:pStyle w:val="Compact"/>
            </w:pPr>
            <w:r>
              <w:rPr>
                <w:szCs w:val="20"/>
                <w:sz w:val="20"/>
              </w:rPr>
              <w:t xml:space="preserve">Micrometer-scale features</w:t>
            </w:r>
          </w:p>
        </w:tc>
        <w:tc>
          <w:tcPr/>
          <w:p>
            <w:pPr>
              <w:pStyle w:val="Compact"/>
            </w:pPr>
            <w:r>
              <w:rPr>
                <w:szCs w:val="20"/>
                <w:sz w:val="20"/>
              </w:rPr>
              <w:t xml:space="preserve">Millimeter-scale wells or tall structures</w:t>
            </w:r>
          </w:p>
        </w:tc>
        <w:tc>
          <w:tcPr/>
          <w:p>
            <w:pPr>
              <w:pStyle w:val="Compact"/>
            </w:pPr>
            <w:r>
              <w:rPr>
                <w:szCs w:val="20"/>
                <w:sz w:val="20"/>
              </w:rPr>
              <w:t xml:space="preserve">Plate-format and automation compatibility</w:t>
            </w:r>
          </w:p>
        </w:tc>
        <w:tc>
          <w:tcPr/>
          <w:p>
            <w:pPr>
              <w:pStyle w:val="Compact"/>
            </w:pPr>
            <w:r>
              <w:rPr>
                <w:szCs w:val="20"/>
                <w:sz w:val="20"/>
              </w:rPr>
              <w:t xml:space="preserve">Added workflow and equipment</w:t>
            </w:r>
          </w:p>
        </w:tc>
        <w:tc>
          <w:tcPr/>
          <w:p>
            <w:pPr>
              <w:pStyle w:val="Compact"/>
            </w:pPr>
            <w:r>
              <w:rPr>
                <w:szCs w:val="20"/>
                <w:sz w:val="20"/>
              </w:rPr>
              <w:t xml:space="preserve">Representative references</w:t>
            </w:r>
          </w:p>
        </w:tc>
      </w:tr>
      <w:tr>
        <w:trPr>
          <w:cantSplit/>
        </w:trPr>
        <w:tc>
          <w:tcPr/>
          <w:p>
            <w:pPr>
              <w:pStyle w:val="Compact"/>
            </w:pPr>
            <w:r>
              <w:rPr>
                <w:szCs w:val="20"/>
                <w:sz w:val="20"/>
              </w:rPr>
              <w:t xml:space="preserve">Conventional PDMS soft lithography with manual punching</w:t>
            </w:r>
          </w:p>
        </w:tc>
        <w:tc>
          <w:tcPr/>
          <w:p>
            <w:pPr>
              <w:pStyle w:val="Compact"/>
            </w:pPr>
            <w:r>
              <w:rPr>
                <w:szCs w:val="20"/>
                <w:sz w:val="20"/>
              </w:rPr>
              <w:t xml:space="preserve">SU-8 photolithography for micrometer-scale channels</w:t>
            </w:r>
          </w:p>
        </w:tc>
        <w:tc>
          <w:tcPr/>
          <w:p>
            <w:pPr>
              <w:pStyle w:val="Compact"/>
            </w:pPr>
            <w:r>
              <w:rPr>
                <w:szCs w:val="20"/>
                <w:sz w:val="20"/>
              </w:rPr>
              <w:t xml:space="preserve">Openings made with a biopsy punch after casting</w:t>
            </w:r>
          </w:p>
        </w:tc>
        <w:tc>
          <w:tcPr/>
          <w:p>
            <w:pPr>
              <w:pStyle w:val="Compact"/>
            </w:pPr>
            <w:r>
              <w:rPr>
                <w:szCs w:val="20"/>
                <w:sz w:val="20"/>
              </w:rPr>
              <w:t xml:space="preserve">Each opening is made separately after casting</w:t>
            </w:r>
          </w:p>
        </w:tc>
        <w:tc>
          <w:tcPr/>
          <w:p>
            <w:pPr>
              <w:pStyle w:val="Compact"/>
            </w:pPr>
            <w:r>
              <w:rPr>
                <w:szCs w:val="20"/>
                <w:sz w:val="20"/>
              </w:rPr>
              <w:t xml:space="preserve">Biopsy punching and manual debris removal during every device-production cycle</w:t>
            </w:r>
          </w:p>
        </w:tc>
        <w:tc>
          <w:tcPr/>
          <w:p>
            <w:pPr>
              <w:pStyle w:val="Compact"/>
            </w:pPr>
            <w:r>
              <w:rPr>
                <w:szCs w:val="20"/>
                <w:sz w:val="20"/>
              </w:rPr>
              <w:t xml:space="preserve">Baseline approach; see Taylor et al., 2005</w:t>
            </w:r>
          </w:p>
        </w:tc>
      </w:tr>
      <w:tr>
        <w:trPr>
          <w:cantSplit/>
        </w:trPr>
        <w:tc>
          <w:tcPr/>
          <w:p>
            <w:pPr>
              <w:pStyle w:val="Compact"/>
            </w:pPr>
            <w:r>
              <w:rPr>
                <w:szCs w:val="20"/>
                <w:sz w:val="20"/>
              </w:rPr>
              <w:t xml:space="preserve">CO2 laser micromachining of PDMS</w:t>
            </w:r>
          </w:p>
        </w:tc>
        <w:tc>
          <w:tcPr/>
          <w:p>
            <w:pPr>
              <w:pStyle w:val="Compact"/>
            </w:pPr>
            <w:r>
              <w:rPr>
                <w:szCs w:val="20"/>
                <w:sz w:val="20"/>
              </w:rPr>
              <w:t xml:space="preserve">Maskless laser-ablated trenches whose profile depends on power, pulse density, and traverse speed</w:t>
            </w:r>
          </w:p>
        </w:tc>
        <w:tc>
          <w:tcPr/>
          <w:p>
            <w:pPr>
              <w:pStyle w:val="Compact"/>
            </w:pPr>
            <w:r>
              <w:rPr>
                <w:szCs w:val="20"/>
                <w:sz w:val="20"/>
              </w:rPr>
              <w:t xml:space="preserve">Laser-ablated PDMS channels rather than cast well features</w:t>
            </w:r>
          </w:p>
        </w:tc>
        <w:tc>
          <w:tcPr/>
          <w:p>
            <w:pPr>
              <w:pStyle w:val="Compact"/>
            </w:pPr>
            <w:r>
              <w:rPr>
                <w:szCs w:val="20"/>
                <w:sz w:val="20"/>
              </w:rPr>
              <w:t xml:space="preserve">Computer-controlled but serial processing of PDMS sheets</w:t>
            </w:r>
          </w:p>
        </w:tc>
        <w:tc>
          <w:tcPr/>
          <w:p>
            <w:pPr>
              <w:pStyle w:val="Compact"/>
            </w:pPr>
            <w:r>
              <w:rPr>
                <w:szCs w:val="20"/>
                <w:sz w:val="20"/>
              </w:rPr>
              <w:t xml:space="preserve">CO2 laser processing during each device-production cycle</w:t>
            </w:r>
          </w:p>
        </w:tc>
        <w:tc>
          <w:tcPr/>
          <w:p>
            <w:pPr>
              <w:pStyle w:val="Compact"/>
            </w:pPr>
            <w:r>
              <w:rPr>
                <w:szCs w:val="20"/>
                <w:sz w:val="20"/>
              </w:rPr>
              <w:t xml:space="preserve">Holle et al., 2007</w:t>
            </w:r>
          </w:p>
        </w:tc>
      </w:tr>
      <w:tr>
        <w:trPr>
          <w:cantSplit/>
        </w:trPr>
        <w:tc>
          <w:tcPr/>
          <w:p>
            <w:pPr>
              <w:pStyle w:val="Compact"/>
            </w:pPr>
            <w:r>
              <w:rPr>
                <w:szCs w:val="20"/>
                <w:sz w:val="20"/>
              </w:rPr>
              <w:t xml:space="preserve">Hybrid micro- and millimeter-scale mold via milling and hot embossing</w:t>
            </w:r>
          </w:p>
        </w:tc>
        <w:tc>
          <w:tcPr/>
          <w:p>
            <w:pPr>
              <w:pStyle w:val="Compact"/>
            </w:pPr>
            <w:r>
              <w:rPr>
                <w:szCs w:val="20"/>
                <w:sz w:val="20"/>
              </w:rPr>
              <w:t xml:space="preserve">Hot embossing for microfeatures</w:t>
            </w:r>
          </w:p>
        </w:tc>
        <w:tc>
          <w:tcPr/>
          <w:p>
            <w:pPr>
              <w:pStyle w:val="Compact"/>
            </w:pPr>
            <w:r>
              <w:rPr>
                <w:szCs w:val="20"/>
                <w:sz w:val="20"/>
              </w:rPr>
              <w:t xml:space="preserve">PMMA-milled large structures</w:t>
            </w:r>
          </w:p>
        </w:tc>
        <w:tc>
          <w:tcPr/>
          <w:p>
            <w:pPr>
              <w:pStyle w:val="Compact"/>
            </w:pPr>
            <w:r>
              <w:rPr>
                <w:szCs w:val="20"/>
                <w:sz w:val="20"/>
              </w:rPr>
              <w:t xml:space="preserve">Batch device production from a reusable PDMS mold</w:t>
            </w:r>
          </w:p>
        </w:tc>
        <w:tc>
          <w:tcPr/>
          <w:p>
            <w:pPr>
              <w:pStyle w:val="Compact"/>
            </w:pPr>
            <w:r>
              <w:rPr>
                <w:szCs w:val="20"/>
                <w:sz w:val="20"/>
              </w:rPr>
              <w:t xml:space="preserve">Milling, hot embossing, and a workflow involving several molds</w:t>
            </w:r>
          </w:p>
        </w:tc>
        <w:tc>
          <w:tcPr/>
          <w:p>
            <w:pPr>
              <w:pStyle w:val="Compact"/>
            </w:pPr>
            <w:r>
              <w:rPr>
                <w:szCs w:val="20"/>
                <w:sz w:val="20"/>
              </w:rPr>
              <w:t xml:space="preserve">Park et al., 2010</w:t>
            </w:r>
          </w:p>
        </w:tc>
      </w:tr>
      <w:tr>
        <w:trPr>
          <w:cantSplit/>
        </w:trPr>
        <w:tc>
          <w:tcPr/>
          <w:p>
            <w:pPr>
              <w:pStyle w:val="Compact"/>
            </w:pPr>
            <w:r>
              <w:rPr>
                <w:szCs w:val="20"/>
                <w:sz w:val="20"/>
              </w:rPr>
              <w:t xml:space="preserve">Thick SU-8 molding and photolithography</w:t>
            </w:r>
          </w:p>
        </w:tc>
        <w:tc>
          <w:tcPr/>
          <w:p>
            <w:pPr>
              <w:pStyle w:val="Compact"/>
            </w:pPr>
            <w:r>
              <w:rPr>
                <w:szCs w:val="20"/>
                <w:sz w:val="20"/>
              </w:rPr>
              <w:t xml:space="preserve">Photolithography on a molded SU-8 surface</w:t>
            </w:r>
          </w:p>
        </w:tc>
        <w:tc>
          <w:tcPr/>
          <w:p>
            <w:pPr>
              <w:pStyle w:val="Compact"/>
            </w:pPr>
            <w:r>
              <w:rPr>
                <w:szCs w:val="20"/>
                <w:sz w:val="20"/>
              </w:rPr>
              <w:t xml:space="preserve">Millimeter structures molded from a 3D-printed pattern through an intermediate PDMS mold</w:t>
            </w:r>
          </w:p>
        </w:tc>
        <w:tc>
          <w:tcPr/>
          <w:p>
            <w:pPr>
              <w:pStyle w:val="Compact"/>
            </w:pPr>
            <w:r>
              <w:rPr>
                <w:szCs w:val="20"/>
                <w:sz w:val="20"/>
              </w:rPr>
              <w:t xml:space="preserve">Continuous micro- and millimeter-scale structures</w:t>
            </w:r>
          </w:p>
        </w:tc>
        <w:tc>
          <w:tcPr/>
          <w:p>
            <w:pPr>
              <w:pStyle w:val="Compact"/>
            </w:pPr>
            <w:r>
              <w:rPr>
                <w:szCs w:val="20"/>
                <w:sz w:val="20"/>
              </w:rPr>
              <w:t xml:space="preserve">Printed-pattern preparation, intermediate molding, and multi-step SU-8 handling</w:t>
            </w:r>
          </w:p>
        </w:tc>
        <w:tc>
          <w:tcPr/>
          <w:p>
            <w:pPr>
              <w:pStyle w:val="Compact"/>
            </w:pPr>
            <w:r>
              <w:rPr>
                <w:szCs w:val="20"/>
                <w:sz w:val="20"/>
              </w:rPr>
              <w:t xml:space="preserve">Tamura and Suzuki, 2019</w:t>
            </w:r>
          </w:p>
        </w:tc>
      </w:tr>
      <w:tr>
        <w:trPr>
          <w:cantSplit/>
        </w:trPr>
        <w:tc>
          <w:tcPr/>
          <w:p>
            <w:pPr>
              <w:pStyle w:val="Compact"/>
            </w:pPr>
            <w:r>
              <w:rPr>
                <w:szCs w:val="20"/>
                <w:sz w:val="20"/>
              </w:rPr>
              <w:t xml:space="preserve">Direct 3D printing of PDMS onto a photolithographic mold</w:t>
            </w:r>
          </w:p>
        </w:tc>
        <w:tc>
          <w:tcPr/>
          <w:p>
            <w:pPr>
              <w:pStyle w:val="Compact"/>
            </w:pPr>
            <w:r>
              <w:rPr>
                <w:szCs w:val="20"/>
                <w:sz w:val="20"/>
              </w:rPr>
              <w:t xml:space="preserve">Photolithographic mold for microchannels</w:t>
            </w:r>
          </w:p>
        </w:tc>
        <w:tc>
          <w:tcPr/>
          <w:p>
            <w:pPr>
              <w:pStyle w:val="Compact"/>
            </w:pPr>
            <w:r>
              <w:rPr>
                <w:szCs w:val="20"/>
                <w:sz w:val="20"/>
              </w:rPr>
              <w:t xml:space="preserve">Printed PDMS walls or compartments</w:t>
            </w:r>
          </w:p>
        </w:tc>
        <w:tc>
          <w:tcPr/>
          <w:p>
            <w:pPr>
              <w:pStyle w:val="Compact"/>
            </w:pPr>
            <w:r>
              <w:rPr>
                <w:szCs w:val="20"/>
                <w:sz w:val="20"/>
              </w:rPr>
              <w:t xml:space="preserve">Automated deposition of selected large structures</w:t>
            </w:r>
          </w:p>
        </w:tc>
        <w:tc>
          <w:tcPr/>
          <w:p>
            <w:pPr>
              <w:pStyle w:val="Compact"/>
            </w:pPr>
            <w:r>
              <w:rPr>
                <w:szCs w:val="20"/>
                <w:sz w:val="20"/>
              </w:rPr>
              <w:t xml:space="preserve">PDMS-printing hardware, material formulation, and print control during production</w:t>
            </w:r>
          </w:p>
        </w:tc>
        <w:tc>
          <w:tcPr/>
          <w:p>
            <w:pPr>
              <w:pStyle w:val="Compact"/>
            </w:pPr>
            <w:r>
              <w:rPr>
                <w:szCs w:val="20"/>
                <w:sz w:val="20"/>
              </w:rPr>
              <w:t xml:space="preserve">Kajtez et al., 2020</w:t>
            </w:r>
          </w:p>
        </w:tc>
      </w:tr>
      <w:tr>
        <w:trPr>
          <w:cantSplit/>
        </w:trPr>
        <w:tc>
          <w:tcPr/>
          <w:p>
            <w:pPr>
              <w:pStyle w:val="Compact"/>
            </w:pPr>
            <w:r>
              <w:rPr>
                <w:szCs w:val="20"/>
                <w:sz w:val="20"/>
              </w:rPr>
              <w:t xml:space="preserve">Resin-printed molds and parts retained in the finished device</w:t>
            </w:r>
          </w:p>
        </w:tc>
        <w:tc>
          <w:tcPr/>
          <w:p>
            <w:pPr>
              <w:pStyle w:val="Compact"/>
            </w:pPr>
            <w:r>
              <w:rPr>
                <w:szCs w:val="20"/>
                <w:sz w:val="20"/>
              </w:rPr>
              <w:t xml:space="preserve">Printed molds form the PDMS microstructures</w:t>
            </w:r>
          </w:p>
        </w:tc>
        <w:tc>
          <w:tcPr/>
          <w:p>
            <w:pPr>
              <w:pStyle w:val="Compact"/>
            </w:pPr>
            <w:r>
              <w:rPr>
                <w:szCs w:val="20"/>
                <w:sz w:val="20"/>
              </w:rPr>
              <w:t xml:space="preserve">A separate printed cap defines and closes the culture chambers</w:t>
            </w:r>
          </w:p>
        </w:tc>
        <w:tc>
          <w:tcPr/>
          <w:p>
            <w:pPr>
              <w:pStyle w:val="Compact"/>
            </w:pPr>
            <w:r>
              <w:rPr>
                <w:szCs w:val="20"/>
                <w:sz w:val="20"/>
              </w:rPr>
              <w:t xml:space="preserve">Eight parallel chambers aligned to a 96-well plate grid for robotic and microscope compatibility</w:t>
            </w:r>
          </w:p>
        </w:tc>
        <w:tc>
          <w:tcPr/>
          <w:p>
            <w:pPr>
              <w:pStyle w:val="Compact"/>
            </w:pPr>
            <w:r>
              <w:rPr>
                <w:szCs w:val="20"/>
                <w:sz w:val="20"/>
              </w:rPr>
              <w:t xml:space="preserve">Printer and resin selection, post-treatment, mixed-material assembly, and perfusion hardware</w:t>
            </w:r>
          </w:p>
        </w:tc>
        <w:tc>
          <w:tcPr/>
          <w:p>
            <w:pPr>
              <w:pStyle w:val="Compact"/>
            </w:pPr>
            <w:r>
              <w:rPr>
                <w:szCs w:val="20"/>
                <w:sz w:val="20"/>
              </w:rPr>
              <w:t xml:space="preserve">Meynard et al., 2025</w:t>
            </w:r>
          </w:p>
        </w:tc>
      </w:tr>
      <w:tr>
        <w:trPr>
          <w:cantSplit/>
        </w:trPr>
        <w:tc>
          <w:tcPr/>
          <w:p>
            <w:pPr>
              <w:pStyle w:val="Compact"/>
            </w:pPr>
            <w:r>
              <w:rPr>
                <w:szCs w:val="20"/>
                <w:sz w:val="20"/>
              </w:rPr>
              <w:t xml:space="preserve">Aligned resin printing onto patterned chips</w:t>
            </w:r>
          </w:p>
        </w:tc>
        <w:tc>
          <w:tcPr/>
          <w:p>
            <w:pPr>
              <w:pStyle w:val="Compact"/>
            </w:pPr>
            <w:r>
              <w:rPr>
                <w:szCs w:val="20"/>
                <w:sz w:val="20"/>
              </w:rPr>
              <w:t xml:space="preserve">SU-8 lithography on diced chips</w:t>
            </w:r>
          </w:p>
        </w:tc>
        <w:tc>
          <w:tcPr/>
          <w:p>
            <w:pPr>
              <w:pStyle w:val="Compact"/>
            </w:pPr>
            <w:r>
              <w:rPr>
                <w:szCs w:val="20"/>
                <w:sz w:val="20"/>
              </w:rPr>
              <w:t xml:space="preserve">Resin-printed micro- and millimeter-scale 3D features</w:t>
            </w:r>
          </w:p>
        </w:tc>
        <w:tc>
          <w:tcPr/>
          <w:p>
            <w:pPr>
              <w:pStyle w:val="Compact"/>
            </w:pPr>
            <w:r>
              <w:rPr>
                <w:szCs w:val="20"/>
                <w:sz w:val="20"/>
              </w:rPr>
              <w:t xml:space="preserve">Aligned structures on individual chips</w:t>
            </w:r>
          </w:p>
        </w:tc>
        <w:tc>
          <w:tcPr/>
          <w:p>
            <w:pPr>
              <w:pStyle w:val="Compact"/>
            </w:pPr>
            <w:r>
              <w:rPr>
                <w:szCs w:val="20"/>
                <w:sz w:val="20"/>
              </w:rPr>
              <w:t xml:space="preserve">Chip dicing, resin-printing equipment, and chip-level alignment fixtures</w:t>
            </w:r>
          </w:p>
        </w:tc>
        <w:tc>
          <w:tcPr/>
          <w:p>
            <w:pPr>
              <w:pStyle w:val="Compact"/>
            </w:pPr>
            <w:r>
              <w:rPr>
                <w:szCs w:val="20"/>
                <w:sz w:val="20"/>
              </w:rPr>
              <w:t xml:space="preserve">Pan et al., 2022</w:t>
            </w:r>
          </w:p>
        </w:tc>
      </w:tr>
      <w:tr>
        <w:trPr>
          <w:cantSplit/>
        </w:trPr>
        <w:tc>
          <w:tcPr/>
          <w:p>
            <w:pPr>
              <w:pStyle w:val="Compact"/>
            </w:pPr>
            <w:r>
              <w:rPr>
                <w:szCs w:val="20"/>
                <w:sz w:val="20"/>
              </w:rPr>
              <w:t xml:space="preserve">3D-printed inserts bonded to SU-8</w:t>
            </w:r>
          </w:p>
        </w:tc>
        <w:tc>
          <w:tcPr/>
          <w:p>
            <w:pPr>
              <w:pStyle w:val="Compact"/>
            </w:pPr>
            <w:r>
              <w:rPr>
                <w:szCs w:val="20"/>
                <w:sz w:val="20"/>
              </w:rPr>
              <w:t xml:space="preserve">SU-8 photolithography for micrometer-scale features</w:t>
            </w:r>
          </w:p>
        </w:tc>
        <w:tc>
          <w:tcPr/>
          <w:p>
            <w:pPr>
              <w:pStyle w:val="Compact"/>
            </w:pPr>
            <w:r>
              <w:rPr>
                <w:szCs w:val="20"/>
                <w:sz w:val="20"/>
              </w:rPr>
              <w:t xml:space="preserve">Tall 3D-printed metal inserts bonded with epoxy</w:t>
            </w:r>
          </w:p>
        </w:tc>
        <w:tc>
          <w:tcPr/>
          <w:p>
            <w:pPr>
              <w:pStyle w:val="Compact"/>
            </w:pPr>
            <w:r>
              <w:rPr>
                <w:szCs w:val="20"/>
                <w:sz w:val="20"/>
              </w:rPr>
              <w:t xml:space="preserve">Open cell compartments at individual-device scale</w:t>
            </w:r>
          </w:p>
        </w:tc>
        <w:tc>
          <w:tcPr/>
          <w:p>
            <w:pPr>
              <w:pStyle w:val="Compact"/>
            </w:pPr>
            <w:r>
              <w:rPr>
                <w:szCs w:val="20"/>
                <w:sz w:val="20"/>
              </w:rPr>
              <w:t xml:space="preserve">Metal 3D printing and individual alignment and bonding of three inserts on each mold</w:t>
            </w:r>
          </w:p>
        </w:tc>
        <w:tc>
          <w:tcPr/>
          <w:p>
            <w:pPr>
              <w:pStyle w:val="Compact"/>
            </w:pPr>
            <w:r>
              <w:rPr>
                <w:szCs w:val="20"/>
                <w:sz w:val="20"/>
              </w:rPr>
              <w:t xml:space="preserve">Ristola et al., 2019</w:t>
            </w:r>
          </w:p>
        </w:tc>
      </w:tr>
      <w:tr>
        <w:trPr>
          <w:cantSplit/>
        </w:trPr>
        <w:tc>
          <w:tcPr/>
          <w:p>
            <w:pPr>
              <w:pStyle w:val="Compact"/>
            </w:pPr>
            <w:r>
              <w:rPr>
                <w:szCs w:val="20"/>
                <w:sz w:val="20"/>
              </w:rPr>
              <w:t xml:space="preserve">Hard-plastic microtiter microfluidic plates</w:t>
            </w:r>
          </w:p>
        </w:tc>
        <w:tc>
          <w:tcPr/>
          <w:p>
            <w:pPr>
              <w:pStyle w:val="Compact"/>
            </w:pPr>
            <w:r>
              <w:rPr>
                <w:szCs w:val="20"/>
                <w:sz w:val="20"/>
              </w:rPr>
              <w:t xml:space="preserve">Hot-embossed microchannels in COC</w:t>
            </w:r>
          </w:p>
        </w:tc>
        <w:tc>
          <w:tcPr/>
          <w:p>
            <w:pPr>
              <w:pStyle w:val="Compact"/>
            </w:pPr>
            <w:r>
              <w:rPr>
                <w:szCs w:val="20"/>
                <w:sz w:val="20"/>
              </w:rPr>
              <w:t xml:space="preserve">CNC-milled wells or compartments with fusion bonding</w:t>
            </w:r>
          </w:p>
        </w:tc>
        <w:tc>
          <w:tcPr/>
          <w:p>
            <w:pPr>
              <w:pStyle w:val="Compact"/>
            </w:pPr>
            <w:r>
              <w:rPr>
                <w:szCs w:val="20"/>
                <w:sz w:val="20"/>
              </w:rPr>
              <w:t xml:space="preserve">ANSI/SLAS-compatible automated plate format</w:t>
            </w:r>
          </w:p>
        </w:tc>
        <w:tc>
          <w:tcPr/>
          <w:p>
            <w:pPr>
              <w:pStyle w:val="Compact"/>
            </w:pPr>
            <w:r>
              <w:rPr>
                <w:szCs w:val="20"/>
                <w:sz w:val="20"/>
              </w:rPr>
              <w:t xml:space="preserve">CNC milling, hot embossing, layer alignment, and fusion bonding</w:t>
            </w:r>
          </w:p>
        </w:tc>
        <w:tc>
          <w:tcPr/>
          <w:p>
            <w:pPr>
              <w:pStyle w:val="Compact"/>
            </w:pPr>
            <w:r>
              <w:rPr>
                <w:szCs w:val="20"/>
                <w:sz w:val="20"/>
              </w:rPr>
              <w:t xml:space="preserve">Moll et al., 2024</w:t>
            </w:r>
          </w:p>
        </w:tc>
      </w:tr>
      <w:tr>
        <w:trPr>
          <w:cantSplit/>
        </w:trPr>
        <w:tc>
          <w:tcPr/>
          <w:p>
            <w:pPr>
              <w:pStyle w:val="Compact"/>
            </w:pPr>
            <w:r>
              <w:rPr>
                <w:szCs w:val="20"/>
                <w:sz w:val="20"/>
              </w:rPr>
              <w:t xml:space="preserve">Commercial microfluidic titer plates</w:t>
            </w:r>
          </w:p>
        </w:tc>
        <w:tc>
          <w:tcPr/>
          <w:p>
            <w:pPr>
              <w:pStyle w:val="Compact"/>
            </w:pPr>
            <w:r>
              <w:rPr>
                <w:szCs w:val="20"/>
                <w:sz w:val="20"/>
              </w:rPr>
              <w:t xml:space="preserve">Proprietary phaseguide-based microfluidics</w:t>
            </w:r>
          </w:p>
        </w:tc>
        <w:tc>
          <w:tcPr/>
          <w:p>
            <w:pPr>
              <w:pStyle w:val="Compact"/>
            </w:pPr>
            <w:r>
              <w:rPr>
                <w:szCs w:val="20"/>
                <w:sz w:val="20"/>
              </w:rPr>
              <w:t xml:space="preserve">Proprietary</w:t>
            </w:r>
          </w:p>
        </w:tc>
        <w:tc>
          <w:tcPr/>
          <w:p>
            <w:pPr>
              <w:pStyle w:val="Compact"/>
            </w:pPr>
            <w:r>
              <w:rPr>
                <w:szCs w:val="20"/>
                <w:sz w:val="20"/>
              </w:rPr>
              <w:t xml:space="preserve">384-well plate footprint containing 40 tissue-culture chips</w:t>
            </w:r>
          </w:p>
        </w:tc>
        <w:tc>
          <w:tcPr/>
          <w:p>
            <w:pPr>
              <w:pStyle w:val="Compact"/>
            </w:pPr>
            <w:r>
              <w:rPr>
                <w:szCs w:val="20"/>
                <w:sz w:val="20"/>
              </w:rPr>
              <w:t xml:space="preserve">Commercial procurement and vendor-defined geometries</w:t>
            </w:r>
          </w:p>
        </w:tc>
        <w:tc>
          <w:tcPr/>
          <w:p>
            <w:pPr>
              <w:pStyle w:val="Compact"/>
            </w:pPr>
            <w:r>
              <w:rPr>
                <w:szCs w:val="20"/>
                <w:sz w:val="20"/>
              </w:rPr>
              <w:t xml:space="preserve">Spijkers et al., 2021</w:t>
            </w:r>
          </w:p>
        </w:tc>
      </w:tr>
      <w:tr>
        <w:trPr>
          <w:cantSplit/>
        </w:trPr>
        <w:tc>
          <w:tcPr/>
          <w:p>
            <w:pPr>
              <w:pStyle w:val="Compact"/>
            </w:pPr>
            <w:r>
              <w:rPr>
                <w:szCs w:val="20"/>
                <w:sz w:val="20"/>
              </w:rPr>
              <w:t xml:space="preserve">This work: wafer-bonded resin well inserts with SU-8/SUEX features</w:t>
            </w:r>
          </w:p>
        </w:tc>
        <w:tc>
          <w:tcPr/>
          <w:p>
            <w:pPr>
              <w:pStyle w:val="Compact"/>
            </w:pPr>
            <w:r>
              <w:rPr>
                <w:szCs w:val="20"/>
                <w:sz w:val="20"/>
              </w:rPr>
              <w:t xml:space="preserve">SU-8/SUEX photolithography for micrometer-scale features</w:t>
            </w:r>
          </w:p>
        </w:tc>
        <w:tc>
          <w:tcPr/>
          <w:p>
            <w:pPr>
              <w:pStyle w:val="Compact"/>
            </w:pPr>
            <w:r>
              <w:rPr>
                <w:szCs w:val="20"/>
                <w:sz w:val="20"/>
              </w:rPr>
              <w:t xml:space="preserve">An aligned resin insert array is bonded once to the reusable mold; all wells form during casting</w:t>
            </w:r>
          </w:p>
        </w:tc>
        <w:tc>
          <w:tcPr/>
          <w:p>
            <w:pPr>
              <w:pStyle w:val="Compact"/>
            </w:pPr>
            <w:r>
              <w:rPr>
                <w:szCs w:val="20"/>
                <w:sz w:val="20"/>
              </w:rPr>
              <w:t xml:space="preserve">Standard plate dimensions and 9 mm well grid; demonstrated with high-content imaging and autofocus</w:t>
            </w:r>
          </w:p>
        </w:tc>
        <w:tc>
          <w:tcPr/>
          <w:p>
            <w:pPr>
              <w:pStyle w:val="Compact"/>
            </w:pPr>
            <w:r>
              <w:rPr>
                <w:szCs w:val="20"/>
                <w:sz w:val="20"/>
              </w:rPr>
              <w:t xml:space="preserve">Resin-array printing, one-time alignment and bonding, and parylene coating of the reusable mold; repeated device production uses PDMS casting and glass bonding</w:t>
            </w:r>
          </w:p>
        </w:tc>
        <w:tc>
          <w:tcPr/>
          <w:p>
            <w:pPr>
              <w:pStyle w:val="Compact"/>
            </w:pPr>
            <w:r>
              <w:rPr>
                <w:szCs w:val="20"/>
                <w:sz w:val="20"/>
              </w:rPr>
              <w:t xml:space="preserve">This work</w:t>
            </w:r>
          </w:p>
        </w:tc>
      </w:tr>
    </w:tbl>
    <w:bookmarkEnd w:id="49"/>
    <w:bookmarkStart w:id="51" w:name="X23db66869a0f78f837531f19ab4088856d482ac"/>
    <w:p>
      <w:pPr>
        <w:pStyle w:val="Heading1"/>
      </w:pPr>
      <w:r>
        <w:t xml:space="preserve">Supplementary Table S3. Design parameters and validation checks</w:t>
      </w:r>
    </w:p>
    <w:p>
      <w:pPr>
        <w:pStyle w:val="FirstParagraph"/>
      </w:pPr>
      <w:r>
        <w:t xml:space="preserve">The tested design used two-well device units spaced 18 × 9 mm apart and a</w:t>
      </w:r>
      <w:r>
        <w:t xml:space="preserve"> </w:t>
      </w:r>
      <w:r>
        <w:t xml:space="preserve">200 µm SUEX well layer. These values provide starting points for new layouts.</w:t>
      </w:r>
      <w:r>
        <w:t xml:space="preserve"> </w:t>
      </w:r>
      <w:r>
        <w:t xml:space="preserve">Changes to gaps, margins, taper allowances, and adhesive contact areas require</w:t>
      </w:r>
      <w:r>
        <w:t xml:space="preserve"> </w:t>
      </w:r>
      <w:r>
        <w:t xml:space="preserve">testing to determine which values work reliably.</w:t>
      </w:r>
    </w:p>
    <w:p>
      <w:pPr>
        <w:pStyle w:val="BodyText"/>
      </w:pPr>
      <w:r>
        <w:t xml:space="preserve">These dimensions connect the printed and photolithographic parts of the mold.</w:t>
      </w:r>
      <w:r>
        <w:t xml:space="preserve"> </w:t>
      </w:r>
      <w:r>
        <w:t xml:space="preserve">Shared coordinates place the pins over their matching holes, while their sizes</w:t>
      </w:r>
      <w:r>
        <w:t xml:space="preserve"> </w:t>
      </w:r>
      <w:r>
        <w:t xml:space="preserve">set the alignment clearance. The insert skirt provides space for adhesive, and</w:t>
      </w:r>
      <w:r>
        <w:t xml:space="preserve"> </w:t>
      </w:r>
      <w:r>
        <w:t xml:space="preserve">taper affects both demolding and well capacity. The same shrinkage correction</w:t>
      </w:r>
      <w:r>
        <w:t xml:space="preserve"> </w:t>
      </w:r>
      <w:r>
        <w:t xml:space="preserve">is applied to the masks and inserts to preserve their relative positions and sizes.</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pct" w:w="5000"/>
        <w:tblLayout w:type="fixed"/>
        <w:tblLook w:firstRow="1" w:lastRow="0" w:firstColumn="0" w:lastColumn="0" w:noHBand="0" w:noVBand="0" w:val="0020"/>
      </w:tblPr>
      <w:tblGrid>
        <w:gridCol w:w="1827"/>
        <w:gridCol w:w="2436"/>
        <w:gridCol w:w="1827"/>
        <w:gridCol w:w="1827"/>
      </w:tblGrid>
      <w:tr>
        <w:trPr>
          <w:tblHeader w:val="on"/>
          <w:cantSplit/>
        </w:trPr>
        <w:tc>
          <w:tcPr/>
          <w:p>
            <w:pPr>
              <w:pStyle w:val="Compact"/>
            </w:pPr>
            <w:r>
              <w:rPr>
                <w:szCs w:val="20"/>
                <w:sz w:val="20"/>
              </w:rPr>
              <w:t xml:space="preserve">Design feature</w:t>
            </w:r>
          </w:p>
        </w:tc>
        <w:tc>
          <w:tcPr/>
          <w:p>
            <w:pPr>
              <w:pStyle w:val="Compact"/>
              <w:jc w:val="right"/>
            </w:pPr>
            <w:r>
              <w:rPr>
                <w:szCs w:val="20"/>
                <w:sz w:val="20"/>
              </w:rPr>
              <w:t xml:space="preserve">Value used here</w:t>
            </w:r>
          </w:p>
        </w:tc>
        <w:tc>
          <w:tcPr/>
          <w:p>
            <w:pPr>
              <w:pStyle w:val="Compact"/>
            </w:pPr>
            <w:r>
              <w:rPr>
                <w:szCs w:val="20"/>
                <w:sz w:val="20"/>
              </w:rPr>
              <w:t xml:space="preserve">Allowance included in the design</w:t>
            </w:r>
          </w:p>
        </w:tc>
        <w:tc>
          <w:tcPr/>
          <w:p>
            <w:pPr>
              <w:pStyle w:val="Compact"/>
            </w:pPr>
            <w:r>
              <w:rPr>
                <w:szCs w:val="20"/>
                <w:sz w:val="20"/>
              </w:rPr>
              <w:t xml:space="preserve">Changes that require testing</w:t>
            </w:r>
          </w:p>
        </w:tc>
      </w:tr>
      <w:tr>
        <w:trPr>
          <w:cantSplit/>
        </w:trPr>
        <w:tc>
          <w:tcPr/>
          <w:p>
            <w:pPr>
              <w:pStyle w:val="Compact"/>
            </w:pPr>
            <w:r>
              <w:rPr>
                <w:szCs w:val="20"/>
                <w:sz w:val="20"/>
              </w:rPr>
              <w:t xml:space="preserve">Device and well spacing</w:t>
            </w:r>
          </w:p>
        </w:tc>
        <w:tc>
          <w:tcPr/>
          <w:p>
            <w:pPr>
              <w:pStyle w:val="Compact"/>
              <w:jc w:val="right"/>
            </w:pPr>
            <w:r>
              <w:rPr>
                <w:szCs w:val="20"/>
                <w:sz w:val="20"/>
              </w:rPr>
              <w:t xml:space="preserve">6 × 8 two-well units (48 devices, 96 wells); device units spaced 18 × 9 mm apart; wells at ±4.5 mm from the unit center</w:t>
            </w:r>
          </w:p>
        </w:tc>
        <w:tc>
          <w:tcPr/>
          <w:p>
            <w:pPr>
              <w:pStyle w:val="Compact"/>
            </w:pPr>
            <w:r>
              <w:rPr>
                <w:szCs w:val="20"/>
                <w:sz w:val="20"/>
              </w:rPr>
              <w:t xml:space="preserve">Well centers remain on a 9 mm grid, so each two-well unit occupies two plate columns by one plate row</w:t>
            </w:r>
          </w:p>
        </w:tc>
        <w:tc>
          <w:tcPr/>
          <w:p>
            <w:pPr>
              <w:pStyle w:val="Compact"/>
            </w:pPr>
            <w:r>
              <w:rPr>
                <w:szCs w:val="20"/>
                <w:sz w:val="20"/>
              </w:rPr>
              <w:t xml:space="preserve">Any non-9 mm well spacing, nonstandard device spacing, or layout intended for a different liquid handler or imager</w:t>
            </w:r>
          </w:p>
        </w:tc>
      </w:tr>
      <w:tr>
        <w:trPr>
          <w:cantSplit/>
        </w:trPr>
        <w:tc>
          <w:tcPr/>
          <w:p>
            <w:pPr>
              <w:pStyle w:val="Compact"/>
            </w:pPr>
            <w:r>
              <w:rPr>
                <w:szCs w:val="20"/>
                <w:sz w:val="20"/>
              </w:rPr>
              <w:t xml:space="preserve">Device and frame dimensions</w:t>
            </w:r>
          </w:p>
        </w:tc>
        <w:tc>
          <w:tcPr/>
          <w:p>
            <w:pPr>
              <w:pStyle w:val="Compact"/>
              <w:jc w:val="right"/>
            </w:pPr>
            <w:r>
              <w:rPr>
                <w:szCs w:val="20"/>
                <w:sz w:val="20"/>
              </w:rPr>
              <w:t xml:space="preserve">108 × 72 mm device array on a 110 × 74 mm glass outline; 150 mm wafer with a 57.5 mm flat</w:t>
            </w:r>
          </w:p>
        </w:tc>
        <w:tc>
          <w:tcPr/>
          <w:p>
            <w:pPr>
              <w:pStyle w:val="Compact"/>
            </w:pPr>
            <w:r>
              <w:rPr>
                <w:szCs w:val="20"/>
                <w:sz w:val="20"/>
              </w:rPr>
              <w:t xml:space="preserve">The glass provides a 1 mm designed margin on each side of the device array; wafer, cutting, and frame outlines are generated from the same dimensions</w:t>
            </w:r>
          </w:p>
        </w:tc>
        <w:tc>
          <w:tcPr/>
          <w:p>
            <w:pPr>
              <w:pStyle w:val="Compact"/>
            </w:pPr>
            <w:r>
              <w:rPr>
                <w:szCs w:val="20"/>
                <w:sz w:val="20"/>
              </w:rPr>
              <w:t xml:space="preserve">Smaller glass margins, larger arrays, a different wafer diameter, or manually edited cutting or frame outlines</w:t>
            </w:r>
          </w:p>
        </w:tc>
      </w:tr>
      <w:tr>
        <w:trPr>
          <w:cantSplit/>
        </w:trPr>
        <w:tc>
          <w:tcPr/>
          <w:p>
            <w:pPr>
              <w:pStyle w:val="Compact"/>
            </w:pPr>
            <w:r>
              <w:rPr>
                <w:szCs w:val="20"/>
                <w:sz w:val="20"/>
              </w:rPr>
              <w:t xml:space="preserve">Alignment of wells, chambers, and channels</w:t>
            </w:r>
          </w:p>
        </w:tc>
        <w:tc>
          <w:tcPr/>
          <w:p>
            <w:pPr>
              <w:pStyle w:val="Compact"/>
              <w:jc w:val="right"/>
            </w:pPr>
            <w:r>
              <w:rPr>
                <w:szCs w:val="20"/>
                <w:sz w:val="20"/>
              </w:rPr>
              <w:t xml:space="preserve">2.5 mm well radius; 5.0 mm chamber width; 62 channels with 10 µm width and 30 µm spacing</w:t>
            </w:r>
          </w:p>
        </w:tc>
        <w:tc>
          <w:tcPr/>
          <w:p>
            <w:pPr>
              <w:pStyle w:val="Compact"/>
            </w:pPr>
            <w:r>
              <w:rPr>
                <w:szCs w:val="20"/>
                <w:sz w:val="20"/>
              </w:rPr>
              <w:t xml:space="preserve">The channel array is 2.45 mm wide, leaving a 1.275 mm chamber margin on each side; chamber and insert dimensions are derived from the same channel measurements</w:t>
            </w:r>
          </w:p>
        </w:tc>
        <w:tc>
          <w:tcPr/>
          <w:p>
            <w:pPr>
              <w:pStyle w:val="Compact"/>
            </w:pPr>
            <w:r>
              <w:rPr>
                <w:szCs w:val="20"/>
                <w:sz w:val="20"/>
              </w:rPr>
              <w:t xml:space="preserve">Narrower channel gaps, wider channel arrays, smaller chambers, or channels placed closer to insert or adhesive-contact regions</w:t>
            </w:r>
          </w:p>
        </w:tc>
      </w:tr>
      <w:tr>
        <w:trPr>
          <w:cantSplit/>
        </w:trPr>
        <w:tc>
          <w:tcPr/>
          <w:p>
            <w:pPr>
              <w:pStyle w:val="Compact"/>
            </w:pPr>
            <w:r>
              <w:rPr>
                <w:szCs w:val="20"/>
                <w:sz w:val="20"/>
              </w:rPr>
              <w:t xml:space="preserve">Separation of fabrication layers</w:t>
            </w:r>
          </w:p>
        </w:tc>
        <w:tc>
          <w:tcPr/>
          <w:p>
            <w:pPr>
              <w:pStyle w:val="Compact"/>
              <w:jc w:val="right"/>
            </w:pPr>
            <w:r>
              <w:rPr>
                <w:szCs w:val="20"/>
                <w:sz w:val="20"/>
              </w:rPr>
              <w:t xml:space="preserve">5 µm SU-8 microchannel layer plus 200 µm SUEX well and alignment-hole layer</w:t>
            </w:r>
          </w:p>
        </w:tc>
        <w:tc>
          <w:tcPr/>
          <w:p>
            <w:pPr>
              <w:pStyle w:val="Compact"/>
            </w:pPr>
            <w:r>
              <w:rPr>
                <w:szCs w:val="20"/>
                <w:sz w:val="20"/>
              </w:rPr>
              <w:t xml:space="preserve">The microchannels and taller well features are fabricated as separate aligned layers using matching solid and hollow alignment marks</w:t>
            </w:r>
          </w:p>
        </w:tc>
        <w:tc>
          <w:tcPr/>
          <w:p>
            <w:pPr>
              <w:pStyle w:val="Compact"/>
            </w:pPr>
            <w:r>
              <w:rPr>
                <w:szCs w:val="20"/>
                <w:sz w:val="20"/>
              </w:rPr>
              <w:t xml:space="preserve">Combining layers, changing SUEX thickness, or moving alignment holes into the microchannel layer</w:t>
            </w:r>
          </w:p>
        </w:tc>
      </w:tr>
      <w:tr>
        <w:trPr>
          <w:cantSplit/>
        </w:trPr>
        <w:tc>
          <w:tcPr/>
          <w:p>
            <w:pPr>
              <w:pStyle w:val="Compact"/>
            </w:pPr>
            <w:r>
              <w:rPr>
                <w:szCs w:val="20"/>
                <w:sz w:val="20"/>
              </w:rPr>
              <w:t xml:space="preserve">Insert alignment</w:t>
            </w:r>
          </w:p>
        </w:tc>
        <w:tc>
          <w:tcPr/>
          <w:p>
            <w:pPr>
              <w:pStyle w:val="Compact"/>
              <w:jc w:val="right"/>
            </w:pPr>
            <w:r>
              <w:rPr>
                <w:szCs w:val="20"/>
                <w:sz w:val="20"/>
              </w:rPr>
              <w:t xml:space="preserve">1.85 × 1.85 mm printed pins seated in 2.0 × 2.0 mm SUEX holes</w:t>
            </w:r>
          </w:p>
        </w:tc>
        <w:tc>
          <w:tcPr/>
          <w:p>
            <w:pPr>
              <w:pStyle w:val="Compact"/>
            </w:pPr>
            <w:r>
              <w:rPr>
                <w:szCs w:val="20"/>
                <w:sz w:val="20"/>
              </w:rPr>
              <w:t xml:space="preserve">150 µm total side-to-side clearance, or 75 µm per side, between the printed pins and wafer holes</w:t>
            </w:r>
          </w:p>
        </w:tc>
        <w:tc>
          <w:tcPr/>
          <w:p>
            <w:pPr>
              <w:pStyle w:val="Compact"/>
            </w:pPr>
            <w:r>
              <w:rPr>
                <w:szCs w:val="20"/>
                <w:sz w:val="20"/>
              </w:rPr>
              <w:t xml:space="preserve">Smaller gaps between pins and holes, different resin or printer settings, or smaller alignment features</w:t>
            </w:r>
          </w:p>
        </w:tc>
      </w:tr>
      <w:tr>
        <w:trPr>
          <w:cantSplit/>
        </w:trPr>
        <w:tc>
          <w:tcPr/>
          <w:p>
            <w:pPr>
              <w:pStyle w:val="Compact"/>
            </w:pPr>
            <w:r>
              <w:rPr>
                <w:szCs w:val="20"/>
                <w:sz w:val="20"/>
              </w:rPr>
              <w:t xml:space="preserve">Insert seating across the array</w:t>
            </w:r>
          </w:p>
        </w:tc>
        <w:tc>
          <w:tcPr/>
          <w:p>
            <w:pPr>
              <w:pStyle w:val="Compact"/>
              <w:jc w:val="right"/>
            </w:pPr>
            <w:r>
              <w:rPr>
                <w:szCs w:val="20"/>
                <w:sz w:val="20"/>
              </w:rPr>
              <w:t xml:space="preserve">Measured pin-height variation of 116 µm between the lowest and highest pins; compressible EPDM rubber sheet used during clamping</w:t>
            </w:r>
          </w:p>
        </w:tc>
        <w:tc>
          <w:tcPr/>
          <w:p>
            <w:pPr>
              <w:pStyle w:val="Compact"/>
            </w:pPr>
            <w:r>
              <w:rPr>
                <w:szCs w:val="20"/>
                <w:sz w:val="20"/>
              </w:rPr>
              <w:t xml:space="preserve">The clamping layers must accommodate at least the measured height variation so all pins can seat before the epoxy cures</w:t>
            </w:r>
          </w:p>
        </w:tc>
        <w:tc>
          <w:tcPr/>
          <w:p>
            <w:pPr>
              <w:pStyle w:val="Compact"/>
            </w:pPr>
            <w:r>
              <w:rPr>
                <w:szCs w:val="20"/>
                <w:sz w:val="20"/>
              </w:rPr>
              <w:t xml:space="preserve">Larger height variation across a print, stiffer clamping layers, or omission or replacement of the compressible layer</w:t>
            </w:r>
          </w:p>
        </w:tc>
      </w:tr>
      <w:tr>
        <w:trPr>
          <w:cantSplit/>
        </w:trPr>
        <w:tc>
          <w:tcPr/>
          <w:p>
            <w:pPr>
              <w:pStyle w:val="Compact"/>
            </w:pPr>
            <w:r>
              <w:rPr>
                <w:szCs w:val="20"/>
                <w:sz w:val="20"/>
              </w:rPr>
              <w:t xml:space="preserve">Insert taper and demolding</w:t>
            </w:r>
          </w:p>
        </w:tc>
        <w:tc>
          <w:tcPr/>
          <w:p>
            <w:pPr>
              <w:pStyle w:val="Compact"/>
              <w:jc w:val="right"/>
            </w:pPr>
            <w:r>
              <w:rPr>
                <w:szCs w:val="20"/>
                <w:sz w:val="20"/>
              </w:rPr>
              <w:t xml:space="preserve">3.8 mm insert height; 16° outer taper; 0.300 mm extra taper allowance</w:t>
            </w:r>
          </w:p>
        </w:tc>
        <w:tc>
          <w:tcPr/>
          <w:p>
            <w:pPr>
              <w:pStyle w:val="Compact"/>
            </w:pPr>
            <w:r>
              <w:rPr>
                <w:szCs w:val="20"/>
                <w:sz w:val="20"/>
              </w:rPr>
              <w:t xml:space="preserve">The taper reduces each side by 1.39 mm from bottom to top; this preserves wall thickness while avoiding vertical outer walls</w:t>
            </w:r>
          </w:p>
        </w:tc>
        <w:tc>
          <w:tcPr/>
          <w:p>
            <w:pPr>
              <w:pStyle w:val="Compact"/>
            </w:pPr>
            <w:r>
              <w:rPr>
                <w:szCs w:val="20"/>
                <w:sz w:val="20"/>
              </w:rPr>
              <w:t xml:space="preserve">Steeper walls, smaller wells or chambers after applying the taper, or less taper</w:t>
            </w:r>
          </w:p>
        </w:tc>
      </w:tr>
      <w:tr>
        <w:trPr>
          <w:cantSplit/>
        </w:trPr>
        <w:tc>
          <w:tcPr/>
          <w:p>
            <w:pPr>
              <w:pStyle w:val="Compact"/>
            </w:pPr>
            <w:r>
              <w:rPr>
                <w:szCs w:val="20"/>
                <w:sz w:val="20"/>
              </w:rPr>
              <w:t xml:space="preserve">Well size, depth, and working volume</w:t>
            </w:r>
          </w:p>
        </w:tc>
        <w:tc>
          <w:tcPr/>
          <w:p>
            <w:pPr>
              <w:pStyle w:val="Compact"/>
              <w:jc w:val="right"/>
            </w:pPr>
            <w:r>
              <w:rPr>
                <w:szCs w:val="20"/>
                <w:sz w:val="20"/>
              </w:rPr>
              <w:t xml:space="preserve">Safe maximum working volume of 50 µL per well in the present plate</w:t>
            </w:r>
          </w:p>
        </w:tc>
        <w:tc>
          <w:tcPr/>
          <w:p>
            <w:pPr>
              <w:pStyle w:val="Compact"/>
            </w:pPr>
            <w:r>
              <w:rPr>
                <w:szCs w:val="20"/>
                <w:sz w:val="20"/>
              </w:rPr>
              <w:t xml:space="preserve">At the fixed 9 mm spacing, taper and interwell wall thickness constrain well width and depth. The array fits the selected 110 × 74 mm glass sheet; enlarging the wells would require larger, substantially more expensive custom-cut glass</w:t>
            </w:r>
          </w:p>
        </w:tc>
        <w:tc>
          <w:tcPr/>
          <w:p>
            <w:pPr>
              <w:pStyle w:val="Compact"/>
            </w:pPr>
            <w:r>
              <w:rPr>
                <w:szCs w:val="20"/>
                <w:sz w:val="20"/>
              </w:rPr>
              <w:t xml:space="preserve">Applications requiring more than 50 µL per well: revise well geometry and check demolding, array and glass dimensions, handling, and cost</w:t>
            </w:r>
          </w:p>
        </w:tc>
      </w:tr>
      <w:tr>
        <w:trPr>
          <w:cantSplit/>
        </w:trPr>
        <w:tc>
          <w:tcPr/>
          <w:p>
            <w:pPr>
              <w:pStyle w:val="Compact"/>
            </w:pPr>
            <w:r>
              <w:rPr>
                <w:szCs w:val="20"/>
                <w:sz w:val="20"/>
              </w:rPr>
              <w:t xml:space="preserve">Skirt and adhesive contact area</w:t>
            </w:r>
          </w:p>
        </w:tc>
        <w:tc>
          <w:tcPr/>
          <w:p>
            <w:pPr>
              <w:pStyle w:val="Compact"/>
              <w:jc w:val="right"/>
            </w:pPr>
            <w:r>
              <w:rPr>
                <w:szCs w:val="20"/>
                <w:sz w:val="20"/>
              </w:rPr>
              <w:t xml:space="preserve">Two-step skirt: 0.75 × 0.66 mm plus 0.80 × 0.04 mm</w:t>
            </w:r>
          </w:p>
        </w:tc>
        <w:tc>
          <w:tcPr/>
          <w:p>
            <w:pPr>
              <w:pStyle w:val="Compact"/>
            </w:pPr>
            <w:r>
              <w:rPr>
                <w:szCs w:val="20"/>
                <w:sz w:val="20"/>
              </w:rPr>
              <w:t xml:space="preserve">Provides an approximately 0.75–0.80 mm-wide recessed contact and sealing area around the insert while keeping adhesive away from microchannels</w:t>
            </w:r>
          </w:p>
        </w:tc>
        <w:tc>
          <w:tcPr/>
          <w:p>
            <w:pPr>
              <w:pStyle w:val="Compact"/>
            </w:pPr>
            <w:r>
              <w:rPr>
                <w:szCs w:val="20"/>
                <w:sz w:val="20"/>
              </w:rPr>
              <w:t xml:space="preserve">Smaller contact areas, different epoxy viscosity, or layouts with channels closer to the insert edge</w:t>
            </w:r>
          </w:p>
        </w:tc>
      </w:tr>
      <w:tr>
        <w:trPr>
          <w:cantSplit/>
        </w:trPr>
        <w:tc>
          <w:tcPr/>
          <w:p>
            <w:pPr>
              <w:pStyle w:val="Compact"/>
            </w:pPr>
            <w:r>
              <w:rPr>
                <w:szCs w:val="20"/>
                <w:sz w:val="20"/>
              </w:rPr>
              <w:t xml:space="preserve">PDMS shrinkage compensation</w:t>
            </w:r>
          </w:p>
        </w:tc>
        <w:tc>
          <w:tcPr/>
          <w:p>
            <w:pPr>
              <w:pStyle w:val="Compact"/>
              <w:jc w:val="right"/>
            </w:pPr>
            <w:r>
              <w:rPr>
                <w:szCs w:val="20"/>
                <w:sz w:val="20"/>
              </w:rPr>
              <w:t xml:space="preserve">1.0226 horizontal scale factor for the 100°C cure used here</w:t>
            </w:r>
          </w:p>
        </w:tc>
        <w:tc>
          <w:tcPr/>
          <w:p>
            <w:pPr>
              <w:pStyle w:val="Compact"/>
            </w:pPr>
            <w:r>
              <w:rPr>
                <w:szCs w:val="20"/>
                <w:sz w:val="20"/>
              </w:rPr>
              <w:t xml:space="preserve">The same 2.26% enlargement is applied to matching masks and inserts, keeping them aligned after thermal curing</w:t>
            </w:r>
          </w:p>
        </w:tc>
        <w:tc>
          <w:tcPr/>
          <w:p>
            <w:pPr>
              <w:pStyle w:val="Compact"/>
            </w:pPr>
            <w:r>
              <w:rPr>
                <w:szCs w:val="20"/>
                <w:sz w:val="20"/>
              </w:rPr>
              <w:t xml:space="preserve">A different cure temperature, PDMS formulation, or independent scaling of only one output file</w:t>
            </w:r>
          </w:p>
        </w:tc>
      </w:tr>
      <w:tr>
        <w:trPr>
          <w:cantSplit/>
        </w:trPr>
        <w:tc>
          <w:tcPr/>
          <w:p>
            <w:pPr>
              <w:pStyle w:val="Compact"/>
            </w:pPr>
            <w:r>
              <w:rPr>
                <w:szCs w:val="20"/>
                <w:sz w:val="20"/>
              </w:rPr>
              <w:t xml:space="preserve">Parylene coating and channel dimensions</w:t>
            </w:r>
          </w:p>
        </w:tc>
        <w:tc>
          <w:tcPr/>
          <w:p>
            <w:pPr>
              <w:pStyle w:val="Compact"/>
              <w:jc w:val="right"/>
            </w:pPr>
            <w:r>
              <w:rPr>
                <w:szCs w:val="20"/>
                <w:sz w:val="20"/>
              </w:rPr>
              <w:t xml:space="preserve">1 µm parylene C; nominal channel width of 10 µm before coating</w:t>
            </w:r>
          </w:p>
        </w:tc>
        <w:tc>
          <w:tcPr/>
          <w:p>
            <w:pPr>
              <w:pStyle w:val="Compact"/>
            </w:pPr>
            <w:r>
              <w:rPr>
                <w:szCs w:val="20"/>
                <w:sz w:val="20"/>
              </w:rPr>
              <w:t xml:space="preserve">A uniform coating adds approximately 2 µm to ridge width. Relative ridge height remains approximately unchanged because the ridge top and surrounding base both receive coating. Final cast dimensions also depend on PDMS shrinkage</w:t>
            </w:r>
          </w:p>
        </w:tc>
        <w:tc>
          <w:tcPr/>
          <w:p>
            <w:pPr>
              <w:pStyle w:val="Compact"/>
            </w:pPr>
            <w:r>
              <w:rPr>
                <w:szCs w:val="20"/>
                <w:sz w:val="20"/>
              </w:rPr>
              <w:t xml:space="preserve">Measure coated ridge and cast dimensions to establish a coating-thickness correction; this correction is not yet included in the generator</w:t>
            </w:r>
          </w:p>
        </w:tc>
      </w:tr>
    </w:tbl>
    <w:bookmarkStart w:id="50" w:name="Xb268a1718091f0f51c5bb203c03ea5e6f5d7d54"/>
    <w:p>
      <w:pPr>
        <w:pStyle w:val="Heading2"/>
      </w:pPr>
      <w:r>
        <w:t xml:space="preserve">S3B. Fabrication checks for the Figure 5 layouts</w:t>
      </w:r>
    </w:p>
    <w:p>
      <w:pPr>
        <w:pStyle w:val="FirstParagraph"/>
      </w:pPr>
      <w:r>
        <w:t xml:space="preserve">For each literature-inspired layout in Figure 5, OpenMFD generated corresponding</w:t>
      </w:r>
      <w:r>
        <w:t xml:space="preserve"> </w:t>
      </w:r>
      <w:r>
        <w:t xml:space="preserve">mask, insert, wafer, and frame files using the same method as for the neuronal device.</w:t>
      </w:r>
      <w:r>
        <w:t xml:space="preserve"> </w:t>
      </w:r>
      <w:r>
        <w:t xml:space="preserve">These layouts have not been fabricated or experimentally validated. Their</w:t>
      </w:r>
      <w:r>
        <w:t xml:space="preserve"> </w:t>
      </w:r>
      <w:r>
        <w:t xml:space="preserve">dimensions determine the first-fabrication checks listed below.</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pct" w:w="5000"/>
        <w:tblLayout w:type="fixed"/>
        <w:tblLook w:firstRow="1" w:lastRow="0" w:firstColumn="0" w:lastColumn="0" w:noHBand="0" w:noVBand="0" w:val="0020"/>
      </w:tblPr>
      <w:tblGrid>
        <w:gridCol w:w="1250"/>
        <w:gridCol w:w="1250"/>
        <w:gridCol w:w="1667"/>
        <w:gridCol w:w="1250"/>
        <w:gridCol w:w="1250"/>
        <w:gridCol w:w="1250"/>
      </w:tblGrid>
      <w:tr>
        <w:trPr>
          <w:tblHeader w:val="on"/>
          <w:cantSplit/>
        </w:trPr>
        <w:tc>
          <w:tcPr/>
          <w:p>
            <w:pPr>
              <w:pStyle w:val="Compact"/>
            </w:pPr>
            <w:r>
              <w:rPr>
                <w:szCs w:val="20"/>
                <w:sz w:val="20"/>
              </w:rPr>
              <w:t xml:space="preserve">Layout</w:t>
            </w:r>
          </w:p>
        </w:tc>
        <w:tc>
          <w:tcPr/>
          <w:p>
            <w:pPr>
              <w:pStyle w:val="Compact"/>
            </w:pPr>
            <w:r>
              <w:rPr>
                <w:szCs w:val="20"/>
                <w:sz w:val="20"/>
              </w:rPr>
              <w:t xml:space="preserve">Device spacing and array</w:t>
            </w:r>
          </w:p>
        </w:tc>
        <w:tc>
          <w:tcPr/>
          <w:p>
            <w:pPr>
              <w:pStyle w:val="Compact"/>
              <w:jc w:val="right"/>
            </w:pPr>
            <w:r>
              <w:rPr>
                <w:szCs w:val="20"/>
                <w:sz w:val="20"/>
              </w:rPr>
              <w:t xml:space="preserve">Well radius</w:t>
            </w:r>
          </w:p>
        </w:tc>
        <w:tc>
          <w:tcPr/>
          <w:p>
            <w:pPr>
              <w:pStyle w:val="Compact"/>
            </w:pPr>
            <w:r>
              <w:rPr>
                <w:szCs w:val="20"/>
                <w:sz w:val="20"/>
              </w:rPr>
              <w:t xml:space="preserve">Microchannel summary</w:t>
            </w:r>
          </w:p>
        </w:tc>
        <w:tc>
          <w:tcPr/>
          <w:p>
            <w:pPr>
              <w:pStyle w:val="Compact"/>
            </w:pPr>
            <w:r>
              <w:rPr>
                <w:szCs w:val="20"/>
                <w:sz w:val="20"/>
              </w:rPr>
              <w:t xml:space="preserve">What was tested</w:t>
            </w:r>
          </w:p>
        </w:tc>
        <w:tc>
          <w:tcPr/>
          <w:p>
            <w:pPr>
              <w:pStyle w:val="Compact"/>
            </w:pPr>
            <w:r>
              <w:rPr>
                <w:szCs w:val="20"/>
                <w:sz w:val="20"/>
              </w:rPr>
              <w:t xml:space="preserve">Checks when first fabricating the design</w:t>
            </w:r>
          </w:p>
        </w:tc>
      </w:tr>
      <w:tr>
        <w:trPr>
          <w:cantSplit/>
        </w:trPr>
        <w:tc>
          <w:tcPr/>
          <w:p>
            <w:pPr>
              <w:pStyle w:val="Compact"/>
            </w:pPr>
            <w:r>
              <w:rPr>
                <w:szCs w:val="20"/>
                <w:sz w:val="20"/>
              </w:rPr>
              <w:t xml:space="preserve">Demonstrated compartmentalized-neuron device</w:t>
            </w:r>
          </w:p>
        </w:tc>
        <w:tc>
          <w:tcPr/>
          <w:p>
            <w:pPr>
              <w:pStyle w:val="Compact"/>
            </w:pPr>
            <w:r>
              <w:rPr>
                <w:szCs w:val="20"/>
                <w:sz w:val="20"/>
              </w:rPr>
              <w:t xml:space="preserve">18 × 9 mm; 6 × 8 two-well units</w:t>
            </w:r>
          </w:p>
        </w:tc>
        <w:tc>
          <w:tcPr/>
          <w:p>
            <w:pPr>
              <w:pStyle w:val="Compact"/>
              <w:jc w:val="right"/>
            </w:pPr>
            <w:r>
              <w:rPr>
                <w:szCs w:val="20"/>
                <w:sz w:val="20"/>
              </w:rPr>
              <w:t xml:space="preserve">2.5 mm</w:t>
            </w:r>
          </w:p>
        </w:tc>
        <w:tc>
          <w:tcPr/>
          <w:p>
            <w:pPr>
              <w:pStyle w:val="Compact"/>
            </w:pPr>
            <w:r>
              <w:rPr>
                <w:szCs w:val="20"/>
                <w:sz w:val="20"/>
              </w:rPr>
              <w:t xml:space="preserve">62 channels with 10 µm width and 30 µm spacing</w:t>
            </w:r>
          </w:p>
        </w:tc>
        <w:tc>
          <w:tcPr/>
          <w:p>
            <w:pPr>
              <w:pStyle w:val="Compact"/>
            </w:pPr>
            <w:r>
              <w:rPr>
                <w:szCs w:val="20"/>
                <w:sz w:val="20"/>
              </w:rPr>
              <w:t xml:space="preserve">Fabricated, cast, assembled, imaged, and used for neuronal culture in analyzed interior devices</w:t>
            </w:r>
          </w:p>
        </w:tc>
        <w:tc>
          <w:tcPr/>
          <w:p>
            <w:pPr>
              <w:pStyle w:val="Compact"/>
            </w:pPr>
            <w:r>
              <w:rPr>
                <w:szCs w:val="20"/>
                <w:sz w:val="20"/>
              </w:rPr>
              <w:t xml:space="preserve">Baseline demonstrated workflow</w:t>
            </w:r>
          </w:p>
        </w:tc>
      </w:tr>
      <w:tr>
        <w:trPr>
          <w:cantSplit/>
        </w:trPr>
        <w:tc>
          <w:tcPr/>
          <w:p>
            <w:pPr>
              <w:pStyle w:val="Compact"/>
            </w:pPr>
            <w:r>
              <w:rPr>
                <w:szCs w:val="20"/>
                <w:sz w:val="20"/>
              </w:rPr>
              <w:t xml:space="preserve">Myelination-inspired layout</w:t>
            </w:r>
          </w:p>
        </w:tc>
        <w:tc>
          <w:tcPr/>
          <w:p>
            <w:pPr>
              <w:pStyle w:val="Compact"/>
            </w:pPr>
            <w:r>
              <w:rPr>
                <w:szCs w:val="20"/>
                <w:sz w:val="20"/>
              </w:rPr>
              <w:t xml:space="preserve">18 × 18 mm; 6 × 4 units</w:t>
            </w:r>
          </w:p>
        </w:tc>
        <w:tc>
          <w:tcPr/>
          <w:p>
            <w:pPr>
              <w:pStyle w:val="Compact"/>
              <w:jc w:val="right"/>
            </w:pPr>
            <w:r>
              <w:rPr>
                <w:szCs w:val="20"/>
                <w:sz w:val="20"/>
              </w:rPr>
              <w:t xml:space="preserve">2.5 mm</w:t>
            </w:r>
          </w:p>
        </w:tc>
        <w:tc>
          <w:tcPr/>
          <w:p>
            <w:pPr>
              <w:pStyle w:val="Compact"/>
            </w:pPr>
            <w:r>
              <w:rPr>
                <w:szCs w:val="20"/>
                <w:sz w:val="20"/>
              </w:rPr>
              <w:t xml:space="preserve">125 channels at 10 µm plus an oligodendrocyte branch</w:t>
            </w:r>
          </w:p>
        </w:tc>
        <w:tc>
          <w:tcPr/>
          <w:p>
            <w:pPr>
              <w:pStyle w:val="Compact"/>
            </w:pPr>
            <w:r>
              <w:rPr>
                <w:szCs w:val="20"/>
                <w:sz w:val="20"/>
              </w:rPr>
              <w:t xml:space="preserve">Complete matched fabrication files generated</w:t>
            </w:r>
          </w:p>
        </w:tc>
        <w:tc>
          <w:tcPr/>
          <w:p>
            <w:pPr>
              <w:pStyle w:val="Compact"/>
            </w:pPr>
            <w:r>
              <w:rPr>
                <w:szCs w:val="20"/>
                <w:sz w:val="20"/>
              </w:rPr>
              <w:t xml:space="preserve">Confirm the different device spacing, crossing layout, higher channel count, and assay-specific operation</w:t>
            </w:r>
          </w:p>
        </w:tc>
      </w:tr>
      <w:tr>
        <w:trPr>
          <w:cantSplit/>
        </w:trPr>
        <w:tc>
          <w:tcPr/>
          <w:p>
            <w:pPr>
              <w:pStyle w:val="Compact"/>
            </w:pPr>
            <w:r>
              <w:rPr>
                <w:szCs w:val="20"/>
                <w:sz w:val="20"/>
              </w:rPr>
              <w:t xml:space="preserve">Axon-guidance layout</w:t>
            </w:r>
          </w:p>
        </w:tc>
        <w:tc>
          <w:tcPr/>
          <w:p>
            <w:pPr>
              <w:pStyle w:val="Compact"/>
            </w:pPr>
            <w:r>
              <w:rPr>
                <w:szCs w:val="20"/>
                <w:sz w:val="20"/>
              </w:rPr>
              <w:t xml:space="preserve">18 × 18 mm; 6 × 4 units</w:t>
            </w:r>
          </w:p>
        </w:tc>
        <w:tc>
          <w:tcPr/>
          <w:p>
            <w:pPr>
              <w:pStyle w:val="Compact"/>
              <w:jc w:val="right"/>
            </w:pPr>
            <w:r>
              <w:rPr>
                <w:szCs w:val="20"/>
                <w:sz w:val="20"/>
              </w:rPr>
              <w:t xml:space="preserve">2.5 mm</w:t>
            </w:r>
          </w:p>
        </w:tc>
        <w:tc>
          <w:tcPr/>
          <w:p>
            <w:pPr>
              <w:pStyle w:val="Compact"/>
            </w:pPr>
            <w:r>
              <w:rPr>
                <w:szCs w:val="20"/>
                <w:sz w:val="20"/>
              </w:rPr>
              <w:t xml:space="preserve">83 channels at 10 µm per arm</w:t>
            </w:r>
          </w:p>
        </w:tc>
        <w:tc>
          <w:tcPr/>
          <w:p>
            <w:pPr>
              <w:pStyle w:val="Compact"/>
            </w:pPr>
            <w:r>
              <w:rPr>
                <w:szCs w:val="20"/>
                <w:sz w:val="20"/>
              </w:rPr>
              <w:t xml:space="preserve">Complete matched fabrication files generated</w:t>
            </w:r>
          </w:p>
        </w:tc>
        <w:tc>
          <w:tcPr/>
          <w:p>
            <w:pPr>
              <w:pStyle w:val="Compact"/>
            </w:pPr>
            <w:r>
              <w:rPr>
                <w:szCs w:val="20"/>
                <w:sz w:val="20"/>
              </w:rPr>
              <w:t xml:space="preserve">Confirm the different device spacing, orthogonal-gradient layout, and assay-specific operation</w:t>
            </w:r>
          </w:p>
        </w:tc>
      </w:tr>
      <w:tr>
        <w:trPr>
          <w:cantSplit/>
        </w:trPr>
        <w:tc>
          <w:tcPr/>
          <w:p>
            <w:pPr>
              <w:pStyle w:val="Compact"/>
            </w:pPr>
            <w:r>
              <w:rPr>
                <w:szCs w:val="20"/>
                <w:sz w:val="20"/>
              </w:rPr>
              <w:t xml:space="preserve">Three-compartment layout</w:t>
            </w:r>
          </w:p>
        </w:tc>
        <w:tc>
          <w:tcPr/>
          <w:p>
            <w:pPr>
              <w:pStyle w:val="Compact"/>
            </w:pPr>
            <w:r>
              <w:rPr>
                <w:szCs w:val="20"/>
                <w:sz w:val="20"/>
              </w:rPr>
              <w:t xml:space="preserve">27 × 9 mm; 4 × 8 units</w:t>
            </w:r>
          </w:p>
        </w:tc>
        <w:tc>
          <w:tcPr/>
          <w:p>
            <w:pPr>
              <w:pStyle w:val="Compact"/>
              <w:jc w:val="right"/>
            </w:pPr>
            <w:r>
              <w:rPr>
                <w:szCs w:val="20"/>
                <w:sz w:val="20"/>
              </w:rPr>
              <w:t xml:space="preserve">2.5 mm</w:t>
            </w:r>
          </w:p>
        </w:tc>
        <w:tc>
          <w:tcPr/>
          <w:p>
            <w:pPr>
              <w:pStyle w:val="Compact"/>
            </w:pPr>
            <w:r>
              <w:rPr>
                <w:szCs w:val="20"/>
                <w:sz w:val="20"/>
              </w:rPr>
              <w:t xml:space="preserve">Two successive channel arrays with 125 channels at 10 µm per array</w:t>
            </w:r>
          </w:p>
        </w:tc>
        <w:tc>
          <w:tcPr/>
          <w:p>
            <w:pPr>
              <w:pStyle w:val="Compact"/>
            </w:pPr>
            <w:r>
              <w:rPr>
                <w:szCs w:val="20"/>
                <w:sz w:val="20"/>
              </w:rPr>
              <w:t xml:space="preserve">Complete matched fabrication files generated</w:t>
            </w:r>
          </w:p>
        </w:tc>
        <w:tc>
          <w:tcPr/>
          <w:p>
            <w:pPr>
              <w:pStyle w:val="Compact"/>
            </w:pPr>
            <w:r>
              <w:rPr>
                <w:szCs w:val="20"/>
                <w:sz w:val="20"/>
              </w:rPr>
              <w:t xml:space="preserve">Confirm the three-well unit, different device spacing, successive channel arrays, and assay-specific operation</w:t>
            </w:r>
          </w:p>
        </w:tc>
      </w:tr>
    </w:tbl>
    <w:bookmarkEnd w:id="50"/>
    <w:bookmarkEnd w:id="51"/>
    <w:bookmarkStart w:id="56" w:name="X1bffbb4855f2a3913dc55d49cdccf6ee0933ccb"/>
    <w:p>
      <w:pPr>
        <w:pStyle w:val="Heading1"/>
      </w:pPr>
      <w:r>
        <w:t xml:space="preserve">Supplementary Table S4. Resin insert 3D-printing and post-processing settings</w:t>
      </w:r>
    </w:p>
    <w:p>
      <w:pPr>
        <w:pStyle w:val="FirstParagraph"/>
      </w:pPr>
      <w:r>
        <w:t xml:space="preserve">These settings were used to print the wafer-bonded resin inserts. Validate</w:t>
      </w:r>
      <w:r>
        <w:t xml:space="preserve"> </w:t>
      </w:r>
      <w:r>
        <w:t xml:space="preserve">alternative printers, resins, and slicer profiles for local print quality and</w:t>
      </w:r>
      <w:r>
        <w:t xml:space="preserve"> </w:t>
      </w:r>
      <w:r>
        <w:t xml:space="preserve">fit.</w:t>
      </w:r>
    </w:p>
    <w:bookmarkStart w:id="52" w:name="printer-and-resin"/>
    <w:p>
      <w:pPr>
        <w:pStyle w:val="Heading2"/>
      </w:pPr>
      <w:r>
        <w:t xml:space="preserve">Printer and resin</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Cs w:val="20"/>
                <w:sz w:val="20"/>
              </w:rPr>
              <w:t xml:space="preserve">Parameter</w:t>
            </w:r>
          </w:p>
        </w:tc>
        <w:tc>
          <w:tcPr/>
          <w:p>
            <w:pPr>
              <w:pStyle w:val="Compact"/>
            </w:pPr>
            <w:r>
              <w:rPr>
                <w:szCs w:val="20"/>
                <w:sz w:val="20"/>
              </w:rPr>
              <w:t xml:space="preserve">Setting</w:t>
            </w:r>
          </w:p>
        </w:tc>
      </w:tr>
      <w:tr>
        <w:trPr>
          <w:cantSplit/>
        </w:trPr>
        <w:tc>
          <w:tcPr/>
          <w:p>
            <w:pPr>
              <w:pStyle w:val="Compact"/>
            </w:pPr>
            <w:r>
              <w:rPr>
                <w:szCs w:val="20"/>
                <w:sz w:val="20"/>
              </w:rPr>
              <w:t xml:space="preserve">Resin</w:t>
            </w:r>
          </w:p>
        </w:tc>
        <w:tc>
          <w:tcPr/>
          <w:p>
            <w:pPr>
              <w:pStyle w:val="Compact"/>
            </w:pPr>
            <w:r>
              <w:rPr>
                <w:szCs w:val="20"/>
                <w:sz w:val="20"/>
              </w:rPr>
              <w:t xml:space="preserve">Siraya Tech Sculpt Clear high-temperature resin</w:t>
            </w:r>
          </w:p>
        </w:tc>
      </w:tr>
      <w:tr>
        <w:trPr>
          <w:cantSplit/>
        </w:trPr>
        <w:tc>
          <w:tcPr/>
          <w:p>
            <w:pPr>
              <w:pStyle w:val="Compact"/>
            </w:pPr>
            <w:r>
              <w:rPr>
                <w:szCs w:val="20"/>
                <w:sz w:val="20"/>
              </w:rPr>
              <w:t xml:space="preserve">Printer</w:t>
            </w:r>
          </w:p>
        </w:tc>
        <w:tc>
          <w:tcPr/>
          <w:p>
            <w:pPr>
              <w:pStyle w:val="Compact"/>
            </w:pPr>
            <w:r>
              <w:rPr>
                <w:szCs w:val="20"/>
                <w:sz w:val="20"/>
              </w:rPr>
              <w:t xml:space="preserve">Elegoo Mars 3 Pro</w:t>
            </w:r>
          </w:p>
        </w:tc>
      </w:tr>
      <w:tr>
        <w:trPr>
          <w:cantSplit/>
        </w:trPr>
        <w:tc>
          <w:tcPr/>
          <w:p>
            <w:pPr>
              <w:pStyle w:val="Compact"/>
            </w:pPr>
            <w:r>
              <w:rPr>
                <w:szCs w:val="20"/>
                <w:sz w:val="20"/>
              </w:rPr>
              <w:t xml:space="preserve">Build plate / transfer fixture</w:t>
            </w:r>
          </w:p>
        </w:tc>
        <w:tc>
          <w:tcPr/>
          <w:p>
            <w:pPr>
              <w:pStyle w:val="Compact"/>
            </w:pPr>
            <w:r>
              <w:rPr>
                <w:szCs w:val="20"/>
                <w:sz w:val="20"/>
              </w:rPr>
              <w:t xml:space="preserve">Magnetic removable build plate</w:t>
            </w:r>
          </w:p>
        </w:tc>
      </w:tr>
      <w:tr>
        <w:trPr>
          <w:cantSplit/>
        </w:trPr>
        <w:tc>
          <w:tcPr/>
          <w:p>
            <w:pPr>
              <w:pStyle w:val="Compact"/>
            </w:pPr>
            <w:r>
              <w:rPr>
                <w:szCs w:val="20"/>
                <w:sz w:val="20"/>
              </w:rPr>
              <w:t xml:space="preserve">Slicer profile name</w:t>
            </w:r>
          </w:p>
        </w:tc>
        <w:tc>
          <w:tcPr/>
          <w:p>
            <w:pPr>
              <w:pStyle w:val="Compact"/>
            </w:pPr>
            <w:r>
              <w:rPr>
                <w:szCs w:val="20"/>
                <w:sz w:val="20"/>
              </w:rPr>
              <w:t xml:space="preserve">Siraya High Temp</w:t>
            </w:r>
          </w:p>
        </w:tc>
      </w:tr>
    </w:tbl>
    <w:bookmarkEnd w:id="52"/>
    <w:bookmarkStart w:id="53" w:name="print-profile"/>
    <w:p>
      <w:pPr>
        <w:pStyle w:val="Heading2"/>
      </w:pPr>
      <w:r>
        <w:t xml:space="preserve">Print profile</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Cs w:val="20"/>
                <w:sz w:val="20"/>
              </w:rPr>
              <w:t xml:space="preserve">Parameter</w:t>
            </w:r>
          </w:p>
        </w:tc>
        <w:tc>
          <w:tcPr/>
          <w:p>
            <w:pPr>
              <w:pStyle w:val="Compact"/>
              <w:jc w:val="right"/>
            </w:pPr>
            <w:r>
              <w:rPr>
                <w:szCs w:val="20"/>
                <w:sz w:val="20"/>
              </w:rPr>
              <w:t xml:space="preserve">Setting</w:t>
            </w:r>
          </w:p>
        </w:tc>
      </w:tr>
      <w:tr>
        <w:trPr>
          <w:cantSplit/>
        </w:trPr>
        <w:tc>
          <w:tcPr/>
          <w:p>
            <w:pPr>
              <w:pStyle w:val="Compact"/>
            </w:pPr>
            <w:r>
              <w:rPr>
                <w:szCs w:val="20"/>
                <w:sz w:val="20"/>
              </w:rPr>
              <w:t xml:space="preserve">Layer height</w:t>
            </w:r>
          </w:p>
        </w:tc>
        <w:tc>
          <w:tcPr/>
          <w:p>
            <w:pPr>
              <w:pStyle w:val="Compact"/>
              <w:jc w:val="right"/>
            </w:pPr>
            <w:r>
              <w:rPr>
                <w:szCs w:val="20"/>
                <w:sz w:val="20"/>
              </w:rPr>
              <w:t xml:space="preserve">0.020 mm</w:t>
            </w:r>
          </w:p>
        </w:tc>
      </w:tr>
      <w:tr>
        <w:trPr>
          <w:cantSplit/>
        </w:trPr>
        <w:tc>
          <w:tcPr/>
          <w:p>
            <w:pPr>
              <w:pStyle w:val="Compact"/>
            </w:pPr>
            <w:r>
              <w:rPr>
                <w:szCs w:val="20"/>
                <w:sz w:val="20"/>
              </w:rPr>
              <w:t xml:space="preserve">Bottom layer count</w:t>
            </w:r>
          </w:p>
        </w:tc>
        <w:tc>
          <w:tcPr/>
          <w:p>
            <w:pPr>
              <w:pStyle w:val="Compact"/>
              <w:jc w:val="right"/>
            </w:pPr>
            <w:r>
              <w:rPr>
                <w:szCs w:val="20"/>
                <w:sz w:val="20"/>
              </w:rPr>
              <w:t xml:space="preserve">7</w:t>
            </w:r>
          </w:p>
        </w:tc>
      </w:tr>
      <w:tr>
        <w:trPr>
          <w:cantSplit/>
        </w:trPr>
        <w:tc>
          <w:tcPr/>
          <w:p>
            <w:pPr>
              <w:pStyle w:val="Compact"/>
            </w:pPr>
            <w:r>
              <w:rPr>
                <w:szCs w:val="20"/>
                <w:sz w:val="20"/>
              </w:rPr>
              <w:t xml:space="preserve">Exposure time</w:t>
            </w:r>
          </w:p>
        </w:tc>
        <w:tc>
          <w:tcPr/>
          <w:p>
            <w:pPr>
              <w:pStyle w:val="Compact"/>
              <w:jc w:val="right"/>
            </w:pPr>
            <w:r>
              <w:rPr>
                <w:szCs w:val="20"/>
                <w:sz w:val="20"/>
              </w:rPr>
              <w:t xml:space="preserve">5.500 s</w:t>
            </w:r>
          </w:p>
        </w:tc>
      </w:tr>
      <w:tr>
        <w:trPr>
          <w:cantSplit/>
        </w:trPr>
        <w:tc>
          <w:tcPr/>
          <w:p>
            <w:pPr>
              <w:pStyle w:val="Compact"/>
            </w:pPr>
            <w:r>
              <w:rPr>
                <w:szCs w:val="20"/>
                <w:sz w:val="20"/>
              </w:rPr>
              <w:t xml:space="preserve">Bottom exposure time</w:t>
            </w:r>
          </w:p>
        </w:tc>
        <w:tc>
          <w:tcPr/>
          <w:p>
            <w:pPr>
              <w:pStyle w:val="Compact"/>
              <w:jc w:val="right"/>
            </w:pPr>
            <w:r>
              <w:rPr>
                <w:szCs w:val="20"/>
                <w:sz w:val="20"/>
              </w:rPr>
              <w:t xml:space="preserve">50.000 s</w:t>
            </w:r>
          </w:p>
        </w:tc>
      </w:tr>
      <w:tr>
        <w:trPr>
          <w:cantSplit/>
        </w:trPr>
        <w:tc>
          <w:tcPr/>
          <w:p>
            <w:pPr>
              <w:pStyle w:val="Compact"/>
            </w:pPr>
            <w:r>
              <w:rPr>
                <w:szCs w:val="20"/>
                <w:sz w:val="20"/>
              </w:rPr>
              <w:t xml:space="preserve">Transition layer count</w:t>
            </w:r>
          </w:p>
        </w:tc>
        <w:tc>
          <w:tcPr/>
          <w:p>
            <w:pPr>
              <w:pStyle w:val="Compact"/>
              <w:jc w:val="right"/>
            </w:pPr>
            <w:r>
              <w:rPr>
                <w:szCs w:val="20"/>
                <w:sz w:val="20"/>
              </w:rPr>
              <w:t xml:space="preserve">0</w:t>
            </w:r>
          </w:p>
        </w:tc>
      </w:tr>
      <w:tr>
        <w:trPr>
          <w:cantSplit/>
        </w:trPr>
        <w:tc>
          <w:tcPr/>
          <w:p>
            <w:pPr>
              <w:pStyle w:val="Compact"/>
            </w:pPr>
            <w:r>
              <w:rPr>
                <w:szCs w:val="20"/>
                <w:sz w:val="20"/>
              </w:rPr>
              <w:t xml:space="preserve">Transition type</w:t>
            </w:r>
          </w:p>
        </w:tc>
        <w:tc>
          <w:tcPr/>
          <w:p>
            <w:pPr>
              <w:pStyle w:val="Compact"/>
              <w:jc w:val="right"/>
            </w:pPr>
            <w:r>
              <w:rPr>
                <w:szCs w:val="20"/>
                <w:sz w:val="20"/>
              </w:rPr>
              <w:t xml:space="preserve">Linear</w:t>
            </w:r>
          </w:p>
        </w:tc>
      </w:tr>
      <w:tr>
        <w:trPr>
          <w:cantSplit/>
        </w:trPr>
        <w:tc>
          <w:tcPr/>
          <w:p>
            <w:pPr>
              <w:pStyle w:val="Compact"/>
            </w:pPr>
            <w:r>
              <w:rPr>
                <w:szCs w:val="20"/>
                <w:sz w:val="20"/>
              </w:rPr>
              <w:t xml:space="preserve">Waiting mode during printing</w:t>
            </w:r>
          </w:p>
        </w:tc>
        <w:tc>
          <w:tcPr/>
          <w:p>
            <w:pPr>
              <w:pStyle w:val="Compact"/>
              <w:jc w:val="right"/>
            </w:pPr>
            <w:r>
              <w:rPr>
                <w:szCs w:val="20"/>
                <w:sz w:val="20"/>
              </w:rPr>
              <w:t xml:space="preserve">Resting time</w:t>
            </w:r>
          </w:p>
        </w:tc>
      </w:tr>
      <w:tr>
        <w:trPr>
          <w:cantSplit/>
        </w:trPr>
        <w:tc>
          <w:tcPr/>
          <w:p>
            <w:pPr>
              <w:pStyle w:val="Compact"/>
            </w:pPr>
            <w:r>
              <w:rPr>
                <w:szCs w:val="20"/>
                <w:sz w:val="20"/>
              </w:rPr>
              <w:t xml:space="preserve">Rest time before lift</w:t>
            </w:r>
          </w:p>
        </w:tc>
        <w:tc>
          <w:tcPr/>
          <w:p>
            <w:pPr>
              <w:pStyle w:val="Compact"/>
              <w:jc w:val="right"/>
            </w:pPr>
            <w:r>
              <w:rPr>
                <w:szCs w:val="20"/>
                <w:sz w:val="20"/>
              </w:rPr>
              <w:t xml:space="preserve">0.300 s</w:t>
            </w:r>
          </w:p>
        </w:tc>
      </w:tr>
      <w:tr>
        <w:trPr>
          <w:cantSplit/>
        </w:trPr>
        <w:tc>
          <w:tcPr/>
          <w:p>
            <w:pPr>
              <w:pStyle w:val="Compact"/>
            </w:pPr>
            <w:r>
              <w:rPr>
                <w:szCs w:val="20"/>
                <w:sz w:val="20"/>
              </w:rPr>
              <w:t xml:space="preserve">Rest time after lift</w:t>
            </w:r>
          </w:p>
        </w:tc>
        <w:tc>
          <w:tcPr/>
          <w:p>
            <w:pPr>
              <w:pStyle w:val="Compact"/>
              <w:jc w:val="right"/>
            </w:pPr>
            <w:r>
              <w:rPr>
                <w:szCs w:val="20"/>
                <w:sz w:val="20"/>
              </w:rPr>
              <w:t xml:space="preserve">1.000 s</w:t>
            </w:r>
          </w:p>
        </w:tc>
      </w:tr>
      <w:tr>
        <w:trPr>
          <w:cantSplit/>
        </w:trPr>
        <w:tc>
          <w:tcPr/>
          <w:p>
            <w:pPr>
              <w:pStyle w:val="Compact"/>
            </w:pPr>
            <w:r>
              <w:rPr>
                <w:szCs w:val="20"/>
                <w:sz w:val="20"/>
              </w:rPr>
              <w:t xml:space="preserve">Rest time after retract</w:t>
            </w:r>
          </w:p>
        </w:tc>
        <w:tc>
          <w:tcPr/>
          <w:p>
            <w:pPr>
              <w:pStyle w:val="Compact"/>
              <w:jc w:val="right"/>
            </w:pPr>
            <w:r>
              <w:rPr>
                <w:szCs w:val="20"/>
                <w:sz w:val="20"/>
              </w:rPr>
              <w:t xml:space="preserve">3.000 s</w:t>
            </w:r>
          </w:p>
        </w:tc>
      </w:tr>
      <w:tr>
        <w:trPr>
          <w:cantSplit/>
        </w:trPr>
        <w:tc>
          <w:tcPr/>
          <w:p>
            <w:pPr>
              <w:pStyle w:val="Compact"/>
            </w:pPr>
            <w:r>
              <w:rPr>
                <w:szCs w:val="20"/>
                <w:sz w:val="20"/>
              </w:rPr>
              <w:t xml:space="preserve">Bottom lift distance</w:t>
            </w:r>
          </w:p>
        </w:tc>
        <w:tc>
          <w:tcPr/>
          <w:p>
            <w:pPr>
              <w:pStyle w:val="Compact"/>
              <w:jc w:val="right"/>
            </w:pPr>
            <w:r>
              <w:rPr>
                <w:szCs w:val="20"/>
                <w:sz w:val="20"/>
              </w:rPr>
              <w:t xml:space="preserve">3.000 + 0.000 mm</w:t>
            </w:r>
          </w:p>
        </w:tc>
      </w:tr>
      <w:tr>
        <w:trPr>
          <w:cantSplit/>
        </w:trPr>
        <w:tc>
          <w:tcPr/>
          <w:p>
            <w:pPr>
              <w:pStyle w:val="Compact"/>
            </w:pPr>
            <w:r>
              <w:rPr>
                <w:szCs w:val="20"/>
                <w:sz w:val="20"/>
              </w:rPr>
              <w:t xml:space="preserve">Lifting distance</w:t>
            </w:r>
          </w:p>
        </w:tc>
        <w:tc>
          <w:tcPr/>
          <w:p>
            <w:pPr>
              <w:pStyle w:val="Compact"/>
              <w:jc w:val="right"/>
            </w:pPr>
            <w:r>
              <w:rPr>
                <w:szCs w:val="20"/>
                <w:sz w:val="20"/>
              </w:rPr>
              <w:t xml:space="preserve">4.000 + 0.000 mm</w:t>
            </w:r>
          </w:p>
        </w:tc>
      </w:tr>
      <w:tr>
        <w:trPr>
          <w:cantSplit/>
        </w:trPr>
        <w:tc>
          <w:tcPr/>
          <w:p>
            <w:pPr>
              <w:pStyle w:val="Compact"/>
            </w:pPr>
            <w:r>
              <w:rPr>
                <w:szCs w:val="20"/>
                <w:sz w:val="20"/>
              </w:rPr>
              <w:t xml:space="preserve">Bottom retract distance</w:t>
            </w:r>
          </w:p>
        </w:tc>
        <w:tc>
          <w:tcPr/>
          <w:p>
            <w:pPr>
              <w:pStyle w:val="Compact"/>
              <w:jc w:val="right"/>
            </w:pPr>
            <w:r>
              <w:rPr>
                <w:szCs w:val="20"/>
                <w:sz w:val="20"/>
              </w:rPr>
              <w:t xml:space="preserve">3.000 + 0.000 mm</w:t>
            </w:r>
          </w:p>
        </w:tc>
      </w:tr>
      <w:tr>
        <w:trPr>
          <w:cantSplit/>
        </w:trPr>
        <w:tc>
          <w:tcPr/>
          <w:p>
            <w:pPr>
              <w:pStyle w:val="Compact"/>
            </w:pPr>
            <w:r>
              <w:rPr>
                <w:szCs w:val="20"/>
                <w:sz w:val="20"/>
              </w:rPr>
              <w:t xml:space="preserve">Retract distance</w:t>
            </w:r>
          </w:p>
        </w:tc>
        <w:tc>
          <w:tcPr/>
          <w:p>
            <w:pPr>
              <w:pStyle w:val="Compact"/>
              <w:jc w:val="right"/>
            </w:pPr>
            <w:r>
              <w:rPr>
                <w:szCs w:val="20"/>
                <w:sz w:val="20"/>
              </w:rPr>
              <w:t xml:space="preserve">4.000 + 0.000 mm</w:t>
            </w:r>
          </w:p>
        </w:tc>
      </w:tr>
      <w:tr>
        <w:trPr>
          <w:cantSplit/>
        </w:trPr>
        <w:tc>
          <w:tcPr/>
          <w:p>
            <w:pPr>
              <w:pStyle w:val="Compact"/>
            </w:pPr>
            <w:r>
              <w:rPr>
                <w:szCs w:val="20"/>
                <w:sz w:val="20"/>
              </w:rPr>
              <w:t xml:space="preserve">Bottom lift speed</w:t>
            </w:r>
          </w:p>
        </w:tc>
        <w:tc>
          <w:tcPr/>
          <w:p>
            <w:pPr>
              <w:pStyle w:val="Compact"/>
              <w:jc w:val="right"/>
            </w:pPr>
            <w:r>
              <w:rPr>
                <w:szCs w:val="20"/>
                <w:sz w:val="20"/>
              </w:rPr>
              <w:t xml:space="preserve">5.000 + 0.000 mm/min</w:t>
            </w:r>
          </w:p>
        </w:tc>
      </w:tr>
      <w:tr>
        <w:trPr>
          <w:cantSplit/>
        </w:trPr>
        <w:tc>
          <w:tcPr/>
          <w:p>
            <w:pPr>
              <w:pStyle w:val="Compact"/>
            </w:pPr>
            <w:r>
              <w:rPr>
                <w:szCs w:val="20"/>
                <w:sz w:val="20"/>
              </w:rPr>
              <w:t xml:space="preserve">Lifting speed</w:t>
            </w:r>
          </w:p>
        </w:tc>
        <w:tc>
          <w:tcPr/>
          <w:p>
            <w:pPr>
              <w:pStyle w:val="Compact"/>
              <w:jc w:val="right"/>
            </w:pPr>
            <w:r>
              <w:rPr>
                <w:szCs w:val="20"/>
                <w:sz w:val="20"/>
              </w:rPr>
              <w:t xml:space="preserve">30.000 + 0.000 mm/min</w:t>
            </w:r>
          </w:p>
        </w:tc>
      </w:tr>
      <w:tr>
        <w:trPr>
          <w:cantSplit/>
        </w:trPr>
        <w:tc>
          <w:tcPr/>
          <w:p>
            <w:pPr>
              <w:pStyle w:val="Compact"/>
            </w:pPr>
            <w:r>
              <w:rPr>
                <w:szCs w:val="20"/>
                <w:sz w:val="20"/>
              </w:rPr>
              <w:t xml:space="preserve">Bottom retract speed</w:t>
            </w:r>
          </w:p>
        </w:tc>
        <w:tc>
          <w:tcPr/>
          <w:p>
            <w:pPr>
              <w:pStyle w:val="Compact"/>
              <w:jc w:val="right"/>
            </w:pPr>
            <w:r>
              <w:rPr>
                <w:szCs w:val="20"/>
                <w:sz w:val="20"/>
              </w:rPr>
              <w:t xml:space="preserve">5.000 + 0.000 mm/min</w:t>
            </w:r>
          </w:p>
        </w:tc>
      </w:tr>
      <w:tr>
        <w:trPr>
          <w:cantSplit/>
        </w:trPr>
        <w:tc>
          <w:tcPr/>
          <w:p>
            <w:pPr>
              <w:pStyle w:val="Compact"/>
            </w:pPr>
            <w:r>
              <w:rPr>
                <w:szCs w:val="20"/>
                <w:sz w:val="20"/>
              </w:rPr>
              <w:t xml:space="preserve">Retract speed</w:t>
            </w:r>
          </w:p>
        </w:tc>
        <w:tc>
          <w:tcPr/>
          <w:p>
            <w:pPr>
              <w:pStyle w:val="Compact"/>
              <w:jc w:val="right"/>
            </w:pPr>
            <w:r>
              <w:rPr>
                <w:szCs w:val="20"/>
                <w:sz w:val="20"/>
              </w:rPr>
              <w:t xml:space="preserve">30.000 + 0.000 mm/min</w:t>
            </w:r>
          </w:p>
        </w:tc>
      </w:tr>
    </w:tbl>
    <w:bookmarkEnd w:id="53"/>
    <w:bookmarkStart w:id="54" w:name="advanced-slicer-settings"/>
    <w:p>
      <w:pPr>
        <w:pStyle w:val="Heading2"/>
      </w:pPr>
      <w:r>
        <w:t xml:space="preserve">Advanced slicer settings</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Cs w:val="20"/>
                <w:sz w:val="20"/>
              </w:rPr>
              <w:t xml:space="preserve">Parameter</w:t>
            </w:r>
          </w:p>
        </w:tc>
        <w:tc>
          <w:tcPr/>
          <w:p>
            <w:pPr>
              <w:pStyle w:val="Compact"/>
            </w:pPr>
            <w:r>
              <w:rPr>
                <w:szCs w:val="20"/>
                <w:sz w:val="20"/>
              </w:rPr>
              <w:t xml:space="preserve">Setting</w:t>
            </w:r>
          </w:p>
        </w:tc>
      </w:tr>
      <w:tr>
        <w:trPr>
          <w:cantSplit/>
        </w:trPr>
        <w:tc>
          <w:tcPr/>
          <w:p>
            <w:pPr>
              <w:pStyle w:val="Compact"/>
            </w:pPr>
            <w:r>
              <w:rPr>
                <w:szCs w:val="20"/>
                <w:sz w:val="20"/>
              </w:rPr>
              <w:t xml:space="preserve">Bottom light PWM</w:t>
            </w:r>
          </w:p>
        </w:tc>
        <w:tc>
          <w:tcPr/>
          <w:p>
            <w:pPr>
              <w:pStyle w:val="Compact"/>
            </w:pPr>
            <w:r>
              <w:rPr>
                <w:szCs w:val="20"/>
                <w:sz w:val="20"/>
              </w:rPr>
              <w:t xml:space="preserve">255</w:t>
            </w:r>
          </w:p>
        </w:tc>
      </w:tr>
      <w:tr>
        <w:trPr>
          <w:cantSplit/>
        </w:trPr>
        <w:tc>
          <w:tcPr/>
          <w:p>
            <w:pPr>
              <w:pStyle w:val="Compact"/>
            </w:pPr>
            <w:r>
              <w:rPr>
                <w:szCs w:val="20"/>
                <w:sz w:val="20"/>
              </w:rPr>
              <w:t xml:space="preserve">Light PWM</w:t>
            </w:r>
          </w:p>
        </w:tc>
        <w:tc>
          <w:tcPr/>
          <w:p>
            <w:pPr>
              <w:pStyle w:val="Compact"/>
            </w:pPr>
            <w:r>
              <w:rPr>
                <w:szCs w:val="20"/>
                <w:sz w:val="20"/>
              </w:rPr>
              <w:t xml:space="preserve">255</w:t>
            </w:r>
          </w:p>
        </w:tc>
      </w:tr>
      <w:tr>
        <w:trPr>
          <w:cantSplit/>
        </w:trPr>
        <w:tc>
          <w:tcPr/>
          <w:p>
            <w:pPr>
              <w:pStyle w:val="Compact"/>
            </w:pPr>
            <w:r>
              <w:rPr>
                <w:szCs w:val="20"/>
                <w:sz w:val="20"/>
              </w:rPr>
              <w:t xml:space="preserve">Anti-aliasing</w:t>
            </w:r>
          </w:p>
        </w:tc>
        <w:tc>
          <w:tcPr/>
          <w:p>
            <w:pPr>
              <w:pStyle w:val="Compact"/>
            </w:pPr>
            <w:r>
              <w:rPr>
                <w:szCs w:val="20"/>
                <w:sz w:val="20"/>
              </w:rPr>
              <w:t xml:space="preserve">Enabled</w:t>
            </w:r>
          </w:p>
        </w:tc>
      </w:tr>
      <w:tr>
        <w:trPr>
          <w:cantSplit/>
        </w:trPr>
        <w:tc>
          <w:tcPr/>
          <w:p>
            <w:pPr>
              <w:pStyle w:val="Compact"/>
            </w:pPr>
            <w:r>
              <w:rPr>
                <w:szCs w:val="20"/>
                <w:sz w:val="20"/>
              </w:rPr>
              <w:t xml:space="preserve">Grey level</w:t>
            </w:r>
          </w:p>
        </w:tc>
        <w:tc>
          <w:tcPr/>
          <w:p>
            <w:pPr>
              <w:pStyle w:val="Compact"/>
            </w:pPr>
            <w:r>
              <w:rPr>
                <w:szCs w:val="20"/>
                <w:sz w:val="20"/>
              </w:rPr>
              <w:t xml:space="preserve">2</w:t>
            </w:r>
          </w:p>
        </w:tc>
      </w:tr>
      <w:tr>
        <w:trPr>
          <w:cantSplit/>
        </w:trPr>
        <w:tc>
          <w:tcPr/>
          <w:p>
            <w:pPr>
              <w:pStyle w:val="Compact"/>
            </w:pPr>
            <w:r>
              <w:rPr>
                <w:szCs w:val="20"/>
                <w:sz w:val="20"/>
              </w:rPr>
              <w:t xml:space="preserve">Image blur</w:t>
            </w:r>
          </w:p>
        </w:tc>
        <w:tc>
          <w:tcPr/>
          <w:p>
            <w:pPr>
              <w:pStyle w:val="Compact"/>
            </w:pPr>
            <w:r>
              <w:rPr>
                <w:szCs w:val="20"/>
                <w:sz w:val="20"/>
              </w:rPr>
              <w:t xml:space="preserve">Disabled</w:t>
            </w:r>
          </w:p>
        </w:tc>
      </w:tr>
      <w:tr>
        <w:trPr>
          <w:cantSplit/>
        </w:trPr>
        <w:tc>
          <w:tcPr/>
          <w:p>
            <w:pPr>
              <w:pStyle w:val="Compact"/>
            </w:pPr>
            <w:r>
              <w:rPr>
                <w:szCs w:val="20"/>
                <w:sz w:val="20"/>
              </w:rPr>
              <w:t xml:space="preserve">Shrinkage compensation</w:t>
            </w:r>
          </w:p>
        </w:tc>
        <w:tc>
          <w:tcPr/>
          <w:p>
            <w:pPr>
              <w:pStyle w:val="Compact"/>
            </w:pPr>
            <w:r>
              <w:rPr>
                <w:szCs w:val="20"/>
                <w:sz w:val="20"/>
              </w:rPr>
              <w:t xml:space="preserve">Disabled</w:t>
            </w:r>
          </w:p>
        </w:tc>
      </w:tr>
      <w:tr>
        <w:trPr>
          <w:cantSplit/>
        </w:trPr>
        <w:tc>
          <w:tcPr/>
          <w:p>
            <w:pPr>
              <w:pStyle w:val="Compact"/>
            </w:pPr>
            <w:r>
              <w:rPr>
                <w:szCs w:val="20"/>
                <w:sz w:val="20"/>
              </w:rPr>
              <w:t xml:space="preserve">Tolerance compensation (beta)</w:t>
            </w:r>
          </w:p>
        </w:tc>
        <w:tc>
          <w:tcPr/>
          <w:p>
            <w:pPr>
              <w:pStyle w:val="Compact"/>
            </w:pPr>
            <w:r>
              <w:rPr>
                <w:szCs w:val="20"/>
                <w:sz w:val="20"/>
              </w:rPr>
              <w:t xml:space="preserve">Disabled</w:t>
            </w:r>
          </w:p>
        </w:tc>
      </w:tr>
      <w:tr>
        <w:trPr>
          <w:cantSplit/>
        </w:trPr>
        <w:tc>
          <w:tcPr/>
          <w:p>
            <w:pPr>
              <w:pStyle w:val="Compact"/>
            </w:pPr>
            <w:r>
              <w:rPr>
                <w:szCs w:val="20"/>
                <w:sz w:val="20"/>
              </w:rPr>
              <w:t xml:space="preserve">Bottom tolerance compensation</w:t>
            </w:r>
          </w:p>
        </w:tc>
        <w:tc>
          <w:tcPr/>
          <w:p>
            <w:pPr>
              <w:pStyle w:val="Compact"/>
            </w:pPr>
            <w:r>
              <w:rPr>
                <w:szCs w:val="20"/>
                <w:sz w:val="20"/>
              </w:rPr>
              <w:t xml:space="preserve">Disabled</w:t>
            </w:r>
          </w:p>
        </w:tc>
      </w:tr>
      <w:tr>
        <w:trPr>
          <w:cantSplit/>
        </w:trPr>
        <w:tc>
          <w:tcPr/>
          <w:p>
            <w:pPr>
              <w:pStyle w:val="Compact"/>
            </w:pPr>
            <w:r>
              <w:rPr>
                <w:szCs w:val="20"/>
                <w:sz w:val="20"/>
              </w:rPr>
              <w:t xml:space="preserve">Print time compensation</w:t>
            </w:r>
          </w:p>
        </w:tc>
        <w:tc>
          <w:tcPr/>
          <w:p>
            <w:pPr>
              <w:pStyle w:val="Compact"/>
            </w:pPr>
            <w:r>
              <w:rPr>
                <w:szCs w:val="20"/>
                <w:sz w:val="20"/>
              </w:rPr>
              <w:t xml:space="preserve">Disabled</w:t>
            </w:r>
          </w:p>
        </w:tc>
      </w:tr>
    </w:tbl>
    <w:bookmarkEnd w:id="54"/>
    <w:bookmarkStart w:id="55" w:name="post-processing"/>
    <w:p>
      <w:pPr>
        <w:pStyle w:val="Heading2"/>
      </w:pPr>
      <w:r>
        <w:t xml:space="preserve">Post-processing</w:t>
      </w:r>
    </w:p>
    <w:p>
      <w:pPr>
        <w:pStyle w:val="Compact"/>
        <w:numPr>
          <w:ilvl w:val="0"/>
          <w:numId w:val="1003"/>
        </w:numPr>
      </w:pPr>
      <w:r>
        <w:t xml:space="preserve">Spray the printed inserts with acetone.</w:t>
      </w:r>
    </w:p>
    <w:p>
      <w:pPr>
        <w:pStyle w:val="Compact"/>
        <w:numPr>
          <w:ilvl w:val="0"/>
          <w:numId w:val="1003"/>
        </w:numPr>
      </w:pPr>
      <w:r>
        <w:t xml:space="preserve">Blow dry with compressed high-pressure nitrogen.</w:t>
      </w:r>
    </w:p>
    <w:p>
      <w:pPr>
        <w:pStyle w:val="Compact"/>
        <w:numPr>
          <w:ilvl w:val="0"/>
          <w:numId w:val="1003"/>
        </w:numPr>
      </w:pPr>
      <w:r>
        <w:t xml:space="preserve">Repeat the acetone spray and nitrogen drying cycle until the pin features are</w:t>
      </w:r>
      <w:r>
        <w:t xml:space="preserve"> </w:t>
      </w:r>
      <w:r>
        <w:t xml:space="preserve">completely clean of residual resin. In this work, cleaning</w:t>
      </w:r>
      <w:r>
        <w:t xml:space="preserve"> </w:t>
      </w:r>
      <w:r>
        <w:t xml:space="preserve">required 6–8 cycles.</w:t>
      </w:r>
    </w:p>
    <w:p>
      <w:pPr>
        <w:pStyle w:val="Compact"/>
        <w:numPr>
          <w:ilvl w:val="0"/>
          <w:numId w:val="1003"/>
        </w:numPr>
      </w:pPr>
      <w:r>
        <w:t xml:space="preserve">Remove the flexible metal plate from the printer build plate.</w:t>
      </w:r>
    </w:p>
    <w:p>
      <w:pPr>
        <w:pStyle w:val="Compact"/>
        <w:numPr>
          <w:ilvl w:val="0"/>
          <w:numId w:val="1003"/>
        </w:numPr>
      </w:pPr>
      <w:r>
        <w:t xml:space="preserve">Place the print inside an Elegoo Mercury X rotating UV cure station.</w:t>
      </w:r>
    </w:p>
    <w:p>
      <w:pPr>
        <w:pStyle w:val="Compact"/>
        <w:numPr>
          <w:ilvl w:val="0"/>
          <w:numId w:val="1003"/>
        </w:numPr>
      </w:pPr>
      <w:r>
        <w:t xml:space="preserve">UV cure for 15 min.</w:t>
      </w:r>
    </w:p>
    <w:bookmarkEnd w:id="55"/>
    <w:bookmarkEnd w:id="56"/>
    <w:bookmarkStart w:id="57" w:name="X9d97e5ec237bf74aa134405e37d8b066ad70d23"/>
    <w:p>
      <w:pPr>
        <w:pStyle w:val="Heading1"/>
      </w:pPr>
      <w:r>
        <w:t xml:space="preserve">Supplementary Table S5. Hybrid-mold use and PDMS-cast outcomes</w:t>
      </w:r>
    </w:p>
    <w:p>
      <w:pPr>
        <w:pStyle w:val="FirstParagraph"/>
      </w:pPr>
      <w:r>
        <w:t xml:space="preserve">This table summarizes mold use with the finalized protocol. Process-development</w:t>
      </w:r>
      <w:r>
        <w:t xml:space="preserve"> </w:t>
      </w:r>
      <w:r>
        <w:t xml:space="preserve">observations are reported in the Results and Supplementary Notes S1-S2.</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pct" w:w="5000"/>
        <w:tblLayout w:type="fixed"/>
        <w:tblLook w:firstRow="1" w:lastRow="0" w:firstColumn="0" w:lastColumn="0" w:noHBand="0" w:noVBand="0" w:val="0020"/>
      </w:tblPr>
      <w:tblGrid>
        <w:gridCol w:w="2376"/>
        <w:gridCol w:w="3168"/>
        <w:gridCol w:w="2376"/>
      </w:tblGrid>
      <w:tr>
        <w:trPr>
          <w:tblHeader w:val="on"/>
          <w:cantSplit/>
        </w:trPr>
        <w:tc>
          <w:tcPr/>
          <w:p>
            <w:pPr>
              <w:pStyle w:val="Compact"/>
            </w:pPr>
            <w:r>
              <w:rPr>
                <w:szCs w:val="20"/>
                <w:sz w:val="20"/>
              </w:rPr>
              <w:t xml:space="preserve">Stage or outcome</w:t>
            </w:r>
          </w:p>
        </w:tc>
        <w:tc>
          <w:tcPr/>
          <w:p>
            <w:pPr>
              <w:pStyle w:val="Compact"/>
              <w:jc w:val="right"/>
            </w:pPr>
            <w:r>
              <w:rPr>
                <w:szCs w:val="20"/>
                <w:sz w:val="20"/>
              </w:rPr>
              <w:t xml:space="preserve">Observed count</w:t>
            </w:r>
          </w:p>
        </w:tc>
        <w:tc>
          <w:tcPr/>
          <w:p>
            <w:pPr>
              <w:pStyle w:val="Compact"/>
            </w:pPr>
            <w:r>
              <w:rPr>
                <w:szCs w:val="20"/>
                <w:sz w:val="20"/>
              </w:rPr>
              <w:t xml:space="preserve">Interpretation</w:t>
            </w:r>
          </w:p>
        </w:tc>
      </w:tr>
      <w:tr>
        <w:trPr>
          <w:cantSplit/>
        </w:trPr>
        <w:tc>
          <w:tcPr/>
          <w:p>
            <w:pPr>
              <w:pStyle w:val="Compact"/>
            </w:pPr>
            <w:r>
              <w:rPr>
                <w:szCs w:val="20"/>
                <w:sz w:val="20"/>
              </w:rPr>
              <w:t xml:space="preserve">Molds assembled using the final protocol</w:t>
            </w:r>
          </w:p>
        </w:tc>
        <w:tc>
          <w:tcPr/>
          <w:p>
            <w:pPr>
              <w:pStyle w:val="Compact"/>
              <w:jc w:val="right"/>
            </w:pPr>
            <w:r>
              <w:rPr>
                <w:szCs w:val="20"/>
                <w:sz w:val="20"/>
              </w:rPr>
              <w:t xml:space="preserve">5</w:t>
            </w:r>
          </w:p>
        </w:tc>
        <w:tc>
          <w:tcPr/>
          <w:p>
            <w:pPr>
              <w:pStyle w:val="Compact"/>
            </w:pPr>
            <w:r>
              <w:rPr>
                <w:szCs w:val="20"/>
                <w:sz w:val="20"/>
              </w:rPr>
              <w:t xml:space="preserve">Five wafer-scale molds completed insert bonding and final assembly.</w:t>
            </w:r>
          </w:p>
        </w:tc>
      </w:tr>
      <w:tr>
        <w:trPr>
          <w:cantSplit/>
        </w:trPr>
        <w:tc>
          <w:tcPr/>
          <w:p>
            <w:pPr>
              <w:pStyle w:val="Compact"/>
            </w:pPr>
            <w:r>
              <w:rPr>
                <w:szCs w:val="20"/>
                <w:sz w:val="20"/>
              </w:rPr>
              <w:t xml:space="preserve">Molds entering routine use</w:t>
            </w:r>
          </w:p>
        </w:tc>
        <w:tc>
          <w:tcPr/>
          <w:p>
            <w:pPr>
              <w:pStyle w:val="Compact"/>
              <w:jc w:val="right"/>
            </w:pPr>
            <w:r>
              <w:rPr>
                <w:szCs w:val="20"/>
                <w:sz w:val="20"/>
              </w:rPr>
              <w:t xml:space="preserve">3</w:t>
            </w:r>
          </w:p>
        </w:tc>
        <w:tc>
          <w:tcPr/>
          <w:p>
            <w:pPr>
              <w:pStyle w:val="Compact"/>
            </w:pPr>
            <w:r>
              <w:rPr>
                <w:szCs w:val="20"/>
                <w:sz w:val="20"/>
              </w:rPr>
              <w:t xml:space="preserve">These molds produced usable PDMS casts with open microchannels and retained well features.</w:t>
            </w:r>
          </w:p>
        </w:tc>
      </w:tr>
      <w:tr>
        <w:trPr>
          <w:cantSplit/>
        </w:trPr>
        <w:tc>
          <w:tcPr/>
          <w:p>
            <w:pPr>
              <w:pStyle w:val="Compact"/>
            </w:pPr>
            <w:r>
              <w:rPr>
                <w:szCs w:val="20"/>
                <w:sz w:val="20"/>
              </w:rPr>
              <w:t xml:space="preserve">Wafer assemblies lost during casting or handling</w:t>
            </w:r>
          </w:p>
        </w:tc>
        <w:tc>
          <w:tcPr/>
          <w:p>
            <w:pPr>
              <w:pStyle w:val="Compact"/>
              <w:jc w:val="right"/>
            </w:pPr>
            <w:r>
              <w:rPr>
                <w:szCs w:val="20"/>
                <w:sz w:val="20"/>
              </w:rPr>
              <w:t xml:space="preserve">2</w:t>
            </w:r>
          </w:p>
        </w:tc>
        <w:tc>
          <w:tcPr/>
          <w:p>
            <w:pPr>
              <w:pStyle w:val="Compact"/>
            </w:pPr>
            <w:r>
              <w:rPr>
                <w:szCs w:val="20"/>
                <w:sz w:val="20"/>
              </w:rPr>
              <w:t xml:space="preserve">One wafer broke during demolding. Leaked PDMS cured beneath a second wafer in the casting rack.</w:t>
            </w:r>
          </w:p>
        </w:tc>
      </w:tr>
      <w:tr>
        <w:trPr>
          <w:cantSplit/>
        </w:trPr>
        <w:tc>
          <w:tcPr/>
          <w:p>
            <w:pPr>
              <w:pStyle w:val="Compact"/>
            </w:pPr>
            <w:r>
              <w:rPr>
                <w:szCs w:val="20"/>
                <w:sz w:val="20"/>
              </w:rPr>
              <w:t xml:space="preserve">Usable PDMS casts from the three routinely used molds</w:t>
            </w:r>
          </w:p>
        </w:tc>
        <w:tc>
          <w:tcPr/>
          <w:p>
            <w:pPr>
              <w:pStyle w:val="Compact"/>
              <w:jc w:val="right"/>
            </w:pPr>
            <w:r>
              <w:rPr>
                <w:szCs w:val="20"/>
                <w:sz w:val="20"/>
              </w:rPr>
              <w:t xml:space="preserve">More than 50</w:t>
            </w:r>
          </w:p>
        </w:tc>
        <w:tc>
          <w:tcPr/>
          <w:p>
            <w:pPr>
              <w:pStyle w:val="Compact"/>
            </w:pPr>
            <w:r>
              <w:rPr>
                <w:szCs w:val="20"/>
                <w:sz w:val="20"/>
              </w:rPr>
              <w:t xml:space="preserve">PDMS casts demolded intact with open wells and preserved microchannel regions; inserts remained bonded and SU-8/SUEX features remained attached to the reusable mold. Casts were classified by inspection, not by measuring their dimensions.</w:t>
            </w:r>
          </w:p>
        </w:tc>
      </w:tr>
      <w:tr>
        <w:trPr>
          <w:cantSplit/>
        </w:trPr>
        <w:tc>
          <w:tcPr/>
          <w:p>
            <w:pPr>
              <w:pStyle w:val="Compact"/>
            </w:pPr>
            <w:r>
              <w:rPr>
                <w:szCs w:val="20"/>
                <w:sz w:val="20"/>
              </w:rPr>
              <w:t xml:space="preserve">Mold use duration</w:t>
            </w:r>
          </w:p>
        </w:tc>
        <w:tc>
          <w:tcPr/>
          <w:p>
            <w:pPr>
              <w:pStyle w:val="Compact"/>
              <w:jc w:val="right"/>
            </w:pPr>
            <w:r>
              <w:rPr>
                <w:szCs w:val="20"/>
                <w:sz w:val="20"/>
              </w:rPr>
              <w:t xml:space="preserve">More than 8 months</w:t>
            </w:r>
          </w:p>
        </w:tc>
        <w:tc>
          <w:tcPr/>
          <w:p>
            <w:pPr>
              <w:pStyle w:val="Compact"/>
            </w:pPr>
            <w:r>
              <w:rPr>
                <w:szCs w:val="20"/>
                <w:sz w:val="20"/>
              </w:rPr>
              <w:t xml:space="preserve">The most recent molds remained active for more than 8 months and retained their visible condition at the time of manuscript preparation.</w:t>
            </w:r>
          </w:p>
        </w:tc>
      </w:tr>
    </w:tbl>
    <w:bookmarkEnd w:id="57"/>
    <w:bookmarkStart w:id="58" w:name="Xd7cf6f9c4d2df68b8de03bd5530e15f77ea3623"/>
    <w:p>
      <w:pPr>
        <w:pStyle w:val="Heading1"/>
      </w:pPr>
      <w:r>
        <w:t xml:space="preserve">Supplementary Table S6. HIPS frame-printing settings</w:t>
      </w:r>
    </w:p>
    <w:p>
      <w:pPr>
        <w:pStyle w:val="FirstParagraph"/>
      </w:pPr>
      <w:r>
        <w:t xml:space="preserve">These settings were used to print the frame generated by OpenMFD. The complete</w:t>
      </w:r>
      <w:r>
        <w:t xml:space="preserve"> </w:t>
      </w:r>
      <w:r>
        <w:t xml:space="preserve">Creality Print 6.0.4 configuration is</w:t>
      </w:r>
      <w:r>
        <w:t xml:space="preserve"> </w:t>
      </w:r>
      <w:r>
        <w:t xml:space="preserve">embedded in the distributed G-code file</w:t>
      </w:r>
      <w:r>
        <w:t xml:space="preserve"> </w:t>
      </w:r>
      <w:r>
        <w:rPr>
          <w:rStyle w:val="VerbatimChar"/>
        </w:rPr>
        <w:t xml:space="preserve">UPGRADE_96_well_plate_reservoirs_print_hips_2_chamfered_v2_HIPS_3h36m.gcode</w:t>
      </w:r>
      <w:r>
        <w:t xml:space="preserve">.</w:t>
      </w:r>
      <w:r>
        <w:t xml:space="preserve"> </w:t>
      </w:r>
      <w:r>
        <w:t xml:space="preserve">When using other printers, slicers, or materials, check for warping, correct fit,</w:t>
      </w:r>
      <w:r>
        <w:t xml:space="preserve"> </w:t>
      </w:r>
      <w:r>
        <w:t xml:space="preserve">an unbroken adhesive groove, and a leak-tight seal around the device.</w:t>
      </w:r>
    </w:p>
    <w:tbl>
      <w:tblPr>
        <w:tblBorders>
          <w:insideV w:val="single" w:sz="4" w:space="0" w:color="808080"/>
          <w:insideH w:val="single" w:sz="4" w:space="0" w:color="808080"/>
          <w:right w:val="single" w:sz="4" w:space="0" w:color="808080"/>
          <w:bottom w:val="single" w:sz="4" w:space="0" w:color="808080"/>
          <w:left w:val="single" w:sz="4" w:space="0" w:color="808080"/>
          <w:top w:val="single" w:sz="4" w:space="0" w:color="808080"/>
        </w:tblBorders>
        <w:tblStyle w:val="Table"/>
        <w:tblW w:type="auto" w:w="0"/>
        <w:tblLook w:firstRow="1" w:lastRow="0" w:firstColumn="0" w:lastColumn="0" w:noHBand="0" w:noVBand="0" w:val="0020"/>
      </w:tblPr>
      <w:tblGrid>
        <w:gridCol w:w="3960"/>
        <w:gridCol w:w="3960"/>
      </w:tblGrid>
      <w:tr>
        <w:trPr>
          <w:tblHeader w:val="on"/>
          <w:cantSplit/>
        </w:trPr>
        <w:tc>
          <w:tcPr/>
          <w:p>
            <w:pPr>
              <w:pStyle w:val="Compact"/>
            </w:pPr>
            <w:r>
              <w:rPr>
                <w:szCs w:val="20"/>
                <w:sz w:val="20"/>
              </w:rPr>
              <w:t xml:space="preserve">Parameter</w:t>
            </w:r>
          </w:p>
        </w:tc>
        <w:tc>
          <w:tcPr/>
          <w:p>
            <w:pPr>
              <w:pStyle w:val="Compact"/>
            </w:pPr>
            <w:r>
              <w:rPr>
                <w:szCs w:val="20"/>
                <w:sz w:val="20"/>
              </w:rPr>
              <w:t xml:space="preserve">Setting</w:t>
            </w:r>
          </w:p>
        </w:tc>
      </w:tr>
      <w:tr>
        <w:trPr>
          <w:cantSplit/>
        </w:trPr>
        <w:tc>
          <w:tcPr/>
          <w:p>
            <w:pPr>
              <w:pStyle w:val="Compact"/>
            </w:pPr>
            <w:r>
              <w:rPr>
                <w:szCs w:val="20"/>
                <w:sz w:val="20"/>
              </w:rPr>
              <w:t xml:space="preserve">Printer</w:t>
            </w:r>
          </w:p>
        </w:tc>
        <w:tc>
          <w:tcPr/>
          <w:p>
            <w:pPr>
              <w:pStyle w:val="Compact"/>
            </w:pPr>
            <w:r>
              <w:rPr>
                <w:szCs w:val="20"/>
                <w:sz w:val="20"/>
              </w:rPr>
              <w:t xml:space="preserve">Creality K1C, enclosed</w:t>
            </w:r>
          </w:p>
        </w:tc>
      </w:tr>
      <w:tr>
        <w:trPr>
          <w:cantSplit/>
        </w:trPr>
        <w:tc>
          <w:tcPr/>
          <w:p>
            <w:pPr>
              <w:pStyle w:val="Compact"/>
            </w:pPr>
            <w:r>
              <w:rPr>
                <w:szCs w:val="20"/>
                <w:sz w:val="20"/>
              </w:rPr>
              <w:t xml:space="preserve">Slicer</w:t>
            </w:r>
          </w:p>
        </w:tc>
        <w:tc>
          <w:tcPr/>
          <w:p>
            <w:pPr>
              <w:pStyle w:val="Compact"/>
            </w:pPr>
            <w:r>
              <w:rPr>
                <w:szCs w:val="20"/>
                <w:sz w:val="20"/>
              </w:rPr>
              <w:t xml:space="preserve">Creality Print 6.0.4.1795</w:t>
            </w:r>
          </w:p>
        </w:tc>
      </w:tr>
      <w:tr>
        <w:trPr>
          <w:cantSplit/>
        </w:trPr>
        <w:tc>
          <w:tcPr/>
          <w:p>
            <w:pPr>
              <w:pStyle w:val="Compact"/>
            </w:pPr>
            <w:r>
              <w:rPr>
                <w:szCs w:val="20"/>
                <w:sz w:val="20"/>
              </w:rPr>
              <w:t xml:space="preserve">Filament</w:t>
            </w:r>
          </w:p>
        </w:tc>
        <w:tc>
          <w:tcPr/>
          <w:p>
            <w:pPr>
              <w:pStyle w:val="Compact"/>
            </w:pPr>
            <w:r>
              <w:rPr>
                <w:szCs w:val="20"/>
                <w:sz w:val="20"/>
              </w:rPr>
              <w:t xml:space="preserve">Generic HIPS, 1.75 mm diameter</w:t>
            </w:r>
          </w:p>
        </w:tc>
      </w:tr>
      <w:tr>
        <w:trPr>
          <w:cantSplit/>
        </w:trPr>
        <w:tc>
          <w:tcPr/>
          <w:p>
            <w:pPr>
              <w:pStyle w:val="Compact"/>
            </w:pPr>
            <w:r>
              <w:rPr>
                <w:szCs w:val="20"/>
                <w:sz w:val="20"/>
              </w:rPr>
              <w:t xml:space="preserve">Nozzle</w:t>
            </w:r>
          </w:p>
        </w:tc>
        <w:tc>
          <w:tcPr/>
          <w:p>
            <w:pPr>
              <w:pStyle w:val="Compact"/>
            </w:pPr>
            <w:r>
              <w:rPr>
                <w:szCs w:val="20"/>
                <w:sz w:val="20"/>
              </w:rPr>
              <w:t xml:space="preserve">0.4 mm brass</w:t>
            </w:r>
          </w:p>
        </w:tc>
      </w:tr>
      <w:tr>
        <w:trPr>
          <w:cantSplit/>
        </w:trPr>
        <w:tc>
          <w:tcPr/>
          <w:p>
            <w:pPr>
              <w:pStyle w:val="Compact"/>
            </w:pPr>
            <w:r>
              <w:rPr>
                <w:szCs w:val="20"/>
                <w:sz w:val="20"/>
              </w:rPr>
              <w:t xml:space="preserve">Layer height</w:t>
            </w:r>
          </w:p>
        </w:tc>
        <w:tc>
          <w:tcPr/>
          <w:p>
            <w:pPr>
              <w:pStyle w:val="Compact"/>
            </w:pPr>
            <w:r>
              <w:rPr>
                <w:szCs w:val="20"/>
                <w:sz w:val="20"/>
              </w:rPr>
              <w:t xml:space="preserve">0.20 mm</w:t>
            </w:r>
          </w:p>
        </w:tc>
      </w:tr>
      <w:tr>
        <w:trPr>
          <w:cantSplit/>
        </w:trPr>
        <w:tc>
          <w:tcPr/>
          <w:p>
            <w:pPr>
              <w:pStyle w:val="Compact"/>
            </w:pPr>
            <w:r>
              <w:rPr>
                <w:szCs w:val="20"/>
                <w:sz w:val="20"/>
              </w:rPr>
              <w:t xml:space="preserve">First-layer height</w:t>
            </w:r>
          </w:p>
        </w:tc>
        <w:tc>
          <w:tcPr/>
          <w:p>
            <w:pPr>
              <w:pStyle w:val="Compact"/>
            </w:pPr>
            <w:r>
              <w:rPr>
                <w:szCs w:val="20"/>
                <w:sz w:val="20"/>
              </w:rPr>
              <w:t xml:space="preserve">0.20 mm</w:t>
            </w:r>
          </w:p>
        </w:tc>
      </w:tr>
      <w:tr>
        <w:trPr>
          <w:cantSplit/>
        </w:trPr>
        <w:tc>
          <w:tcPr/>
          <w:p>
            <w:pPr>
              <w:pStyle w:val="Compact"/>
            </w:pPr>
            <w:r>
              <w:rPr>
                <w:szCs w:val="20"/>
                <w:sz w:val="20"/>
              </w:rPr>
              <w:t xml:space="preserve">Nozzle temperature</w:t>
            </w:r>
          </w:p>
        </w:tc>
        <w:tc>
          <w:tcPr/>
          <w:p>
            <w:pPr>
              <w:pStyle w:val="Compact"/>
            </w:pPr>
            <w:r>
              <w:rPr>
                <w:szCs w:val="20"/>
                <w:sz w:val="20"/>
              </w:rPr>
              <w:t xml:space="preserve">220°C, first and subsequent layers</w:t>
            </w:r>
          </w:p>
        </w:tc>
      </w:tr>
      <w:tr>
        <w:trPr>
          <w:cantSplit/>
        </w:trPr>
        <w:tc>
          <w:tcPr/>
          <w:p>
            <w:pPr>
              <w:pStyle w:val="Compact"/>
            </w:pPr>
            <w:r>
              <w:rPr>
                <w:szCs w:val="20"/>
                <w:sz w:val="20"/>
              </w:rPr>
              <w:t xml:space="preserve">Build-plate temperature</w:t>
            </w:r>
          </w:p>
        </w:tc>
        <w:tc>
          <w:tcPr/>
          <w:p>
            <w:pPr>
              <w:pStyle w:val="Compact"/>
            </w:pPr>
            <w:r>
              <w:rPr>
                <w:szCs w:val="20"/>
                <w:sz w:val="20"/>
              </w:rPr>
              <w:t xml:space="preserve">100°C, first and subsequent layers</w:t>
            </w:r>
          </w:p>
        </w:tc>
      </w:tr>
      <w:tr>
        <w:trPr>
          <w:cantSplit/>
        </w:trPr>
        <w:tc>
          <w:tcPr/>
          <w:p>
            <w:pPr>
              <w:pStyle w:val="Compact"/>
            </w:pPr>
            <w:r>
              <w:rPr>
                <w:szCs w:val="20"/>
                <w:sz w:val="20"/>
              </w:rPr>
              <w:t xml:space="preserve">Part cooling</w:t>
            </w:r>
          </w:p>
        </w:tc>
        <w:tc>
          <w:tcPr/>
          <w:p>
            <w:pPr>
              <w:pStyle w:val="Compact"/>
            </w:pPr>
            <w:r>
              <w:rPr>
                <w:szCs w:val="20"/>
                <w:sz w:val="20"/>
              </w:rPr>
              <w:t xml:space="preserve">Disabled</w:t>
            </w:r>
          </w:p>
        </w:tc>
      </w:tr>
      <w:tr>
        <w:trPr>
          <w:cantSplit/>
        </w:trPr>
        <w:tc>
          <w:tcPr/>
          <w:p>
            <w:pPr>
              <w:pStyle w:val="Compact"/>
            </w:pPr>
            <w:r>
              <w:rPr>
                <w:szCs w:val="20"/>
                <w:sz w:val="20"/>
              </w:rPr>
              <w:t xml:space="preserve">Wall loops</w:t>
            </w:r>
          </w:p>
        </w:tc>
        <w:tc>
          <w:tcPr/>
          <w:p>
            <w:pPr>
              <w:pStyle w:val="Compact"/>
            </w:pPr>
            <w:r>
              <w:rPr>
                <w:szCs w:val="20"/>
                <w:sz w:val="20"/>
              </w:rPr>
              <w:t xml:space="preserve">2</w:t>
            </w:r>
          </w:p>
        </w:tc>
      </w:tr>
      <w:tr>
        <w:trPr>
          <w:cantSplit/>
        </w:trPr>
        <w:tc>
          <w:tcPr/>
          <w:p>
            <w:pPr>
              <w:pStyle w:val="Compact"/>
            </w:pPr>
            <w:r>
              <w:rPr>
                <w:szCs w:val="20"/>
                <w:sz w:val="20"/>
              </w:rPr>
              <w:t xml:space="preserve">Top layers</w:t>
            </w:r>
          </w:p>
        </w:tc>
        <w:tc>
          <w:tcPr/>
          <w:p>
            <w:pPr>
              <w:pStyle w:val="Compact"/>
            </w:pPr>
            <w:r>
              <w:rPr>
                <w:szCs w:val="20"/>
                <w:sz w:val="20"/>
              </w:rPr>
              <w:t xml:space="preserve">5 (0.8 mm)</w:t>
            </w:r>
          </w:p>
        </w:tc>
      </w:tr>
      <w:tr>
        <w:trPr>
          <w:cantSplit/>
        </w:trPr>
        <w:tc>
          <w:tcPr/>
          <w:p>
            <w:pPr>
              <w:pStyle w:val="Compact"/>
            </w:pPr>
            <w:r>
              <w:rPr>
                <w:szCs w:val="20"/>
                <w:sz w:val="20"/>
              </w:rPr>
              <w:t xml:space="preserve">Bottom layers</w:t>
            </w:r>
          </w:p>
        </w:tc>
        <w:tc>
          <w:tcPr/>
          <w:p>
            <w:pPr>
              <w:pStyle w:val="Compact"/>
            </w:pPr>
            <w:r>
              <w:rPr>
                <w:szCs w:val="20"/>
                <w:sz w:val="20"/>
              </w:rPr>
              <w:t xml:space="preserve">3</w:t>
            </w:r>
          </w:p>
        </w:tc>
      </w:tr>
      <w:tr>
        <w:trPr>
          <w:cantSplit/>
        </w:trPr>
        <w:tc>
          <w:tcPr/>
          <w:p>
            <w:pPr>
              <w:pStyle w:val="Compact"/>
            </w:pPr>
            <w:r>
              <w:rPr>
                <w:szCs w:val="20"/>
                <w:sz w:val="20"/>
              </w:rPr>
              <w:t xml:space="preserve">Sparse infill</w:t>
            </w:r>
          </w:p>
        </w:tc>
        <w:tc>
          <w:tcPr/>
          <w:p>
            <w:pPr>
              <w:pStyle w:val="Compact"/>
            </w:pPr>
            <w:r>
              <w:rPr>
                <w:szCs w:val="20"/>
                <w:sz w:val="20"/>
              </w:rPr>
              <w:t xml:space="preserve">15% grid</w:t>
            </w:r>
          </w:p>
        </w:tc>
      </w:tr>
      <w:tr>
        <w:trPr>
          <w:cantSplit/>
        </w:trPr>
        <w:tc>
          <w:tcPr/>
          <w:p>
            <w:pPr>
              <w:pStyle w:val="Compact"/>
            </w:pPr>
            <w:r>
              <w:rPr>
                <w:szCs w:val="20"/>
                <w:sz w:val="20"/>
              </w:rPr>
              <w:t xml:space="preserve">Supports</w:t>
            </w:r>
          </w:p>
        </w:tc>
        <w:tc>
          <w:tcPr/>
          <w:p>
            <w:pPr>
              <w:pStyle w:val="Compact"/>
            </w:pPr>
            <w:r>
              <w:rPr>
                <w:szCs w:val="20"/>
                <w:sz w:val="20"/>
              </w:rPr>
              <w:t xml:space="preserve">Disabled</w:t>
            </w:r>
          </w:p>
        </w:tc>
      </w:tr>
      <w:tr>
        <w:trPr>
          <w:cantSplit/>
        </w:trPr>
        <w:tc>
          <w:tcPr/>
          <w:p>
            <w:pPr>
              <w:pStyle w:val="Compact"/>
            </w:pPr>
            <w:r>
              <w:rPr>
                <w:szCs w:val="20"/>
                <w:sz w:val="20"/>
              </w:rPr>
              <w:t xml:space="preserve">Build-plate adhesion</w:t>
            </w:r>
          </w:p>
        </w:tc>
        <w:tc>
          <w:tcPr/>
          <w:p>
            <w:pPr>
              <w:pStyle w:val="Compact"/>
            </w:pPr>
            <w:r>
              <w:rPr>
                <w:szCs w:val="20"/>
                <w:sz w:val="20"/>
              </w:rPr>
              <w:t xml:space="preserve">5 mm outer brim, 0 mm object gap</w:t>
            </w:r>
          </w:p>
        </w:tc>
      </w:tr>
      <w:tr>
        <w:trPr>
          <w:cantSplit/>
        </w:trPr>
        <w:tc>
          <w:tcPr/>
          <w:p>
            <w:pPr>
              <w:pStyle w:val="Compact"/>
            </w:pPr>
            <w:r>
              <w:rPr>
                <w:szCs w:val="20"/>
                <w:sz w:val="20"/>
              </w:rPr>
              <w:t xml:space="preserve">Outer-wall speed</w:t>
            </w:r>
          </w:p>
        </w:tc>
        <w:tc>
          <w:tcPr/>
          <w:p>
            <w:pPr>
              <w:pStyle w:val="Compact"/>
            </w:pPr>
            <w:r>
              <w:rPr>
                <w:szCs w:val="20"/>
                <w:sz w:val="20"/>
              </w:rPr>
              <w:t xml:space="preserve">200 mm/s</w:t>
            </w:r>
          </w:p>
        </w:tc>
      </w:tr>
      <w:tr>
        <w:trPr>
          <w:cantSplit/>
        </w:trPr>
        <w:tc>
          <w:tcPr/>
          <w:p>
            <w:pPr>
              <w:pStyle w:val="Compact"/>
            </w:pPr>
            <w:r>
              <w:rPr>
                <w:szCs w:val="20"/>
                <w:sz w:val="20"/>
              </w:rPr>
              <w:t xml:space="preserve">Inner-wall speed</w:t>
            </w:r>
          </w:p>
        </w:tc>
        <w:tc>
          <w:tcPr/>
          <w:p>
            <w:pPr>
              <w:pStyle w:val="Compact"/>
            </w:pPr>
            <w:r>
              <w:rPr>
                <w:szCs w:val="20"/>
                <w:sz w:val="20"/>
              </w:rPr>
              <w:t xml:space="preserve">300 mm/s</w:t>
            </w:r>
          </w:p>
        </w:tc>
      </w:tr>
      <w:tr>
        <w:trPr>
          <w:cantSplit/>
        </w:trPr>
        <w:tc>
          <w:tcPr/>
          <w:p>
            <w:pPr>
              <w:pStyle w:val="Compact"/>
            </w:pPr>
            <w:r>
              <w:rPr>
                <w:szCs w:val="20"/>
                <w:sz w:val="20"/>
              </w:rPr>
              <w:t xml:space="preserve">Sparse-infill speed</w:t>
            </w:r>
          </w:p>
        </w:tc>
        <w:tc>
          <w:tcPr/>
          <w:p>
            <w:pPr>
              <w:pStyle w:val="Compact"/>
            </w:pPr>
            <w:r>
              <w:rPr>
                <w:szCs w:val="20"/>
                <w:sz w:val="20"/>
              </w:rPr>
              <w:t xml:space="preserve">270 mm/s</w:t>
            </w:r>
          </w:p>
        </w:tc>
      </w:tr>
      <w:tr>
        <w:trPr>
          <w:cantSplit/>
        </w:trPr>
        <w:tc>
          <w:tcPr/>
          <w:p>
            <w:pPr>
              <w:pStyle w:val="Compact"/>
            </w:pPr>
            <w:r>
              <w:rPr>
                <w:szCs w:val="20"/>
                <w:sz w:val="20"/>
              </w:rPr>
              <w:t xml:space="preserve">Top-surface speed</w:t>
            </w:r>
          </w:p>
        </w:tc>
        <w:tc>
          <w:tcPr/>
          <w:p>
            <w:pPr>
              <w:pStyle w:val="Compact"/>
            </w:pPr>
            <w:r>
              <w:rPr>
                <w:szCs w:val="20"/>
                <w:sz w:val="20"/>
              </w:rPr>
              <w:t xml:space="preserve">200 mm/s</w:t>
            </w:r>
          </w:p>
        </w:tc>
      </w:tr>
      <w:tr>
        <w:trPr>
          <w:cantSplit/>
        </w:trPr>
        <w:tc>
          <w:tcPr/>
          <w:p>
            <w:pPr>
              <w:pStyle w:val="Compact"/>
            </w:pPr>
            <w:r>
              <w:rPr>
                <w:szCs w:val="20"/>
                <w:sz w:val="20"/>
              </w:rPr>
              <w:t xml:space="preserve">Initial-layer speed</w:t>
            </w:r>
          </w:p>
        </w:tc>
        <w:tc>
          <w:tcPr/>
          <w:p>
            <w:pPr>
              <w:pStyle w:val="Compact"/>
            </w:pPr>
            <w:r>
              <w:rPr>
                <w:szCs w:val="20"/>
                <w:sz w:val="20"/>
              </w:rPr>
              <w:t xml:space="preserve">60 mm/s</w:t>
            </w:r>
          </w:p>
        </w:tc>
      </w:tr>
      <w:tr>
        <w:trPr>
          <w:cantSplit/>
        </w:trPr>
        <w:tc>
          <w:tcPr/>
          <w:p>
            <w:pPr>
              <w:pStyle w:val="Compact"/>
            </w:pPr>
            <w:r>
              <w:rPr>
                <w:szCs w:val="20"/>
                <w:sz w:val="20"/>
              </w:rPr>
              <w:t xml:space="preserve">Travel speed</w:t>
            </w:r>
          </w:p>
        </w:tc>
        <w:tc>
          <w:tcPr/>
          <w:p>
            <w:pPr>
              <w:pStyle w:val="Compact"/>
            </w:pPr>
            <w:r>
              <w:rPr>
                <w:szCs w:val="20"/>
                <w:sz w:val="20"/>
              </w:rPr>
              <w:t xml:space="preserve">500 mm/s</w:t>
            </w:r>
          </w:p>
        </w:tc>
      </w:tr>
      <w:tr>
        <w:trPr>
          <w:cantSplit/>
        </w:trPr>
        <w:tc>
          <w:tcPr/>
          <w:p>
            <w:pPr>
              <w:pStyle w:val="Compact"/>
            </w:pPr>
            <w:r>
              <w:rPr>
                <w:szCs w:val="20"/>
                <w:sz w:val="20"/>
              </w:rPr>
              <w:t xml:space="preserve">Maximum filament volumetric speed</w:t>
            </w:r>
          </w:p>
        </w:tc>
        <w:tc>
          <w:tcPr/>
          <w:p>
            <w:pPr>
              <w:pStyle w:val="Compact"/>
            </w:pPr>
            <w:r>
              <w:rPr>
                <w:szCs w:val="20"/>
                <w:sz w:val="20"/>
              </w:rPr>
              <w:t xml:space="preserve">5 mm³/s</w:t>
            </w:r>
          </w:p>
        </w:tc>
      </w:tr>
      <w:tr>
        <w:trPr>
          <w:cantSplit/>
        </w:trPr>
        <w:tc>
          <w:tcPr/>
          <w:p>
            <w:pPr>
              <w:pStyle w:val="Compact"/>
            </w:pPr>
            <w:r>
              <w:rPr>
                <w:szCs w:val="20"/>
                <w:sz w:val="20"/>
              </w:rPr>
              <w:t xml:space="preserve">Printed height / layer count</w:t>
            </w:r>
          </w:p>
        </w:tc>
        <w:tc>
          <w:tcPr/>
          <w:p>
            <w:pPr>
              <w:pStyle w:val="Compact"/>
            </w:pPr>
            <w:r>
              <w:rPr>
                <w:szCs w:val="20"/>
                <w:sz w:val="20"/>
              </w:rPr>
              <w:t xml:space="preserve">17.0 mm / 85 layers</w:t>
            </w:r>
          </w:p>
        </w:tc>
      </w:tr>
    </w:tbl>
    <w:bookmarkEnd w:id="58"/>
    <w:bookmarkStart w:id="62" w:name="Xd30ece0d053aaa6d90bf9da9de4b3bef4a5bd4f"/>
    <w:p>
      <w:pPr>
        <w:pStyle w:val="Heading1"/>
      </w:pPr>
      <w:r>
        <w:t xml:space="preserve">Supplementary Note S1. LP360 long-pass filter improves SUEX K200 top-surface flatness</w:t>
      </w:r>
    </w:p>
    <w:p>
      <w:pPr>
        <w:pStyle w:val="FirstParagraph"/>
      </w:pPr>
      <w:r>
        <w:t xml:space="preserve">During development of the 200 µm SUEX K200 layer, unfiltered exposure produced ridge-like artifacts around patterned features. These ridges interrupted the seal between the printed inserts and the mold, allowing epoxy to reach nearby SU-8 features and weakening the insert bond.</w:t>
      </w:r>
    </w:p>
    <w:p>
      <w:pPr>
        <w:pStyle w:val="BodyText"/>
      </w:pPr>
      <w:r>
        <w:t xml:space="preserve">Exposure through an LP360 long-pass filter substantially reduced the ridges and produced a flatter bonding surface.</w:t>
      </w:r>
    </w:p>
    <w:p>
      <w:pPr>
        <w:pStyle w:val="CaptionedFigure"/>
        <w:keepNext w:val="1"/>
        <w:keepLines w:val="1"/>
        <w:jc w:val="center"/>
      </w:pPr>
      <w:r>
        <w:drawing>
          <ns1:inline>
            <ns1:extent cx="5334000" cy="1934945"/>
            <ns1:effectExtent b="0" l="0" r="0" t="0"/>
            <ns1:docPr descr="Supplementary Figure S1. SUEX K200 features after unfiltered exposure (left) and LP360-filtered exposure (right). Ridge-like edge artifacts are visible after unfiltered exposure and substantially reduced with the filter. The images provide a qualitative process-development comparison." title="" id="60" name="Picture"/>
            <ns2:graphic>
              <ns2:graphicData uri="http://schemas.openxmlformats.org/drawingml/2006/picture">
                <ns3:pic>
                  <ns3:nvPicPr>
                    <ns3:cNvPr descr="/home/ts/wt/mfd-pi-legend-discussion-20261002/papers/mfd_platform/build/run-20261002T185834-e0b45325/support/papers/mfd_platform/figures/rendered_docx/supp_fig_s1_no_lp360.png" id="61" name="Picture"/>
                    <ns3:cNvPicPr>
                      <ns2:picLocks noChangeArrowheads="1" noChangeAspect="1"/>
                    </ns3:cNvPicPr>
                  </ns3:nvPicPr>
                  <ns3:blipFill>
                    <ns2:blip ns4:embed="rId59"/>
                    <ns2:stretch>
                      <ns2:fillRect/>
                    </ns2:stretch>
                  </ns3:blipFill>
                  <ns3:spPr bwMode="auto">
                    <ns2:xfrm>
                      <ns2:off x="0" y="0"/>
                      <ns2:ext cx="5334000" cy="1934945"/>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Supplementary Figure S1. SUEX K200 features after unfiltered exposure (left) and LP360-filtered exposure (right). Ridge-like edge artifacts are visible after unfiltered exposure and substantially reduced with the filter. The images provide a qualitative process-development comparison.</w:t>
      </w:r>
    </w:p>
    <w:bookmarkEnd w:id="62"/>
    <w:bookmarkStart w:id="66" w:name="X85076aeda86a6a87ea89cee0c84642a74a8cf4e"/>
    <w:p>
      <w:pPr>
        <w:pStyle w:val="Heading1"/>
      </w:pPr>
      <w:r>
        <w:t xml:space="preserve">Supplementary Note S2. SU-8 base-layer adhesion and pre-SUEX hard bake</w:t>
      </w:r>
    </w:p>
    <w:p>
      <w:pPr>
        <w:pStyle w:val="FirstParagraph"/>
      </w:pPr>
      <w:r>
        <w:t xml:space="preserve">SU-8 microchannels patterned directly on bare silicon at a target thickness of 5 µm delaminated during development or subsequent processing.</w:t>
      </w:r>
    </w:p>
    <w:p>
      <w:pPr>
        <w:pStyle w:val="BodyText"/>
      </w:pPr>
      <w:r>
        <w:t xml:space="preserve">A 5 µm flood-exposed SU-8 2005 base layer was therefore added before the patterned microchannel layer. The base layer is exposed without a mask and is not developed. It provides sufficient adhesion without a dehydration bake or HMDS treatment.</w:t>
      </w:r>
    </w:p>
    <w:p>
      <w:pPr>
        <w:pStyle w:val="BodyText"/>
      </w:pPr>
      <w:r>
        <w:t xml:space="preserve">The developed two-layer SU-8 stack also requires a 10 min hard bake at 150°C before SUEX lamination. No controlled ramp up or cooldown is used because the combined SU-8 stack is approximately 10 µm thick. Eight wafers were processed in parallel during one process-development batch in which this hard bake was inadvertently omitted. Stress during cooling after subsequent SUEX processing caused the SU-8 stack to warp and delaminate around well features on part of the batch, although some wafers remained intact. A subsequent two-wafer batch included the 150°C hard bake, and both wafers remained intact. These observations distinguish adhesion to bare silicon, addressed by the flood-exposed base layer, from stabilization of the completed SU-8 stack before SUEX processing.</w:t>
      </w:r>
    </w:p>
    <w:p>
      <w:pPr>
        <w:pStyle w:val="CaptionedFigure"/>
        <w:keepNext w:val="1"/>
        <w:keepLines w:val="1"/>
        <w:jc w:val="center"/>
      </w:pPr>
      <w:r>
        <w:drawing>
          <ns1:inline>
            <ns1:extent cx="5334000" cy="1934945"/>
            <ns1:effectExtent b="0" l="0" r="0" t="0"/>
            <ns1:docPr descr="Supplementary Figure S2. Representative optical micrographs of SU-8 microchannel delamination when features were patterned directly on bare silicon without the flood-exposed base layer. Scale bars: 100 µm (left) and 200 µm (right)." title="" id="64" name="Picture"/>
            <ns2:graphic>
              <ns2:graphicData uri="http://schemas.openxmlformats.org/drawingml/2006/picture">
                <ns3:pic>
                  <ns3:nvPicPr>
                    <ns3:cNvPr descr="/home/ts/wt/mfd-pi-legend-discussion-20261002/papers/mfd_platform/build/run-20261002T185834-e0b45325/support/papers/mfd_platform/figures/rendered_docx/supp_fig_s2_delamination.png" id="65" name="Picture"/>
                    <ns3:cNvPicPr>
                      <ns2:picLocks noChangeArrowheads="1" noChangeAspect="1"/>
                    </ns3:cNvPicPr>
                  </ns3:nvPicPr>
                  <ns3:blipFill>
                    <ns2:blip ns4:embed="rId63"/>
                    <ns2:stretch>
                      <ns2:fillRect/>
                    </ns2:stretch>
                  </ns3:blipFill>
                  <ns3:spPr bwMode="auto">
                    <ns2:xfrm>
                      <ns2:off x="0" y="0"/>
                      <ns2:ext cx="5334000" cy="1934945"/>
                    </ns2:xfrm>
                    <ns2:prstGeom prst="rect">
                      <ns2:avLst/>
                    </ns2:prstGeom>
                    <ns2:noFill/>
                    <ns2:ln w="9525">
                      <ns2:noFill/>
                      <ns2:headEnd/>
                      <ns2:tailEnd/>
                    </ns2:ln>
                  </ns3:spPr>
                </ns3:pic>
              </ns2:graphicData>
            </ns2:graphic>
          </ns1:inline>
        </w:drawing>
      </w:r>
    </w:p>
    <w:p>
      <w:pPr>
        <w:pStyle w:val="ImageCaption"/>
        <w:keepLines w:val="1"/>
      </w:pPr>
      <w:r>
        <w:rPr>
          <w:sz w:val="22"/>
          <w:szCs w:val="22"/>
        </w:rPr>
        <w:t xml:space="preserve">Supplementary Figure S2. Representative optical micrographs of SU-8 microchannel delamination when features were patterned directly on bare silicon without the flood-exposed base layer. Scale bars: 100 µm (left) and 200 µm (right).</w:t>
      </w:r>
    </w:p>
    <w:bookmarkEnd w:id="66"/>
    <w:bookmarkStart w:id="78" w:name="X22d626b50006bf4a29d128ca99e25fdb6610848"/>
    <w:p>
      <w:pPr>
        <w:pStyle w:val="Heading1"/>
      </w:pPr>
      <w:r>
        <w:t xml:space="preserve">Supplementary Protocol S1. Post-mold device assembly, primary cortical neuron culture, and CTβ retrograde axon tracing</w:t>
      </w:r>
    </w:p>
    <w:bookmarkStart w:id="67" w:name="scope"/>
    <w:p>
      <w:pPr>
        <w:pStyle w:val="Heading2"/>
      </w:pPr>
      <w:r>
        <w:t xml:space="preserve">Scope</w:t>
      </w:r>
    </w:p>
    <w:p>
      <w:pPr>
        <w:pStyle w:val="FirstParagraph"/>
      </w:pPr>
      <w:r>
        <w:t xml:space="preserve">This protocol covers PDMS casting from the parylene-coated hybrid mold,</w:t>
      </w:r>
      <w:r>
        <w:t xml:space="preserve"> </w:t>
      </w:r>
      <w:r>
        <w:t xml:space="preserve">plate assembly, neuronal culture, and imaging. The assays measure tracer</w:t>
      </w:r>
      <w:r>
        <w:t xml:space="preserve"> </w:t>
      </w:r>
      <w:r>
        <w:t xml:space="preserve">movement between compartments and count CTβ-positive neuronal cell bodies</w:t>
      </w:r>
      <w:r>
        <w:t xml:space="preserve"> </w:t>
      </w:r>
      <w:r>
        <w:t xml:space="preserve">in each device.</w:t>
      </w:r>
    </w:p>
    <w:p>
      <w:pPr>
        <w:pStyle w:val="BodyText"/>
      </w:pPr>
      <w:r>
        <w:t xml:space="preserve">The plate contains 48 two-compartment devices and 96 pipette-accessible wells</w:t>
      </w:r>
      <w:r>
        <w:t xml:space="preserve"> </w:t>
      </w:r>
      <w:r>
        <w:t xml:space="preserve">on a 9 mm well grid. The two-well device units are</w:t>
      </w:r>
      <w:r>
        <w:t xml:space="preserve"> </w:t>
      </w:r>
      <w:r>
        <w:t xml:space="preserve">spaced 18 × 9 mm apart. CTβ-positive cell bodies were counted in the 24</w:t>
      </w:r>
      <w:r>
        <w:t xml:space="preserve"> </w:t>
      </w:r>
      <w:r>
        <w:t xml:space="preserve">interior devices on each plate because culture performance was poorer at the</w:t>
      </w:r>
      <w:r>
        <w:t xml:space="preserve"> </w:t>
      </w:r>
      <w:r>
        <w:t xml:space="preserve">plate edges during long-term culture. Each plate also contains 24 perimeter</w:t>
      </w:r>
      <w:r>
        <w:t xml:space="preserve"> </w:t>
      </w:r>
      <w:r>
        <w:t xml:space="preserve">devices. The safe maximum working volume for this plate is 50 µL per well.</w:t>
      </w:r>
    </w:p>
    <w:bookmarkEnd w:id="67"/>
    <w:bookmarkStart w:id="68" w:name="materials-and-equipment"/>
    <w:p>
      <w:pPr>
        <w:pStyle w:val="Heading2"/>
      </w:pPr>
      <w:r>
        <w:t xml:space="preserve">Materials and equipment</w:t>
      </w:r>
    </w:p>
    <w:p>
      <w:pPr>
        <w:pStyle w:val="Compact"/>
        <w:numPr>
          <w:ilvl w:val="0"/>
          <w:numId w:val="1004"/>
        </w:numPr>
      </w:pPr>
      <w:r>
        <w:t xml:space="preserve">Completed parylene-coated hybrid mold (Supplementary Protocol S2).</w:t>
      </w:r>
    </w:p>
    <w:p>
      <w:pPr>
        <w:pStyle w:val="Compact"/>
        <w:numPr>
          <w:ilvl w:val="0"/>
          <w:numId w:val="1004"/>
        </w:numPr>
      </w:pPr>
      <w:r>
        <w:t xml:space="preserve">Sylgard 184 PDMS base and curing agent.</w:t>
      </w:r>
    </w:p>
    <w:p>
      <w:pPr>
        <w:pStyle w:val="Compact"/>
        <w:numPr>
          <w:ilvl w:val="0"/>
          <w:numId w:val="1004"/>
        </w:numPr>
      </w:pPr>
      <w:r>
        <w:t xml:space="preserve">Vacuum desiccator and 100°C oven.</w:t>
      </w:r>
    </w:p>
    <w:p>
      <w:pPr>
        <w:pStyle w:val="Compact"/>
        <w:numPr>
          <w:ilvl w:val="0"/>
          <w:numId w:val="1004"/>
        </w:numPr>
      </w:pPr>
      <w:r>
        <w:t xml:space="preserve">Industrial paper guillotine and clean razor blades.</w:t>
      </w:r>
    </w:p>
    <w:p>
      <w:pPr>
        <w:pStyle w:val="Compact"/>
        <w:numPr>
          <w:ilvl w:val="0"/>
          <w:numId w:val="1004"/>
        </w:numPr>
      </w:pPr>
      <w:r>
        <w:t xml:space="preserve">Coverslip glass, 110 × 74 × 0.17 mm.</w:t>
      </w:r>
    </w:p>
    <w:p>
      <w:pPr>
        <w:pStyle w:val="Compact"/>
        <w:numPr>
          <w:ilvl w:val="0"/>
          <w:numId w:val="1004"/>
        </w:numPr>
      </w:pPr>
      <w:r>
        <w:t xml:space="preserve">Harrick PDC-001 plasma cleaner or equivalent.</w:t>
      </w:r>
    </w:p>
    <w:p>
      <w:pPr>
        <w:pStyle w:val="Compact"/>
        <w:numPr>
          <w:ilvl w:val="0"/>
          <w:numId w:val="1004"/>
        </w:numPr>
      </w:pPr>
      <w:r>
        <w:t xml:space="preserve">Dry-air supply for plasma treatment.</w:t>
      </w:r>
    </w:p>
    <w:p>
      <w:pPr>
        <w:pStyle w:val="Compact"/>
        <w:numPr>
          <w:ilvl w:val="0"/>
          <w:numId w:val="1004"/>
        </w:numPr>
      </w:pPr>
      <w:r>
        <w:t xml:space="preserve">Sterilization pouches and autoclave operated at 121°C for 15 min.</w:t>
      </w:r>
    </w:p>
    <w:p>
      <w:pPr>
        <w:pStyle w:val="Compact"/>
        <w:numPr>
          <w:ilvl w:val="0"/>
          <w:numId w:val="1004"/>
        </w:numPr>
      </w:pPr>
      <w:r>
        <w:t xml:space="preserve">OpenMFD-generated HIPS frame printed on an enclosed FDM printer.</w:t>
      </w:r>
    </w:p>
    <w:p>
      <w:pPr>
        <w:pStyle w:val="Compact"/>
        <w:numPr>
          <w:ilvl w:val="0"/>
          <w:numId w:val="1004"/>
        </w:numPr>
      </w:pPr>
      <w:r>
        <w:t xml:space="preserve">12-channel pipette fitted with eight tips.</w:t>
      </w:r>
    </w:p>
    <w:p>
      <w:pPr>
        <w:pStyle w:val="Compact"/>
        <w:numPr>
          <w:ilvl w:val="0"/>
          <w:numId w:val="1004"/>
        </w:numPr>
      </w:pPr>
      <w:r>
        <w:t xml:space="preserve">70% ethanol.</w:t>
      </w:r>
    </w:p>
    <w:p>
      <w:pPr>
        <w:pStyle w:val="Compact"/>
        <w:numPr>
          <w:ilvl w:val="0"/>
          <w:numId w:val="1004"/>
        </w:numPr>
      </w:pPr>
      <w:r>
        <w:t xml:space="preserve">Henkel LOCTITE SI 5140 one-part alkoxy-cure RTV silicone sealant (3 oz tube,</w:t>
      </w:r>
      <w:r>
        <w:t xml:space="preserve"> </w:t>
      </w:r>
      <w:r>
        <w:t xml:space="preserve">IDH 135264), 3 mL Luer-lock syringe, and 18 gauge dispensing needle.</w:t>
      </w:r>
    </w:p>
    <w:p>
      <w:pPr>
        <w:pStyle w:val="Compact"/>
        <w:numPr>
          <w:ilvl w:val="0"/>
          <w:numId w:val="1004"/>
        </w:numPr>
      </w:pPr>
      <w:r>
        <w:t xml:space="preserve">Dendritic polyglycerol amine (dPGA; DendroTEK Biosciences) surface-coating</w:t>
      </w:r>
      <w:r>
        <w:t xml:space="preserve"> </w:t>
      </w:r>
      <w:r>
        <w:t xml:space="preserve">reagent.</w:t>
      </w:r>
    </w:p>
    <w:p>
      <w:pPr>
        <w:pStyle w:val="Compact"/>
        <w:numPr>
          <w:ilvl w:val="0"/>
          <w:numId w:val="1004"/>
        </w:numPr>
      </w:pPr>
      <w:r>
        <w:t xml:space="preserve">DMEM with 10% fetal bovine serum.</w:t>
      </w:r>
    </w:p>
    <w:p>
      <w:pPr>
        <w:pStyle w:val="Compact"/>
        <w:numPr>
          <w:ilvl w:val="0"/>
          <w:numId w:val="1004"/>
        </w:numPr>
      </w:pPr>
      <w:r>
        <w:t xml:space="preserve">Neurobasal Plus medium supplemented with 1% N2, 2% B27, and 1% glutamine.</w:t>
      </w:r>
    </w:p>
    <w:p>
      <w:pPr>
        <w:pStyle w:val="Compact"/>
        <w:numPr>
          <w:ilvl w:val="0"/>
          <w:numId w:val="1004"/>
        </w:numPr>
      </w:pPr>
      <w:r>
        <w:t xml:space="preserve">Primary E18 Sprague Dawley rat cortical neurons.</w:t>
      </w:r>
    </w:p>
    <w:p>
      <w:pPr>
        <w:pStyle w:val="Compact"/>
        <w:numPr>
          <w:ilvl w:val="0"/>
          <w:numId w:val="1004"/>
        </w:numPr>
      </w:pPr>
      <w:r>
        <w:t xml:space="preserve">Alexa Fluor-conjugated cholera toxin subunit B (CTβ-647).</w:t>
      </w:r>
    </w:p>
    <w:p>
      <w:pPr>
        <w:pStyle w:val="Compact"/>
        <w:numPr>
          <w:ilvl w:val="0"/>
          <w:numId w:val="1004"/>
        </w:numPr>
      </w:pPr>
      <w:r>
        <w:t xml:space="preserve">Alexa Fluor 488- and Alexa Fluor 568-conjugated secondary antibodies.</w:t>
      </w:r>
    </w:p>
    <w:p>
      <w:pPr>
        <w:pStyle w:val="Compact"/>
        <w:numPr>
          <w:ilvl w:val="0"/>
          <w:numId w:val="1004"/>
        </w:numPr>
      </w:pPr>
      <w:r>
        <w:t xml:space="preserve">PerkinElmer Opera Phenix Plus high-content imaging system with a 10×/0.30 NA</w:t>
      </w:r>
      <w:r>
        <w:t xml:space="preserve"> </w:t>
      </w:r>
      <w:r>
        <w:t xml:space="preserve">objective.</w:t>
      </w:r>
    </w:p>
    <w:bookmarkEnd w:id="68"/>
    <w:bookmarkStart w:id="69" w:name="adhesive-selection-and-substitution"/>
    <w:p>
      <w:pPr>
        <w:pStyle w:val="Heading2"/>
      </w:pPr>
      <w:r>
        <w:t xml:space="preserve">Adhesive selection and substitution</w:t>
      </w:r>
    </w:p>
    <w:p>
      <w:pPr>
        <w:pStyle w:val="FirstParagraph"/>
      </w:pPr>
      <w:r>
        <w:t xml:space="preserve">Use LOCTITE SI 5140 for the frame assembly described here. Adhesives were</w:t>
      </w:r>
      <w:r>
        <w:t xml:space="preserve"> </w:t>
      </w:r>
      <w:r>
        <w:t xml:space="preserve">screened according to whether primary cortical-neuron cultures survived to the</w:t>
      </w:r>
      <w:r>
        <w:t xml:space="preserve"> </w:t>
      </w:r>
      <w:r>
        <w:t xml:space="preserve">end of the experiment; only SI 5140 passed. Cell toxicity was not quantified.</w:t>
      </w:r>
      <w:r>
        <w:t xml:space="preserve"> </w:t>
      </w:r>
      <w:r>
        <w:t xml:space="preserve">Test alternative adhesives for cell survival, joint strength, and leaks in</w:t>
      </w:r>
      <w:r>
        <w:t xml:space="preserve"> </w:t>
      </w:r>
      <w:r>
        <w:t xml:space="preserve">the complete framed device.</w:t>
      </w:r>
    </w:p>
    <w:bookmarkEnd w:id="69"/>
    <w:bookmarkStart w:id="70" w:name="X07e76f8797acc84bdd648d4f07bab25851241d6"/>
    <w:p>
      <w:pPr>
        <w:pStyle w:val="Heading2"/>
      </w:pPr>
      <w:r>
        <w:t xml:space="preserve">Control without a frame or frame adhesive</w:t>
      </w:r>
    </w:p>
    <w:p>
      <w:pPr>
        <w:pStyle w:val="FirstParagraph"/>
      </w:pPr>
      <w:r>
        <w:t xml:space="preserve">One PDMS device was bonded to glass without adding a HIPS frame or frame</w:t>
      </w:r>
      <w:r>
        <w:t xml:space="preserve"> </w:t>
      </w:r>
      <w:r>
        <w:t xml:space="preserve">adhesive and was placed in a 14.5 cm-diameter polystyrene culture dish. This</w:t>
      </w:r>
      <w:r>
        <w:t xml:space="preserve"> </w:t>
      </w:r>
      <w:r>
        <w:t xml:space="preserve">control removed both the frame and adhesive seal and changed the surrounding</w:t>
      </w:r>
      <w:r>
        <w:t xml:space="preserve"> </w:t>
      </w:r>
      <w:r>
        <w:t xml:space="preserve">culture environment. Growth was assessed visually. The control does not</w:t>
      </w:r>
      <w:r>
        <w:t xml:space="preserve"> </w:t>
      </w:r>
      <w:r>
        <w:t xml:space="preserve">identify the separate effects of the frame, adhesive seal, or dish; observations</w:t>
      </w:r>
      <w:r>
        <w:t xml:space="preserve"> </w:t>
      </w:r>
      <w:r>
        <w:t xml:space="preserve">are reported in the main Results.</w:t>
      </w:r>
    </w:p>
    <w:bookmarkEnd w:id="70"/>
    <w:bookmarkStart w:id="71" w:name="a.-cast-and-demold-the-pdms-device"/>
    <w:p>
      <w:pPr>
        <w:pStyle w:val="Heading2"/>
      </w:pPr>
      <w:r>
        <w:t xml:space="preserve">A. Cast and demold the PDMS device</w:t>
      </w:r>
    </w:p>
    <w:p>
      <w:pPr>
        <w:pStyle w:val="Compact"/>
        <w:numPr>
          <w:ilvl w:val="0"/>
          <w:numId w:val="1005"/>
        </w:numPr>
      </w:pPr>
      <w:r>
        <w:t xml:space="preserve">Form a leak-tight aluminum-foil reservoir around the parylene-coated wafer</w:t>
      </w:r>
      <w:r>
        <w:t xml:space="preserve"> </w:t>
      </w:r>
      <w:r>
        <w:t xml:space="preserve">mold.</w:t>
      </w:r>
    </w:p>
    <w:p>
      <w:pPr>
        <w:pStyle w:val="Compact"/>
        <w:numPr>
          <w:ilvl w:val="0"/>
          <w:numId w:val="1005"/>
        </w:numPr>
      </w:pPr>
      <w:r>
        <w:t xml:space="preserve">Mix Sylgard 184 at a 10:1 base:curing-agent ratio. Approximately 35 mL total</w:t>
      </w:r>
      <w:r>
        <w:t xml:space="preserve"> </w:t>
      </w:r>
      <w:r>
        <w:t xml:space="preserve">mixture is sufficient for one wafer mold.</w:t>
      </w:r>
    </w:p>
    <w:p>
      <w:pPr>
        <w:pStyle w:val="Compact"/>
        <w:numPr>
          <w:ilvl w:val="0"/>
          <w:numId w:val="1005"/>
        </w:numPr>
      </w:pPr>
      <w:r>
        <w:t xml:space="preserve">Pour approximately 30 mL PDMS over the mold.</w:t>
      </w:r>
    </w:p>
    <w:p>
      <w:pPr>
        <w:pStyle w:val="Compact"/>
        <w:numPr>
          <w:ilvl w:val="0"/>
          <w:numId w:val="1005"/>
        </w:numPr>
      </w:pPr>
      <w:r>
        <w:t xml:space="preserve">Load the filled molds into the six-shelf metal wafer rack and place the rack</w:t>
      </w:r>
      <w:r>
        <w:t xml:space="preserve"> </w:t>
      </w:r>
      <w:r>
        <w:t xml:space="preserve">in the cylindrical vacuum chamber. Degas until visible bubbles are removed</w:t>
      </w:r>
      <w:r>
        <w:t xml:space="preserve"> </w:t>
      </w:r>
      <w:r>
        <w:t xml:space="preserve">(typically 10–30 min; approximately −15 inHg in this setup).</w:t>
      </w:r>
    </w:p>
    <w:p>
      <w:pPr>
        <w:pStyle w:val="Compact"/>
        <w:numPr>
          <w:ilvl w:val="0"/>
          <w:numId w:val="1005"/>
        </w:numPr>
      </w:pPr>
      <w:r>
        <w:t xml:space="preserve">Transfer the loaded rack to the oven. Cure for 1 h at 100°C and allow the</w:t>
      </w:r>
      <w:r>
        <w:t xml:space="preserve"> </w:t>
      </w:r>
      <w:r>
        <w:t xml:space="preserve">mold to return to room temperature.</w:t>
      </w:r>
    </w:p>
    <w:p>
      <w:pPr>
        <w:pStyle w:val="Compact"/>
        <w:numPr>
          <w:ilvl w:val="0"/>
          <w:numId w:val="1005"/>
        </w:numPr>
      </w:pPr>
      <w:r>
        <w:t xml:space="preserve">Remove the aluminum foil and release the PDMS around the mold perimeter.</w:t>
      </w:r>
    </w:p>
    <w:p>
      <w:pPr>
        <w:pStyle w:val="Compact"/>
        <w:numPr>
          <w:ilvl w:val="0"/>
          <w:numId w:val="1005"/>
        </w:numPr>
      </w:pPr>
      <w:r>
        <w:t xml:space="preserve">Support the wafer on a flat surface. Start peeling at the corners and</w:t>
      </w:r>
      <w:r>
        <w:t xml:space="preserve"> </w:t>
      </w:r>
      <w:r>
        <w:t xml:space="preserve">progress toward the center while pulling the PDMS upward and backward to</w:t>
      </w:r>
      <w:r>
        <w:t xml:space="preserve"> </w:t>
      </w:r>
      <w:r>
        <w:t xml:space="preserve">reduce stress on the wafer.</w:t>
      </w:r>
    </w:p>
    <w:p>
      <w:pPr>
        <w:pStyle w:val="Compact"/>
        <w:numPr>
          <w:ilvl w:val="0"/>
          <w:numId w:val="1005"/>
        </w:numPr>
      </w:pPr>
      <w:r>
        <w:t xml:space="preserve">Inspect the demolded cast. Wells must be open, microchannel regions must be</w:t>
      </w:r>
      <w:r>
        <w:t xml:space="preserve"> </w:t>
      </w:r>
      <w:r>
        <w:t xml:space="preserve">intact, and no insert or SU-8/SUEX feature may have detached from the mold.</w:t>
      </w:r>
    </w:p>
    <w:bookmarkEnd w:id="71"/>
    <w:bookmarkStart w:id="72" w:name="b.-trim-and-bond-the-device-to-glass"/>
    <w:p>
      <w:pPr>
        <w:pStyle w:val="Heading2"/>
      </w:pPr>
      <w:r>
        <w:t xml:space="preserve">B. Trim and bond the device to glass</w:t>
      </w:r>
    </w:p>
    <w:p>
      <w:pPr>
        <w:pStyle w:val="Compact"/>
        <w:numPr>
          <w:ilvl w:val="0"/>
          <w:numId w:val="1006"/>
        </w:numPr>
      </w:pPr>
      <w:r>
        <w:t xml:space="preserve">Place the demolded PDMS feature-side up on a clean sheet of paper on the</w:t>
      </w:r>
      <w:r>
        <w:t xml:space="preserve"> </w:t>
      </w:r>
      <w:r>
        <w:t xml:space="preserve">industrial paper-guillotine bed.</w:t>
      </w:r>
    </w:p>
    <w:p>
      <w:pPr>
        <w:pStyle w:val="Compact"/>
        <w:numPr>
          <w:ilvl w:val="0"/>
          <w:numId w:val="1006"/>
        </w:numPr>
      </w:pPr>
      <w:r>
        <w:t xml:space="preserve">Apply clean low-residue tape along the inner edge of each molded cutting</w:t>
      </w:r>
      <w:r>
        <w:t xml:space="preserve"> </w:t>
      </w:r>
      <w:r>
        <w:t xml:space="preserve">wall. Overlap the wall and extend each strip beyond the circular cast onto</w:t>
      </w:r>
      <w:r>
        <w:t xml:space="preserve"> </w:t>
      </w:r>
      <w:r>
        <w:t xml:space="preserve">the paper so that the cast is held flat. Align the molded cutting guide with</w:t>
      </w:r>
      <w:r>
        <w:t xml:space="preserve"> </w:t>
      </w:r>
      <w:r>
        <w:t xml:space="preserve">the guillotine blade.</w:t>
      </w:r>
    </w:p>
    <w:p>
      <w:pPr>
        <w:pStyle w:val="Compact"/>
        <w:numPr>
          <w:ilvl w:val="0"/>
          <w:numId w:val="1006"/>
        </w:numPr>
      </w:pPr>
      <w:r>
        <w:t xml:space="preserve">Trim the device to the generated 108 × 72 mm outline and cut a small</w:t>
      </w:r>
      <w:r>
        <w:t xml:space="preserve"> </w:t>
      </w:r>
      <w:r>
        <w:t xml:space="preserve">45° chamfer at each corner for frame alignment.</w:t>
      </w:r>
    </w:p>
    <w:p>
      <w:pPr>
        <w:pStyle w:val="Compact"/>
        <w:numPr>
          <w:ilvl w:val="0"/>
          <w:numId w:val="1006"/>
        </w:numPr>
      </w:pPr>
      <w:r>
        <w:t xml:space="preserve">Remove particles from the bonding surface with repeated application of clean</w:t>
      </w:r>
      <w:r>
        <w:t xml:space="preserve"> </w:t>
      </w:r>
      <w:r>
        <w:t xml:space="preserve">tape. Keep the final protective layer in place until plasma treatment.</w:t>
      </w:r>
    </w:p>
    <w:p>
      <w:pPr>
        <w:pStyle w:val="Compact"/>
        <w:numPr>
          <w:ilvl w:val="0"/>
          <w:numId w:val="1006"/>
        </w:numPr>
      </w:pPr>
      <w:r>
        <w:t xml:space="preserve">Place the PDMS and a clean 110 × 74 × 0.17 mm coverslip-glass sheet in the</w:t>
      </w:r>
      <w:r>
        <w:t xml:space="preserve"> </w:t>
      </w:r>
      <w:r>
        <w:t xml:space="preserve">plasma cleaner with the bonding surfaces exposed.</w:t>
      </w:r>
    </w:p>
    <w:p>
      <w:pPr>
        <w:pStyle w:val="Compact"/>
        <w:numPr>
          <w:ilvl w:val="0"/>
          <w:numId w:val="1006"/>
        </w:numPr>
      </w:pPr>
      <w:r>
        <w:t xml:space="preserve">Treat with dry-air plasma for 1 min at 200–600 mTorr in a Harrick PDC-001, or</w:t>
      </w:r>
      <w:r>
        <w:t xml:space="preserve"> </w:t>
      </w:r>
      <w:r>
        <w:t xml:space="preserve">use locally validated equivalent conditions, to activate both surfaces for</w:t>
      </w:r>
      <w:r>
        <w:t xml:space="preserve"> </w:t>
      </w:r>
      <w:r>
        <w:t xml:space="preserve">PDMS-glass bonding.</w:t>
      </w:r>
    </w:p>
    <w:p>
      <w:pPr>
        <w:pStyle w:val="Compact"/>
        <w:numPr>
          <w:ilvl w:val="0"/>
          <w:numId w:val="1006"/>
        </w:numPr>
      </w:pPr>
      <w:r>
        <w:t xml:space="preserve">Bring the activated surfaces into contact while maintaining a uniform glass</w:t>
      </w:r>
      <w:r>
        <w:t xml:space="preserve"> </w:t>
      </w:r>
      <w:r>
        <w:t xml:space="preserve">margin around the PDMS. Apply gentle pressure from the center outward.</w:t>
      </w:r>
    </w:p>
    <w:p>
      <w:pPr>
        <w:pStyle w:val="Compact"/>
        <w:numPr>
          <w:ilvl w:val="0"/>
          <w:numId w:val="1006"/>
        </w:numPr>
      </w:pPr>
      <w:r>
        <w:t xml:space="preserve">Heat the bonded assembly at 100°C for at least 1 min while applying</w:t>
      </w:r>
      <w:r>
        <w:t xml:space="preserve"> </w:t>
      </w:r>
      <w:r>
        <w:t xml:space="preserve">uniform pressure.</w:t>
      </w:r>
    </w:p>
    <w:p>
      <w:pPr>
        <w:pStyle w:val="Compact"/>
        <w:numPr>
          <w:ilvl w:val="0"/>
          <w:numId w:val="1006"/>
        </w:numPr>
      </w:pPr>
      <w:r>
        <w:t xml:space="preserve">Autoclave the bonded PDMS-on-glass assembly in a sterilization pouch at</w:t>
      </w:r>
      <w:r>
        <w:t xml:space="preserve"> </w:t>
      </w:r>
      <w:r>
        <w:t xml:space="preserve">121°C for 15 min.</w:t>
      </w:r>
    </w:p>
    <w:bookmarkEnd w:id="72"/>
    <w:bookmarkStart w:id="73" w:name="c.-assemble-the-framed-plate"/>
    <w:p>
      <w:pPr>
        <w:pStyle w:val="Heading2"/>
      </w:pPr>
      <w:r>
        <w:t xml:space="preserve">C. Assemble the framed plate</w:t>
      </w:r>
    </w:p>
    <w:p>
      <w:pPr>
        <w:pStyle w:val="Compact"/>
        <w:numPr>
          <w:ilvl w:val="0"/>
          <w:numId w:val="1007"/>
        </w:numPr>
      </w:pPr>
      <w:r>
        <w:t xml:space="preserve">Decontaminate the HIPS frame with 70% ethanol, allow it to dry, and invert it</w:t>
      </w:r>
      <w:r>
        <w:t xml:space="preserve"> </w:t>
      </w:r>
      <w:r>
        <w:t xml:space="preserve">so that the adhesive groove surrounding the device opening faces upward.</w:t>
      </w:r>
    </w:p>
    <w:p>
      <w:pPr>
        <w:pStyle w:val="Compact"/>
        <w:numPr>
          <w:ilvl w:val="0"/>
          <w:numId w:val="1007"/>
        </w:numPr>
      </w:pPr>
      <w:r>
        <w:t xml:space="preserve">Dispense 0.5–1 mL LOCTITE SI 5140 into the upward-facing frame groove using</w:t>
      </w:r>
      <w:r>
        <w:t xml:space="preserve"> </w:t>
      </w:r>
      <w:r>
        <w:t xml:space="preserve">an 18 gauge dispensing needle.</w:t>
      </w:r>
    </w:p>
    <w:p>
      <w:pPr>
        <w:pStyle w:val="Compact"/>
        <w:numPr>
          <w:ilvl w:val="0"/>
          <w:numId w:val="1007"/>
        </w:numPr>
      </w:pPr>
      <w:r>
        <w:t xml:space="preserve">Invert the bonded PDMS-on-glass assembly so that the glass faces upward.</w:t>
      </w:r>
      <w:r>
        <w:t xml:space="preserve"> </w:t>
      </w:r>
      <w:r>
        <w:t xml:space="preserve">Align the PDMS with the frame recess and lower the assembly into the frame.</w:t>
      </w:r>
    </w:p>
    <w:p>
      <w:pPr>
        <w:pStyle w:val="Compact"/>
        <w:numPr>
          <w:ilvl w:val="0"/>
          <w:numId w:val="1007"/>
        </w:numPr>
      </w:pPr>
      <w:r>
        <w:t xml:space="preserve">Inspect the adhesive joint for visible gaps.</w:t>
      </w:r>
    </w:p>
    <w:p>
      <w:pPr>
        <w:pStyle w:val="Compact"/>
        <w:numPr>
          <w:ilvl w:val="0"/>
          <w:numId w:val="1007"/>
        </w:numPr>
      </w:pPr>
      <w:r>
        <w:t xml:space="preserve">Cure at room temperature for 3 days, turn the framed device upright, and</w:t>
      </w:r>
      <w:r>
        <w:t xml:space="preserve"> </w:t>
      </w:r>
      <w:r>
        <w:t xml:space="preserve">trim excess cured adhesive with a clean razor blade.</w:t>
      </w:r>
    </w:p>
    <w:p>
      <w:pPr>
        <w:pStyle w:val="Compact"/>
        <w:numPr>
          <w:ilvl w:val="0"/>
          <w:numId w:val="1007"/>
        </w:numPr>
      </w:pPr>
      <w:r>
        <w:t xml:space="preserve">Before coating or culture, plasma-treat the assembled device with dry air at</w:t>
      </w:r>
      <w:r>
        <w:t xml:space="preserve"> </w:t>
      </w:r>
      <w:r>
        <w:t xml:space="preserve">high power (30 W) for 10 min at approximately 400 mTorr to decontaminate the</w:t>
      </w:r>
      <w:r>
        <w:t xml:space="preserve"> </w:t>
      </w:r>
      <w:r>
        <w:t xml:space="preserve">surface and make it hydrophilic. Begin aqueous coating within 15 min of</w:t>
      </w:r>
      <w:r>
        <w:t xml:space="preserve"> </w:t>
      </w:r>
      <w:r>
        <w:t xml:space="preserve">plasma treatment.</w:t>
      </w:r>
    </w:p>
    <w:bookmarkEnd w:id="73"/>
    <w:bookmarkStart w:id="74" w:name="d.-perform-the-fluorescent-tracer-assay"/>
    <w:p>
      <w:pPr>
        <w:pStyle w:val="Heading2"/>
      </w:pPr>
      <w:r>
        <w:t xml:space="preserve">D. Perform the fluorescent tracer assay</w:t>
      </w:r>
    </w:p>
    <w:p>
      <w:pPr>
        <w:pStyle w:val="Compact"/>
        <w:numPr>
          <w:ilvl w:val="0"/>
          <w:numId w:val="1008"/>
        </w:numPr>
      </w:pPr>
      <w:r>
        <w:t xml:space="preserve">Reserve 24 assembled two-compartment devices for the fluorescent tracer</w:t>
      </w:r>
      <w:r>
        <w:t xml:space="preserve"> </w:t>
      </w:r>
      <w:r>
        <w:t xml:space="preserve">assay.</w:t>
      </w:r>
    </w:p>
    <w:p>
      <w:pPr>
        <w:pStyle w:val="Compact"/>
        <w:numPr>
          <w:ilvl w:val="0"/>
          <w:numId w:val="1008"/>
        </w:numPr>
      </w:pPr>
      <w:r>
        <w:t xml:space="preserve">Prepare Alexa Fluor 488- and Alexa Fluor 568-conjugated secondary antibodies,</w:t>
      </w:r>
      <w:r>
        <w:t xml:space="preserve"> </w:t>
      </w:r>
      <w:r>
        <w:t xml:space="preserve">each at a 1:1000 dilution in phosphate-buffered saline (PBS).</w:t>
      </w:r>
    </w:p>
    <w:p>
      <w:pPr>
        <w:pStyle w:val="Compact"/>
        <w:numPr>
          <w:ilvl w:val="0"/>
          <w:numId w:val="1008"/>
        </w:numPr>
      </w:pPr>
      <w:r>
        <w:t xml:space="preserve">Add 25 µL Alexa Fluor 568 solution to the left compartment of each device.</w:t>
      </w:r>
    </w:p>
    <w:p>
      <w:pPr>
        <w:pStyle w:val="Compact"/>
        <w:numPr>
          <w:ilvl w:val="0"/>
          <w:numId w:val="1008"/>
        </w:numPr>
      </w:pPr>
      <w:r>
        <w:t xml:space="preserve">Add 50 µL Alexa Fluor 488 solution to the right compartment.</w:t>
      </w:r>
    </w:p>
    <w:p>
      <w:pPr>
        <w:pStyle w:val="Compact"/>
        <w:numPr>
          <w:ilvl w:val="0"/>
          <w:numId w:val="1008"/>
        </w:numPr>
      </w:pPr>
      <w:r>
        <w:t xml:space="preserve">Image the complete device set immediately after loading (Hour 0).</w:t>
      </w:r>
    </w:p>
    <w:p>
      <w:pPr>
        <w:pStyle w:val="Compact"/>
        <w:numPr>
          <w:ilvl w:val="0"/>
          <w:numId w:val="1008"/>
        </w:numPr>
      </w:pPr>
      <w:r>
        <w:t xml:space="preserve">Keep the devices in a cell-culture incubator for 72 h without replenishing</w:t>
      </w:r>
      <w:r>
        <w:t xml:space="preserve"> </w:t>
      </w:r>
      <w:r>
        <w:t xml:space="preserve">either compartment or adjusting the volumes, then image the same devices.</w:t>
      </w:r>
    </w:p>
    <w:p>
      <w:pPr>
        <w:pStyle w:val="Compact"/>
        <w:numPr>
          <w:ilvl w:val="0"/>
          <w:numId w:val="1008"/>
        </w:numPr>
      </w:pPr>
      <w:r>
        <w:t xml:space="preserve">Acquire images in widefield mode using the same 10×/0.30 NA objective,</w:t>
      </w:r>
      <w:r>
        <w:t xml:space="preserve"> </w:t>
      </w:r>
      <w:r>
        <w:t xml:space="preserve">2 × 2 camera binning, and 100 ms fluorescence exposure used for the CTβ</w:t>
      </w:r>
      <w:r>
        <w:t xml:space="preserve"> </w:t>
      </w:r>
      <w:r>
        <w:t xml:space="preserve">imaging, with green and red channels suited to the two fluorophores.</w:t>
      </w:r>
    </w:p>
    <w:p>
      <w:pPr>
        <w:pStyle w:val="Compact"/>
        <w:numPr>
          <w:ilvl w:val="0"/>
          <w:numId w:val="1008"/>
        </w:numPr>
      </w:pPr>
      <w:r>
        <w:t xml:space="preserve">Compare green fluorescence in the initially lower-volume left compartment</w:t>
      </w:r>
      <w:r>
        <w:t xml:space="preserve"> </w:t>
      </w:r>
      <w:r>
        <w:t xml:space="preserve">between Hour 0 and 72 h. The readout is qualitative tracer redistribution</w:t>
      </w:r>
      <w:r>
        <w:t xml:space="preserve"> </w:t>
      </w:r>
      <w:r>
        <w:t xml:space="preserve">from the higher-volume right compartment.</w:t>
      </w:r>
    </w:p>
    <w:bookmarkEnd w:id="74"/>
    <w:bookmarkStart w:id="75" w:name="Xb74ece0a97507635528c7a6376f270dd81e6cf4"/>
    <w:p>
      <w:pPr>
        <w:pStyle w:val="Heading2"/>
      </w:pPr>
      <w:r>
        <w:t xml:space="preserve">E. Coat and seed primary cortical neurons</w:t>
      </w:r>
    </w:p>
    <w:p>
      <w:pPr>
        <w:pStyle w:val="Compact"/>
        <w:numPr>
          <w:ilvl w:val="0"/>
          <w:numId w:val="1009"/>
        </w:numPr>
      </w:pPr>
      <w:r>
        <w:t xml:space="preserve">Isolate cortical neurons from one embryonic day 18 (E18) Sprague Dawley rat</w:t>
      </w:r>
      <w:r>
        <w:t xml:space="preserve"> </w:t>
      </w:r>
      <w:r>
        <w:t xml:space="preserve">embryo following the procedure described by Harris et al. (2007), under the</w:t>
      </w:r>
      <w:r>
        <w:t xml:space="preserve"> </w:t>
      </w:r>
      <w:r>
        <w:t xml:space="preserve">laboratory’s approved animal-use procedure.</w:t>
      </w:r>
    </w:p>
    <w:p>
      <w:pPr>
        <w:pStyle w:val="Compact"/>
        <w:numPr>
          <w:ilvl w:val="0"/>
          <w:numId w:val="1009"/>
        </w:numPr>
      </w:pPr>
      <w:r>
        <w:t xml:space="preserve">Distribute neurons from that embryo across three separately assembled</w:t>
      </w:r>
      <w:r>
        <w:t xml:space="preserve"> </w:t>
      </w:r>
      <w:r>
        <w:t xml:space="preserve">plates. Because the neurons all come from the same embryo, the plates are</w:t>
      </w:r>
      <w:r>
        <w:t xml:space="preserve"> </w:t>
      </w:r>
      <w:r>
        <w:t xml:space="preserve">technical replicates, not independent biological samples.</w:t>
      </w:r>
    </w:p>
    <w:p>
      <w:pPr>
        <w:pStyle w:val="Compact"/>
        <w:numPr>
          <w:ilvl w:val="0"/>
          <w:numId w:val="1009"/>
        </w:numPr>
      </w:pPr>
      <w:r>
        <w:t xml:space="preserve">Add 30 µL of 10 µg/mL dPGA to each culture well, incubate for 10 min, and</w:t>
      </w:r>
      <w:r>
        <w:t xml:space="preserve"> </w:t>
      </w:r>
      <w:r>
        <w:t xml:space="preserve">wash once with sterile water. dPGA was selected as the neuronal culture</w:t>
      </w:r>
      <w:r>
        <w:t xml:space="preserve"> </w:t>
      </w:r>
      <w:r>
        <w:t xml:space="preserve">substrate based on Clément et al. (2022).</w:t>
      </w:r>
    </w:p>
    <w:p>
      <w:pPr>
        <w:pStyle w:val="Compact"/>
        <w:numPr>
          <w:ilvl w:val="0"/>
          <w:numId w:val="1009"/>
        </w:numPr>
      </w:pPr>
      <w:r>
        <w:t xml:space="preserve">Add 50 µL supplemented Neurobasal Plus medium to the axon</w:t>
      </w:r>
      <w:r>
        <w:t xml:space="preserve"> </w:t>
      </w:r>
      <w:r>
        <w:t xml:space="preserve">compartment.</w:t>
      </w:r>
    </w:p>
    <w:p>
      <w:pPr>
        <w:pStyle w:val="Compact"/>
        <w:numPr>
          <w:ilvl w:val="0"/>
          <w:numId w:val="1009"/>
        </w:numPr>
      </w:pPr>
      <w:r>
        <w:t xml:space="preserve">Seed 5,000–10,000 neurons in 50 µL DMEM with 10% fetal bovine serum in the</w:t>
      </w:r>
      <w:r>
        <w:t xml:space="preserve"> </w:t>
      </w:r>
      <w:r>
        <w:t xml:space="preserve">cell-body (soma) compartment.</w:t>
      </w:r>
    </w:p>
    <w:p>
      <w:pPr>
        <w:pStyle w:val="Compact"/>
        <w:numPr>
          <w:ilvl w:val="0"/>
          <w:numId w:val="1009"/>
        </w:numPr>
      </w:pPr>
      <w:r>
        <w:t xml:space="preserve">Allow cells to attach for at least 30 min, then replace the soma-compartment</w:t>
      </w:r>
      <w:r>
        <w:t xml:space="preserve"> </w:t>
      </w:r>
      <w:r>
        <w:t xml:space="preserve">medium with 50 µL supplemented Neurobasal Plus medium.</w:t>
      </w:r>
    </w:p>
    <w:p>
      <w:pPr>
        <w:pStyle w:val="Compact"/>
        <w:numPr>
          <w:ilvl w:val="0"/>
          <w:numId w:val="1009"/>
        </w:numPr>
      </w:pPr>
      <w:r>
        <w:t xml:space="preserve">Remove 25 µL from the axon compartment. Maintain 50 µL in the soma</w:t>
      </w:r>
      <w:r>
        <w:t xml:space="preserve"> </w:t>
      </w:r>
      <w:r>
        <w:t xml:space="preserve">compartment and 25 µL in the axon compartment to create a small pressure</w:t>
      </w:r>
      <w:r>
        <w:t xml:space="preserve"> </w:t>
      </w:r>
      <w:r>
        <w:t xml:space="preserve">difference that directs fluid from the soma compartment toward the axon</w:t>
      </w:r>
      <w:r>
        <w:t xml:space="preserve"> </w:t>
      </w:r>
      <w:r>
        <w:t xml:space="preserve">compartment.</w:t>
      </w:r>
    </w:p>
    <w:p>
      <w:pPr>
        <w:pStyle w:val="Compact"/>
        <w:numPr>
          <w:ilvl w:val="0"/>
          <w:numId w:val="1009"/>
        </w:numPr>
      </w:pPr>
      <w:r>
        <w:t xml:space="preserve">Maintain cultures for 11 days in vitro (DIV11) following the procedure of Harris</w:t>
      </w:r>
      <w:r>
        <w:t xml:space="preserve"> </w:t>
      </w:r>
      <w:r>
        <w:t xml:space="preserve">et al. (2007), with the medium formulation and compartment volumes specified</w:t>
      </w:r>
      <w:r>
        <w:t xml:space="preserve"> </w:t>
      </w:r>
      <w:r>
        <w:t xml:space="preserve">above applied across all three plates.</w:t>
      </w:r>
    </w:p>
    <w:bookmarkEnd w:id="75"/>
    <w:bookmarkStart w:id="76" w:name="X80368d3736010fd776091cc7046b277662e25ef"/>
    <w:p>
      <w:pPr>
        <w:pStyle w:val="Heading2"/>
      </w:pPr>
      <w:r>
        <w:t xml:space="preserve">F. Perform CTβ retrograde axon tracing and imaging</w:t>
      </w:r>
    </w:p>
    <w:p>
      <w:pPr>
        <w:pStyle w:val="Compact"/>
        <w:numPr>
          <w:ilvl w:val="0"/>
          <w:numId w:val="1010"/>
        </w:numPr>
      </w:pPr>
      <w:r>
        <w:t xml:space="preserve">At DIV10, add CTβ-647 to the 25 µL axon compartment at a final</w:t>
      </w:r>
      <w:r>
        <w:t xml:space="preserve"> </w:t>
      </w:r>
      <w:r>
        <w:t xml:space="preserve">concentration of 1 µg/mL.</w:t>
      </w:r>
    </w:p>
    <w:p>
      <w:pPr>
        <w:pStyle w:val="Compact"/>
        <w:numPr>
          <w:ilvl w:val="0"/>
          <w:numId w:val="1010"/>
        </w:numPr>
      </w:pPr>
      <w:r>
        <w:t xml:space="preserve">After adding CTβ, keep 50 µL in the soma compartment and 25 µL in the</w:t>
      </w:r>
      <w:r>
        <w:t xml:space="preserve"> </w:t>
      </w:r>
      <w:r>
        <w:t xml:space="preserve">axon compartment.</w:t>
      </w:r>
    </w:p>
    <w:p>
      <w:pPr>
        <w:pStyle w:val="Compact"/>
        <w:numPr>
          <w:ilvl w:val="0"/>
          <w:numId w:val="1010"/>
        </w:numPr>
      </w:pPr>
      <w:r>
        <w:t xml:space="preserve">Incubate for 24 h.</w:t>
      </w:r>
    </w:p>
    <w:p>
      <w:pPr>
        <w:pStyle w:val="Compact"/>
        <w:numPr>
          <w:ilvl w:val="0"/>
          <w:numId w:val="1010"/>
        </w:numPr>
      </w:pPr>
      <w:r>
        <w:t xml:space="preserve">At DIV11, collect images in widefield mode on a PerkinElmer Opera</w:t>
      </w:r>
      <w:r>
        <w:t xml:space="preserve"> </w:t>
      </w:r>
      <w:r>
        <w:t xml:space="preserve">Phenix Plus using a 10×/0.30 NA objective, 2 × 2 camera binning, and the</w:t>
      </w:r>
      <w:r>
        <w:t xml:space="preserve"> </w:t>
      </w:r>
      <w:r>
        <w:t xml:space="preserve">built-in laser autofocus. Acquire brightfield images with a 10 ms exposure</w:t>
      </w:r>
      <w:r>
        <w:t xml:space="preserve"> </w:t>
      </w:r>
      <w:r>
        <w:t xml:space="preserve">and Alexa 647 fluorescence with 640 nm excitation, 706 nm emission, and a</w:t>
      </w:r>
      <w:r>
        <w:t xml:space="preserve"> </w:t>
      </w:r>
      <w:r>
        <w:t xml:space="preserve">100 ms exposure. The effective pixel size is 1.187 µm. Use the same</w:t>
      </w:r>
      <w:r>
        <w:t xml:space="preserve"> </w:t>
      </w:r>
      <w:r>
        <w:t xml:space="preserve">exposure and optical settings for all plates.</w:t>
      </w:r>
    </w:p>
    <w:p>
      <w:pPr>
        <w:pStyle w:val="Compact"/>
        <w:numPr>
          <w:ilvl w:val="0"/>
          <w:numId w:val="1010"/>
        </w:numPr>
      </w:pPr>
      <w:r>
        <w:t xml:space="preserve">Collect overlapping images and stitch them into one image per device. In this</w:t>
      </w:r>
      <w:r>
        <w:t xml:space="preserve"> </w:t>
      </w:r>
      <w:r>
        <w:t xml:space="preserve">experiment, Plates 1 and 2 used 35 imaging positions per device (7 × 5 grid),</w:t>
      </w:r>
      <w:r>
        <w:t xml:space="preserve"> </w:t>
      </w:r>
      <w:r>
        <w:t xml:space="preserve">and Plate 3 used 42 positions (7 × 6 grid), with approximately 10% overlap.</w:t>
      </w:r>
      <w:r>
        <w:t xml:space="preserve"> </w:t>
      </w:r>
      <w:r>
        <w:t xml:space="preserve">Plate 3’s PDMS array was shifted slightly rightward during gluing, so a larger</w:t>
      </w:r>
      <w:r>
        <w:t xml:space="preserve"> </w:t>
      </w:r>
      <w:r>
        <w:t xml:space="preserve">area was imaged to capture more microchannel exits. The area covered by</w:t>
      </w:r>
      <w:r>
        <w:t xml:space="preserve"> </w:t>
      </w:r>
      <w:r>
        <w:t xml:space="preserve">35 imaging positions was sufficient for cell counting.</w:t>
      </w:r>
    </w:p>
    <w:p>
      <w:pPr>
        <w:pStyle w:val="Compact"/>
        <w:numPr>
          <w:ilvl w:val="0"/>
          <w:numId w:val="1010"/>
        </w:numPr>
      </w:pPr>
      <w:r>
        <w:t xml:space="preserve">Align each stitched brightfield image to the reference brightfield image and</w:t>
      </w:r>
      <w:r>
        <w:t xml:space="preserve"> </w:t>
      </w:r>
      <w:r>
        <w:t xml:space="preserve">crop all plates to the same area for cell counting, regardless of whether</w:t>
      </w:r>
      <w:r>
        <w:t xml:space="preserve"> </w:t>
      </w:r>
      <w:r>
        <w:t xml:space="preserve">images were collected at 35 or 42 positions. Imaging a larger area does not</w:t>
      </w:r>
      <w:r>
        <w:t xml:space="preserve"> </w:t>
      </w:r>
      <w:r>
        <w:t xml:space="preserve">enlarge the area used for counting.</w:t>
      </w:r>
    </w:p>
    <w:p>
      <w:pPr>
        <w:pStyle w:val="Compact"/>
        <w:numPr>
          <w:ilvl w:val="0"/>
          <w:numId w:val="1010"/>
        </w:numPr>
      </w:pPr>
      <w:r>
        <w:t xml:space="preserve">Identify and count CTβ-positive neuronal cell bodies using the same cell</w:t>
      </w:r>
      <w:r>
        <w:t xml:space="preserve"> </w:t>
      </w:r>
      <w:r>
        <w:t xml:space="preserve">segmentation settings and criteria for CTβ labeling in every cropped image.</w:t>
      </w:r>
      <w:r>
        <w:t xml:space="preserve"> </w:t>
      </w:r>
      <w:r>
        <w:t xml:space="preserve">Record one CTβ-positive cell-body count for each cropped device.</w:t>
      </w:r>
    </w:p>
    <w:bookmarkEnd w:id="76"/>
    <w:bookmarkStart w:id="77" w:name="Xc04f423daeb6f07159848f3cd0a154359ddd66e"/>
    <w:p>
      <w:pPr>
        <w:pStyle w:val="Heading2"/>
      </w:pPr>
      <w:r>
        <w:t xml:space="preserve">G. Analysis set and descriptive statistics</w:t>
      </w:r>
    </w:p>
    <w:p>
      <w:pPr>
        <w:pStyle w:val="Compact"/>
        <w:numPr>
          <w:ilvl w:val="0"/>
          <w:numId w:val="1011"/>
        </w:numPr>
      </w:pPr>
      <w:r>
        <w:t xml:space="preserve">CTβ-positive cells were counted before axotomy in the February 2026</w:t>
      </w:r>
      <w:r>
        <w:t xml:space="preserve"> </w:t>
      </w:r>
      <w:r>
        <w:t xml:space="preserve">three-plate DMSO-only experiment.</w:t>
      </w:r>
    </w:p>
    <w:p>
      <w:pPr>
        <w:pStyle w:val="Compact"/>
        <w:numPr>
          <w:ilvl w:val="0"/>
          <w:numId w:val="1011"/>
        </w:numPr>
      </w:pPr>
      <w:r>
        <w:t xml:space="preserve">Analysis was restricted to the 24 interior devices per plate because culture</w:t>
      </w:r>
      <w:r>
        <w:t xml:space="preserve"> </w:t>
      </w:r>
      <w:r>
        <w:t xml:space="preserve">conditions differed at the plate perimeter. Images from 72 interior devices</w:t>
      </w:r>
      <w:r>
        <w:t xml:space="preserve"> </w:t>
      </w:r>
      <w:r>
        <w:t xml:space="preserve">across three plates were checked for contamination and technical failures.</w:t>
      </w:r>
    </w:p>
    <w:p>
      <w:pPr>
        <w:pStyle w:val="Compact"/>
        <w:numPr>
          <w:ilvl w:val="0"/>
          <w:numId w:val="1011"/>
        </w:numPr>
      </w:pPr>
      <w:r>
        <w:t xml:space="preserve">Devices were excluded only when late-stage microbial contamination or an</w:t>
      </w:r>
      <w:r>
        <w:t xml:space="preserve"> </w:t>
      </w:r>
      <w:r>
        <w:t xml:space="preserve">observable technical failure in culture or imaging prevented cell counting.</w:t>
      </w:r>
      <w:r>
        <w:t xml:space="preserve"> </w:t>
      </w:r>
      <w:r>
        <w:t xml:space="preserve">Every usable count was included, whether high or low.</w:t>
      </w:r>
    </w:p>
    <w:p>
      <w:pPr>
        <w:pStyle w:val="Compact"/>
        <w:numPr>
          <w:ilvl w:val="0"/>
          <w:numId w:val="1011"/>
        </w:numPr>
      </w:pPr>
      <w:r>
        <w:t xml:space="preserve">All neurons came from one embryo. The three separately assembled plates</w:t>
      </w:r>
      <w:r>
        <w:t xml:space="preserve"> </w:t>
      </w:r>
      <w:r>
        <w:t xml:space="preserve">and the devices within each plate are technical replicates, not samples from</w:t>
      </w:r>
      <w:r>
        <w:t xml:space="preserve"> </w:t>
      </w:r>
      <w:r>
        <w:t xml:space="preserve">different embryos.</w:t>
      </w:r>
    </w:p>
    <w:p>
      <w:pPr>
        <w:pStyle w:val="Compact"/>
        <w:numPr>
          <w:ilvl w:val="0"/>
          <w:numId w:val="1011"/>
        </w:numPr>
      </w:pPr>
      <w:r>
        <w:t xml:space="preserve">In this experiment, 69 of the 72 interior devices had images suitable for</w:t>
      </w:r>
      <w:r>
        <w:t xml:space="preserve"> </w:t>
      </w:r>
      <w:r>
        <w:t xml:space="preserve">cell counting. Three devices had late-stage contamination or a technical</w:t>
      </w:r>
      <w:r>
        <w:t xml:space="preserve"> </w:t>
      </w:r>
      <w:r>
        <w:t xml:space="preserve">failure that prevented cell counting in the final image.</w:t>
      </w:r>
    </w:p>
    <w:p>
      <w:pPr>
        <w:pStyle w:val="Compact"/>
        <w:numPr>
          <w:ilvl w:val="0"/>
          <w:numId w:val="1011"/>
        </w:numPr>
      </w:pPr>
      <w:r>
        <w:t xml:space="preserve">CTβ-positive counts are summarized descriptively as the mean and standard</w:t>
      </w:r>
      <w:r>
        <w:t xml:space="preserve"> </w:t>
      </w:r>
      <w:r>
        <w:t xml:space="preserve">deviation across analyzed interior devices within each plate, representing</w:t>
      </w:r>
      <w:r>
        <w:t xml:space="preserve"> </w:t>
      </w:r>
      <w:r>
        <w:t xml:space="preserve">variation among devices containing neurons from the same embryo.</w:t>
      </w:r>
    </w:p>
    <w:bookmarkEnd w:id="77"/>
    <w:bookmarkEnd w:id="78"/>
    <w:bookmarkStart w:id="86" w:name="X8ea217fee6dccb4b0881d9f5f7419e0bbf5c51d"/>
    <w:p>
      <w:pPr>
        <w:pStyle w:val="Heading1"/>
      </w:pPr>
      <w:r>
        <w:t xml:space="preserve">Supplementary Protocol S2. One-time hybrid SU-8/SUEX/resin mold fabrication</w:t>
      </w:r>
    </w:p>
    <w:p>
      <w:pPr>
        <w:pStyle w:val="FirstParagraph"/>
      </w:pPr>
      <w:r>
        <w:t xml:space="preserve">This protocol describes how to make the reusable mold for the neuronal device</w:t>
      </w:r>
      <w:r>
        <w:t xml:space="preserve"> </w:t>
      </w:r>
      <w:r>
        <w:t xml:space="preserve">in a shared microfabrication facility, starting from OpenMFD-generated masks</w:t>
      </w:r>
      <w:r>
        <w:t xml:space="preserve"> </w:t>
      </w:r>
      <w:r>
        <w:t xml:space="preserve">and insert models. The finished parylene-coated mold is used repeatedly for</w:t>
      </w:r>
      <w:r>
        <w:t xml:space="preserve"> </w:t>
      </w:r>
      <w:r>
        <w:t xml:space="preserve">PDMS casting and plate assembly as described in Supplementary Protocol S1.</w:t>
      </w:r>
    </w:p>
    <w:p>
      <w:pPr>
        <w:pStyle w:val="BodyText"/>
      </w:pPr>
      <w:r>
        <w:t xml:space="preserve">Follow the manufacturers’ instructions for routine material processing;</w:t>
      </w:r>
      <w:r>
        <w:t xml:space="preserve"> </w:t>
      </w:r>
      <w:r>
        <w:t xml:space="preserve">changes used in this work are specified below.</w:t>
      </w:r>
      <w:r>
        <w:t xml:space="preserve"> </w:t>
      </w:r>
      <w:r>
        <w:t xml:space="preserve">Supplementary Table S3 provides validation checks for adapting the array,</w:t>
      </w:r>
      <w:r>
        <w:t xml:space="preserve"> </w:t>
      </w:r>
      <w:r>
        <w:t xml:space="preserve">device spacing, well radius, pin clearance, SUEX thickness, channel layout,</w:t>
      </w:r>
      <w:r>
        <w:t xml:space="preserve"> </w:t>
      </w:r>
      <w:r>
        <w:t xml:space="preserve">resin, printer, or parylene thickness.</w:t>
      </w:r>
    </w:p>
    <w:bookmarkStart w:id="79" w:name="required-design-files"/>
    <w:p>
      <w:pPr>
        <w:pStyle w:val="Heading2"/>
      </w:pPr>
      <w:r>
        <w:t xml:space="preserve">Required design files</w:t>
      </w:r>
    </w:p>
    <w:p>
      <w:pPr>
        <w:pStyle w:val="Compact"/>
        <w:numPr>
          <w:ilvl w:val="0"/>
          <w:numId w:val="1012"/>
        </w:numPr>
      </w:pPr>
      <w:r>
        <w:t xml:space="preserve">OpenMFD-generated channel-layer photomask.</w:t>
      </w:r>
    </w:p>
    <w:p>
      <w:pPr>
        <w:pStyle w:val="Compact"/>
        <w:numPr>
          <w:ilvl w:val="0"/>
          <w:numId w:val="1012"/>
        </w:numPr>
      </w:pPr>
      <w:r>
        <w:t xml:space="preserve">OpenMFD-generated SUEX well-layer and insert-alignment photomask.</w:t>
      </w:r>
    </w:p>
    <w:p>
      <w:pPr>
        <w:pStyle w:val="Compact"/>
        <w:numPr>
          <w:ilvl w:val="0"/>
          <w:numId w:val="1012"/>
        </w:numPr>
      </w:pPr>
      <w:r>
        <w:t xml:space="preserve">OpenMFD-generated resin insert STL array.</w:t>
      </w:r>
    </w:p>
    <w:p>
      <w:pPr>
        <w:pStyle w:val="Compact"/>
        <w:numPr>
          <w:ilvl w:val="0"/>
          <w:numId w:val="1012"/>
        </w:numPr>
      </w:pPr>
      <w:r>
        <w:t xml:space="preserve">OpenMFD-generated wafer, cutting, and plate-frame outlines.</w:t>
      </w:r>
    </w:p>
    <w:bookmarkEnd w:id="79"/>
    <w:bookmarkStart w:id="80" w:name="materials-and-equipment"/>
    <w:p>
      <w:pPr>
        <w:pStyle w:val="Heading2"/>
      </w:pPr>
      <w:r>
        <w:t xml:space="preserve">Materials and equipment</w:t>
      </w:r>
    </w:p>
    <w:p>
      <w:pPr>
        <w:pStyle w:val="Compact"/>
        <w:numPr>
          <w:ilvl w:val="0"/>
          <w:numId w:val="1013"/>
        </w:numPr>
      </w:pPr>
      <w:r>
        <w:t xml:space="preserve">6-inch silicon wafer (UniversityWafer ID857 was used here).</w:t>
      </w:r>
    </w:p>
    <w:p>
      <w:pPr>
        <w:pStyle w:val="Compact"/>
        <w:numPr>
          <w:ilvl w:val="0"/>
          <w:numId w:val="1013"/>
        </w:numPr>
      </w:pPr>
      <w:r>
        <w:t xml:space="preserve">SU-8 2005 negative photoresist (Kayaku Advanced Materials).</w:t>
      </w:r>
    </w:p>
    <w:p>
      <w:pPr>
        <w:pStyle w:val="Compact"/>
        <w:numPr>
          <w:ilvl w:val="0"/>
          <w:numId w:val="1013"/>
        </w:numPr>
      </w:pPr>
      <w:r>
        <w:t xml:space="preserve">SUEX K200 dry film.</w:t>
      </w:r>
    </w:p>
    <w:p>
      <w:pPr>
        <w:pStyle w:val="Compact"/>
        <w:numPr>
          <w:ilvl w:val="0"/>
          <w:numId w:val="1013"/>
        </w:numPr>
      </w:pPr>
      <w:r>
        <w:t xml:space="preserve">PGMEA developer.</w:t>
      </w:r>
    </w:p>
    <w:p>
      <w:pPr>
        <w:pStyle w:val="Compact"/>
        <w:numPr>
          <w:ilvl w:val="0"/>
          <w:numId w:val="1013"/>
        </w:numPr>
      </w:pPr>
      <w:r>
        <w:t xml:space="preserve">LP360 long-pass filter for SUEX exposure.</w:t>
      </w:r>
    </w:p>
    <w:p>
      <w:pPr>
        <w:pStyle w:val="Compact"/>
        <w:numPr>
          <w:ilvl w:val="0"/>
          <w:numId w:val="1013"/>
        </w:numPr>
      </w:pPr>
      <w:r>
        <w:t xml:space="preserve">Laurell WS-650-8B spin coater or equivalent.</w:t>
      </w:r>
    </w:p>
    <w:p>
      <w:pPr>
        <w:pStyle w:val="Compact"/>
        <w:numPr>
          <w:ilvl w:val="0"/>
          <w:numId w:val="1013"/>
        </w:numPr>
      </w:pPr>
      <w:r>
        <w:t xml:space="preserve">SK 335R6 laminator or equivalent dry-film laminator.</w:t>
      </w:r>
    </w:p>
    <w:p>
      <w:pPr>
        <w:pStyle w:val="Compact"/>
        <w:numPr>
          <w:ilvl w:val="0"/>
          <w:numId w:val="1013"/>
        </w:numPr>
      </w:pPr>
      <w:r>
        <w:t xml:space="preserve">EVG620 mask aligner or equivalent photolithography aligner.</w:t>
      </w:r>
    </w:p>
    <w:p>
      <w:pPr>
        <w:pStyle w:val="Compact"/>
        <w:numPr>
          <w:ilvl w:val="0"/>
          <w:numId w:val="1013"/>
        </w:numPr>
      </w:pPr>
      <w:r>
        <w:t xml:space="preserve">Elegoo Mars 3 Pro resin printer or locally validated equivalent.</w:t>
      </w:r>
    </w:p>
    <w:p>
      <w:pPr>
        <w:pStyle w:val="Compact"/>
        <w:numPr>
          <w:ilvl w:val="0"/>
          <w:numId w:val="1013"/>
        </w:numPr>
      </w:pPr>
      <w:r>
        <w:t xml:space="preserve">Siraya Tech Sculpt Clear high-temperature resin or locally validated</w:t>
      </w:r>
      <w:r>
        <w:t xml:space="preserve"> </w:t>
      </w:r>
      <w:r>
        <w:t xml:space="preserve">equivalent.</w:t>
      </w:r>
    </w:p>
    <w:p>
      <w:pPr>
        <w:pStyle w:val="Compact"/>
        <w:numPr>
          <w:ilvl w:val="0"/>
          <w:numId w:val="1013"/>
        </w:numPr>
      </w:pPr>
      <w:r>
        <w:t xml:space="preserve">Detachable magnetic resin-printer build plate or equivalent transfer fixture.</w:t>
      </w:r>
    </w:p>
    <w:p>
      <w:pPr>
        <w:pStyle w:val="Compact"/>
        <w:numPr>
          <w:ilvl w:val="0"/>
          <w:numId w:val="1013"/>
        </w:numPr>
      </w:pPr>
      <w:r>
        <w:t xml:space="preserve">Larger bonding plate compatible with the full wafer.</w:t>
      </w:r>
    </w:p>
    <w:p>
      <w:pPr>
        <w:pStyle w:val="Compact"/>
        <w:numPr>
          <w:ilvl w:val="0"/>
          <w:numId w:val="1013"/>
        </w:numPr>
      </w:pPr>
      <w:r>
        <w:t xml:space="preserve">EPDM rubber sheet, 0.03125 inch thickness, 60A durometer.</w:t>
      </w:r>
    </w:p>
    <w:p>
      <w:pPr>
        <w:pStyle w:val="Compact"/>
        <w:numPr>
          <w:ilvl w:val="0"/>
          <w:numId w:val="1013"/>
        </w:numPr>
      </w:pPr>
      <w:r>
        <w:t xml:space="preserve">EPO-TEK 301-2 epoxy.</w:t>
      </w:r>
    </w:p>
    <w:p>
      <w:pPr>
        <w:pStyle w:val="Compact"/>
        <w:numPr>
          <w:ilvl w:val="0"/>
          <w:numId w:val="1013"/>
        </w:numPr>
      </w:pPr>
      <w:r>
        <w:t xml:space="preserve">Acetone baths and dry air gun.</w:t>
      </w:r>
    </w:p>
    <w:p>
      <w:pPr>
        <w:pStyle w:val="Compact"/>
        <w:numPr>
          <w:ilvl w:val="0"/>
          <w:numId w:val="1013"/>
        </w:numPr>
      </w:pPr>
      <w:r>
        <w:t xml:space="preserve">Specialty Coating Systems SCS 200 parylene coater or equivalent parylene C</w:t>
      </w:r>
      <w:r>
        <w:t xml:space="preserve"> </w:t>
      </w:r>
      <w:r>
        <w:t xml:space="preserve">coating service.</w:t>
      </w:r>
    </w:p>
    <w:bookmarkEnd w:id="80"/>
    <w:bookmarkStart w:id="81" w:name="a.-generate-and-review-fabrication-files"/>
    <w:p>
      <w:pPr>
        <w:pStyle w:val="Heading2"/>
      </w:pPr>
      <w:r>
        <w:t xml:space="preserve">A. Generate and review fabrication files</w:t>
      </w:r>
    </w:p>
    <w:p>
      <w:pPr>
        <w:pStyle w:val="Compact"/>
        <w:numPr>
          <w:ilvl w:val="0"/>
          <w:numId w:val="1014"/>
        </w:numPr>
      </w:pPr>
      <w:r>
        <w:t xml:space="preserve">Generate matched photomask, insert, wafer, and frame files from the same</w:t>
      </w:r>
      <w:r>
        <w:t xml:space="preserve"> </w:t>
      </w:r>
      <w:r>
        <w:t xml:space="preserve">OpenMFD preset.</w:t>
      </w:r>
    </w:p>
    <w:p>
      <w:pPr>
        <w:pStyle w:val="Compact"/>
        <w:numPr>
          <w:ilvl w:val="0"/>
          <w:numId w:val="1014"/>
        </w:numPr>
      </w:pPr>
      <w:r>
        <w:t xml:space="preserve">Confirm that the channel layer, SUEX well and alignment-hole layer, insert</w:t>
      </w:r>
      <w:r>
        <w:t xml:space="preserve"> </w:t>
      </w:r>
      <w:r>
        <w:t xml:space="preserve">pins, insert skirts, taper allowances, and cutting/frame outlines share the</w:t>
      </w:r>
      <w:r>
        <w:t xml:space="preserve"> </w:t>
      </w:r>
      <w:r>
        <w:t xml:space="preserve">same coordinate system.</w:t>
      </w:r>
    </w:p>
    <w:p>
      <w:pPr>
        <w:pStyle w:val="Compact"/>
        <w:numPr>
          <w:ilvl w:val="0"/>
          <w:numId w:val="1014"/>
        </w:numPr>
      </w:pPr>
      <w:r>
        <w:t xml:space="preserve">Apply the demonstrated horizontal PDMS shrinkage compensation factor of</w:t>
      </w:r>
      <w:r>
        <w:t xml:space="preserve"> </w:t>
      </w:r>
      <w:r>
        <w:t xml:space="preserve">1.0226 (2.26% enlargement) for the 100°C cure consistently to matching mask</w:t>
      </w:r>
      <w:r>
        <w:t xml:space="preserve"> </w:t>
      </w:r>
      <w:r>
        <w:t xml:space="preserve">and insert outputs (Supplementary Table S3). Do not add an independent</w:t>
      </w:r>
      <w:r>
        <w:t xml:space="preserve"> </w:t>
      </w:r>
      <w:r>
        <w:t xml:space="preserve">slicer scale correction.</w:t>
      </w:r>
    </w:p>
    <w:p>
      <w:pPr>
        <w:pStyle w:val="Compact"/>
        <w:numPr>
          <w:ilvl w:val="0"/>
          <w:numId w:val="1014"/>
        </w:numPr>
      </w:pPr>
      <w:r>
        <w:t xml:space="preserve">Before fabrication, inspect the single-device and wafer-scale DXF outputs and</w:t>
      </w:r>
      <w:r>
        <w:t xml:space="preserve"> </w:t>
      </w:r>
      <w:r>
        <w:t xml:space="preserve">the single and arrayed insert STL outputs.</w:t>
      </w:r>
    </w:p>
    <w:bookmarkEnd w:id="81"/>
    <w:bookmarkStart w:id="82" w:name="b.-pattern-the-su-8suex-wafer"/>
    <w:p>
      <w:pPr>
        <w:pStyle w:val="Heading2"/>
      </w:pPr>
      <w:r>
        <w:t xml:space="preserve">B. Pattern the SU-8/SUEX wafer</w:t>
      </w:r>
    </w:p>
    <w:p>
      <w:pPr>
        <w:pStyle w:val="Compact"/>
        <w:numPr>
          <w:ilvl w:val="0"/>
          <w:numId w:val="1015"/>
        </w:numPr>
      </w:pPr>
      <w:r>
        <w:t xml:space="preserve">Start with a clean 6-inch silicon wafer.</w:t>
      </w:r>
    </w:p>
    <w:p>
      <w:pPr>
        <w:pStyle w:val="Compact"/>
        <w:numPr>
          <w:ilvl w:val="0"/>
          <w:numId w:val="1015"/>
        </w:numPr>
      </w:pPr>
      <w:r>
        <w:t xml:space="preserve">Spin coat SU-8 2005 for a 5 µm target thickness.</w:t>
      </w:r>
    </w:p>
    <w:p>
      <w:pPr>
        <w:pStyle w:val="Compact"/>
        <w:numPr>
          <w:ilvl w:val="0"/>
          <w:numId w:val="1015"/>
        </w:numPr>
      </w:pPr>
      <w:r>
        <w:t xml:space="preserve">Flood expose the first SU-8 2005 layer without a mask. Do not develop this</w:t>
      </w:r>
      <w:r>
        <w:t xml:space="preserve"> </w:t>
      </w:r>
      <w:r>
        <w:t xml:space="preserve">layer. This layer functions as an adhesion base for the microchannel layer.</w:t>
      </w:r>
    </w:p>
    <w:p>
      <w:pPr>
        <w:pStyle w:val="Compact"/>
        <w:numPr>
          <w:ilvl w:val="0"/>
          <w:numId w:val="1015"/>
        </w:numPr>
      </w:pPr>
      <w:r>
        <w:t xml:space="preserve">Spin coat a second SU-8 2005 layer for a 5 µm target thickness.</w:t>
      </w:r>
    </w:p>
    <w:p>
      <w:pPr>
        <w:pStyle w:val="Compact"/>
        <w:numPr>
          <w:ilvl w:val="0"/>
          <w:numId w:val="1015"/>
        </w:numPr>
      </w:pPr>
      <w:r>
        <w:t xml:space="preserve">Align and expose the second SU-8 layer through the microchannel photomask.</w:t>
      </w:r>
    </w:p>
    <w:p>
      <w:pPr>
        <w:pStyle w:val="Compact"/>
        <w:numPr>
          <w:ilvl w:val="0"/>
          <w:numId w:val="1015"/>
        </w:numPr>
      </w:pPr>
      <w:r>
        <w:t xml:space="preserve">Bake and develop the patterned SU-8 layer according to the manufacturer’s</w:t>
      </w:r>
      <w:r>
        <w:t xml:space="preserve"> </w:t>
      </w:r>
      <w:r>
        <w:t xml:space="preserve">SU-8 2005 process for a 5 µm target thickness.</w:t>
      </w:r>
    </w:p>
    <w:p>
      <w:pPr>
        <w:pStyle w:val="Compact"/>
        <w:numPr>
          <w:ilvl w:val="0"/>
          <w:numId w:val="1015"/>
        </w:numPr>
      </w:pPr>
      <w:r>
        <w:t xml:space="preserve">Hard bake the developed two-layer SU-8 stack for 10 min at 150°C</w:t>
      </w:r>
      <w:r>
        <w:t xml:space="preserve"> </w:t>
      </w:r>
      <w:r>
        <w:t xml:space="preserve">before SUEX lamination. Place the approximately 10 µm stack directly in the</w:t>
      </w:r>
      <w:r>
        <w:t xml:space="preserve"> </w:t>
      </w:r>
      <w:r>
        <w:t xml:space="preserve">heated oven and remove it after 10 min; no controlled heating ramp or</w:t>
      </w:r>
      <w:r>
        <w:t xml:space="preserve"> </w:t>
      </w:r>
      <w:r>
        <w:t xml:space="preserve">cooldown is required.</w:t>
      </w:r>
    </w:p>
    <w:p>
      <w:pPr>
        <w:pStyle w:val="Compact"/>
        <w:numPr>
          <w:ilvl w:val="0"/>
          <w:numId w:val="1015"/>
        </w:numPr>
      </w:pPr>
      <w:r>
        <w:t xml:space="preserve">Laminate SUEX K200 dry film onto the wafer.</w:t>
      </w:r>
    </w:p>
    <w:p>
      <w:pPr>
        <w:pStyle w:val="Compact"/>
        <w:numPr>
          <w:ilvl w:val="0"/>
          <w:numId w:val="1015"/>
        </w:numPr>
      </w:pPr>
      <w:r>
        <w:t xml:space="preserve">Expose the SUEX layer through the well and insert-alignment photomask using</w:t>
      </w:r>
      <w:r>
        <w:t xml:space="preserve"> </w:t>
      </w:r>
      <w:r>
        <w:t xml:space="preserve">an LP360 long-pass filter at 2800 mJ/cm².</w:t>
      </w:r>
    </w:p>
    <w:p>
      <w:pPr>
        <w:pStyle w:val="Compact"/>
        <w:numPr>
          <w:ilvl w:val="0"/>
          <w:numId w:val="1015"/>
        </w:numPr>
      </w:pPr>
      <w:r>
        <w:t xml:space="preserve">Post-exposure bake by ramping from room temperature to 50°C at</w:t>
      </w:r>
      <w:r>
        <w:t xml:space="preserve"> </w:t>
      </w:r>
      <w:r>
        <w:t xml:space="preserve">1°C/min, holding at 50°C for at least 12 h overnight, then</w:t>
      </w:r>
      <w:r>
        <w:t xml:space="preserve"> </w:t>
      </w:r>
      <w:r>
        <w:t xml:space="preserve">shutting off the oven and allowing it to cool.</w:t>
      </w:r>
    </w:p>
    <w:p>
      <w:pPr>
        <w:pStyle w:val="Compact"/>
        <w:numPr>
          <w:ilvl w:val="0"/>
          <w:numId w:val="1015"/>
        </w:numPr>
      </w:pPr>
      <w:r>
        <w:t xml:space="preserve">Develop the SUEX layer in PGMEA for 20 min with mixing, exchanging developer</w:t>
      </w:r>
      <w:r>
        <w:t xml:space="preserve"> </w:t>
      </w:r>
      <w:r>
        <w:t xml:space="preserve">at 15 min.</w:t>
      </w:r>
    </w:p>
    <w:p>
      <w:pPr>
        <w:pStyle w:val="Compact"/>
        <w:numPr>
          <w:ilvl w:val="0"/>
          <w:numId w:val="1015"/>
        </w:numPr>
      </w:pPr>
      <w:r>
        <w:t xml:space="preserve">Hard bake by ramping from room temperature to 120°C at</w:t>
      </w:r>
      <w:r>
        <w:t xml:space="preserve"> </w:t>
      </w:r>
      <w:r>
        <w:t xml:space="preserve">3°C/min, holding for 30 min, and ramping down by powering off the</w:t>
      </w:r>
      <w:r>
        <w:t xml:space="preserve"> </w:t>
      </w:r>
      <w:r>
        <w:t xml:space="preserve">oven.</w:t>
      </w:r>
    </w:p>
    <w:p>
      <w:pPr>
        <w:pStyle w:val="FirstParagraph"/>
      </w:pPr>
      <w:r>
        <w:t xml:space="preserve">Routine inspection after photolithography:</w:t>
      </w:r>
    </w:p>
    <w:p>
      <w:pPr>
        <w:pStyle w:val="Compact"/>
        <w:numPr>
          <w:ilvl w:val="0"/>
          <w:numId w:val="1016"/>
        </w:numPr>
      </w:pPr>
      <w:r>
        <w:t xml:space="preserve">Confirm that the 5 µm SU-8 microchannel features remain attached.</w:t>
      </w:r>
    </w:p>
    <w:p>
      <w:pPr>
        <w:pStyle w:val="Compact"/>
        <w:numPr>
          <w:ilvl w:val="0"/>
          <w:numId w:val="1016"/>
        </w:numPr>
      </w:pPr>
      <w:r>
        <w:t xml:space="preserve">Confirm that the SUEX well features and insert-alignment holes are visibly intact.</w:t>
      </w:r>
    </w:p>
    <w:p>
      <w:pPr>
        <w:pStyle w:val="Compact"/>
        <w:numPr>
          <w:ilvl w:val="0"/>
          <w:numId w:val="1016"/>
        </w:numPr>
      </w:pPr>
      <w:r>
        <w:t xml:space="preserve">Confirm that the SUEX top surfaces are sufficiently flat for a continuous</w:t>
      </w:r>
      <w:r>
        <w:t xml:space="preserve"> </w:t>
      </w:r>
      <w:r>
        <w:t xml:space="preserve">insert-wafer epoxy seal.</w:t>
      </w:r>
    </w:p>
    <w:bookmarkEnd w:id="82"/>
    <w:bookmarkStart w:id="83" w:name="c.-print-and-prepare-resin-inserts"/>
    <w:p>
      <w:pPr>
        <w:pStyle w:val="Heading2"/>
      </w:pPr>
      <w:r>
        <w:t xml:space="preserve">C. Print and prepare resin inserts</w:t>
      </w:r>
    </w:p>
    <w:p>
      <w:pPr>
        <w:pStyle w:val="Compact"/>
        <w:numPr>
          <w:ilvl w:val="0"/>
          <w:numId w:val="1017"/>
        </w:numPr>
      </w:pPr>
      <w:r>
        <w:t xml:space="preserve">Print the OpenMFD-generated insert array. This work used Siraya Tech</w:t>
      </w:r>
      <w:r>
        <w:t xml:space="preserve"> </w:t>
      </w:r>
      <w:r>
        <w:t xml:space="preserve">Sculpt Clear resin on an Elegoo Mars 3 Pro printer with the settings in</w:t>
      </w:r>
      <w:r>
        <w:t xml:space="preserve"> </w:t>
      </w:r>
      <w:r>
        <w:t xml:space="preserve">Supplementary Table S4. Test settings for other printers and resins before</w:t>
      </w:r>
      <w:r>
        <w:t xml:space="preserve"> </w:t>
      </w:r>
      <w:r>
        <w:t xml:space="preserve">printing the full array.</w:t>
      </w:r>
    </w:p>
    <w:p>
      <w:pPr>
        <w:pStyle w:val="Compact"/>
        <w:numPr>
          <w:ilvl w:val="0"/>
          <w:numId w:val="1017"/>
        </w:numPr>
      </w:pPr>
      <w:r>
        <w:t xml:space="preserve">Record resin, layer height, exposure, lift/retract, washing, and post-cure</w:t>
      </w:r>
      <w:r>
        <w:t xml:space="preserve"> </w:t>
      </w:r>
      <w:r>
        <w:t xml:space="preserve">settings with the local printer profile. These settings apply to the local</w:t>
      </w:r>
      <w:r>
        <w:t xml:space="preserve"> </w:t>
      </w:r>
      <w:r>
        <w:t xml:space="preserve">printer and resin, independently of the device dimensions in OpenMFD.</w:t>
      </w:r>
    </w:p>
    <w:p>
      <w:pPr>
        <w:pStyle w:val="Compact"/>
        <w:numPr>
          <w:ilvl w:val="0"/>
          <w:numId w:val="1017"/>
        </w:numPr>
      </w:pPr>
      <w:r>
        <w:t xml:space="preserve">Clean the printed inserts by spraying with acetone and blow drying with</w:t>
      </w:r>
      <w:r>
        <w:t xml:space="preserve"> </w:t>
      </w:r>
      <w:r>
        <w:t xml:space="preserve">compressed nitrogen. Repeat until pin features are free of residual resin;</w:t>
      </w:r>
      <w:r>
        <w:t xml:space="preserve"> </w:t>
      </w:r>
      <w:r>
        <w:t xml:space="preserve">this work used 6–8 acetone/nitrogen cycles.</w:t>
      </w:r>
    </w:p>
    <w:p>
      <w:pPr>
        <w:pStyle w:val="Compact"/>
        <w:numPr>
          <w:ilvl w:val="0"/>
          <w:numId w:val="1017"/>
        </w:numPr>
      </w:pPr>
      <w:r>
        <w:t xml:space="preserve">Remove the flexible metal build plate from the printer platform and post-cure</w:t>
      </w:r>
      <w:r>
        <w:t xml:space="preserve"> </w:t>
      </w:r>
      <w:r>
        <w:t xml:space="preserve">the print in an Elegoo Mercury X rotating UV cure station for 15 min.</w:t>
      </w:r>
    </w:p>
    <w:p>
      <w:pPr>
        <w:pStyle w:val="Compact"/>
        <w:numPr>
          <w:ilvl w:val="0"/>
          <w:numId w:val="1017"/>
        </w:numPr>
      </w:pPr>
      <w:r>
        <w:t xml:space="preserve">Keep the inserts in their printed relative positions on the detachable</w:t>
      </w:r>
      <w:r>
        <w:t xml:space="preserve"> </w:t>
      </w:r>
      <w:r>
        <w:t xml:space="preserve">flexible metal build plate or equivalent transfer fixture.</w:t>
      </w:r>
    </w:p>
    <w:p>
      <w:pPr>
        <w:pStyle w:val="Compact"/>
        <w:numPr>
          <w:ilvl w:val="0"/>
          <w:numId w:val="1017"/>
        </w:numPr>
      </w:pPr>
      <w:r>
        <w:t xml:space="preserve">Measure each printed pin individually with a micrometer before bonding.</w:t>
      </w:r>
      <w:r>
        <w:t xml:space="preserve"> </w:t>
      </w:r>
      <w:r>
        <w:t xml:space="preserve">In one 8 × 12 array of 96 pins, the tallest and shortest pins differed by</w:t>
      </w:r>
      <w:r>
        <w:t xml:space="preserve"> </w:t>
      </w:r>
      <w:r>
        <w:t xml:space="preserve">116 µm (Supplementary Table S1).</w:t>
      </w:r>
    </w:p>
    <w:p>
      <w:pPr>
        <w:pStyle w:val="FirstParagraph"/>
      </w:pPr>
      <w:r>
        <w:t xml:space="preserve">Routine inspection before bonding:</w:t>
      </w:r>
    </w:p>
    <w:p>
      <w:pPr>
        <w:pStyle w:val="Compact"/>
        <w:numPr>
          <w:ilvl w:val="0"/>
          <w:numId w:val="1018"/>
        </w:numPr>
      </w:pPr>
      <w:r>
        <w:t xml:space="preserve">Confirm that inserts remain in their intended array positions.</w:t>
      </w:r>
    </w:p>
    <w:p>
      <w:pPr>
        <w:pStyle w:val="Compact"/>
        <w:numPr>
          <w:ilvl w:val="0"/>
          <w:numId w:val="1018"/>
        </w:numPr>
      </w:pPr>
      <w:r>
        <w:t xml:space="preserve">Confirm that pins are intact and free of resin debris.</w:t>
      </w:r>
    </w:p>
    <w:p>
      <w:pPr>
        <w:pStyle w:val="Compact"/>
        <w:numPr>
          <w:ilvl w:val="0"/>
          <w:numId w:val="1018"/>
        </w:numPr>
      </w:pPr>
      <w:r>
        <w:t xml:space="preserve">Confirm that the compressible clamping layers allow all pins to seat despite</w:t>
      </w:r>
      <w:r>
        <w:t xml:space="preserve"> </w:t>
      </w:r>
      <w:r>
        <w:t xml:space="preserve">the measured differences in height.</w:t>
      </w:r>
    </w:p>
    <w:bookmarkEnd w:id="83"/>
    <w:bookmarkStart w:id="84" w:name="d.-bond-inserts-to-the-su-8suex-wafer"/>
    <w:p>
      <w:pPr>
        <w:pStyle w:val="Heading2"/>
      </w:pPr>
      <w:r>
        <w:t xml:space="preserve">D. Bond inserts to the SU-8/SUEX wafer</w:t>
      </w:r>
    </w:p>
    <w:p>
      <w:pPr>
        <w:pStyle w:val="Compact"/>
        <w:numPr>
          <w:ilvl w:val="0"/>
          <w:numId w:val="1019"/>
        </w:numPr>
      </w:pPr>
      <w:r>
        <w:t xml:space="preserve">Transfer the insert array from the resin-printer build plate to a bonding</w:t>
      </w:r>
      <w:r>
        <w:t xml:space="preserve"> </w:t>
      </w:r>
      <w:r>
        <w:t xml:space="preserve">plate suitable for clamping against the full wafer.</w:t>
      </w:r>
    </w:p>
    <w:p>
      <w:pPr>
        <w:pStyle w:val="Compact"/>
        <w:numPr>
          <w:ilvl w:val="0"/>
          <w:numId w:val="1019"/>
        </w:numPr>
      </w:pPr>
      <w:r>
        <w:t xml:space="preserve">Place a 0.03125-inch-thick, 60A EPDM rubber sheet between the fixed magnet</w:t>
      </w:r>
      <w:r>
        <w:t xml:space="preserve"> </w:t>
      </w:r>
      <w:r>
        <w:t xml:space="preserve">on the clamping build plate and the flexible metal build plate carrying</w:t>
      </w:r>
      <w:r>
        <w:t xml:space="preserve"> </w:t>
      </w:r>
      <w:r>
        <w:t xml:space="preserve">the inserts.</w:t>
      </w:r>
    </w:p>
    <w:p>
      <w:pPr>
        <w:pStyle w:val="Compact"/>
        <w:numPr>
          <w:ilvl w:val="0"/>
          <w:numId w:val="1019"/>
        </w:numPr>
      </w:pPr>
      <w:r>
        <w:t xml:space="preserve">Apply EPO-TEK 301-2 epoxy in excess to the underside cavity on the pin side</w:t>
      </w:r>
      <w:r>
        <w:t xml:space="preserve"> </w:t>
      </w:r>
      <w:r>
        <w:t xml:space="preserve">of each insert.</w:t>
      </w:r>
    </w:p>
    <w:p>
      <w:pPr>
        <w:pStyle w:val="Compact"/>
        <w:numPr>
          <w:ilvl w:val="0"/>
          <w:numId w:val="1019"/>
        </w:numPr>
      </w:pPr>
      <w:r>
        <w:t xml:space="preserve">Place the wafer with SU-8/SUEX features facing the insert pins.</w:t>
      </w:r>
    </w:p>
    <w:p>
      <w:pPr>
        <w:pStyle w:val="Compact"/>
        <w:numPr>
          <w:ilvl w:val="0"/>
          <w:numId w:val="1019"/>
        </w:numPr>
      </w:pPr>
      <w:r>
        <w:t xml:space="preserve">Align the wafer until all insert pins seat into their corresponding SUEX</w:t>
      </w:r>
      <w:r>
        <w:t xml:space="preserve"> </w:t>
      </w:r>
      <w:r>
        <w:t xml:space="preserve">alignment holes.</w:t>
      </w:r>
    </w:p>
    <w:p>
      <w:pPr>
        <w:pStyle w:val="Compact"/>
        <w:numPr>
          <w:ilvl w:val="0"/>
          <w:numId w:val="1019"/>
        </w:numPr>
      </w:pPr>
      <w:r>
        <w:t xml:space="preserve">Place a second flat plate above the wafer and clamp the stack to spread epoxy</w:t>
      </w:r>
      <w:r>
        <w:t xml:space="preserve"> </w:t>
      </w:r>
      <w:r>
        <w:t xml:space="preserve">at the insert-wafer interface.</w:t>
      </w:r>
    </w:p>
    <w:p>
      <w:pPr>
        <w:pStyle w:val="Compact"/>
        <w:numPr>
          <w:ilvl w:val="0"/>
          <w:numId w:val="1019"/>
        </w:numPr>
      </w:pPr>
      <w:r>
        <w:t xml:space="preserve">Submerge the clamped assembly in acetone for 1 min.</w:t>
      </w:r>
    </w:p>
    <w:p>
      <w:pPr>
        <w:pStyle w:val="Compact"/>
        <w:numPr>
          <w:ilvl w:val="0"/>
          <w:numId w:val="1019"/>
        </w:numPr>
      </w:pPr>
      <w:r>
        <w:t xml:space="preserve">Transfer to a fresh acetone bath for a second 1 min wash.</w:t>
      </w:r>
    </w:p>
    <w:p>
      <w:pPr>
        <w:pStyle w:val="Compact"/>
        <w:numPr>
          <w:ilvl w:val="0"/>
          <w:numId w:val="1019"/>
        </w:numPr>
      </w:pPr>
      <w:r>
        <w:t xml:space="preserve">Blow-dry the assembly thoroughly with dry air until the joints and nearby</w:t>
      </w:r>
      <w:r>
        <w:t xml:space="preserve"> </w:t>
      </w:r>
      <w:r>
        <w:t xml:space="preserve">mold features are as dry and visibly clear as possible.</w:t>
      </w:r>
    </w:p>
    <w:p>
      <w:pPr>
        <w:pStyle w:val="Compact"/>
        <w:numPr>
          <w:ilvl w:val="0"/>
          <w:numId w:val="1019"/>
        </w:numPr>
      </w:pPr>
      <w:r>
        <w:t xml:space="preserve">Cure the clamped assembly at room temperature for 48 h.</w:t>
      </w:r>
    </w:p>
    <w:p>
      <w:pPr>
        <w:pStyle w:val="Compact"/>
        <w:numPr>
          <w:ilvl w:val="0"/>
          <w:numId w:val="1019"/>
        </w:numPr>
      </w:pPr>
      <w:r>
        <w:t xml:space="preserve">After cure, sonicate the bonded insert-wafer assembly in acetone for 10 min</w:t>
      </w:r>
      <w:r>
        <w:t xml:space="preserve"> </w:t>
      </w:r>
      <w:r>
        <w:t xml:space="preserve">to remove residual material.</w:t>
      </w:r>
    </w:p>
    <w:p>
      <w:pPr>
        <w:pStyle w:val="Compact"/>
        <w:numPr>
          <w:ilvl w:val="0"/>
          <w:numId w:val="1019"/>
        </w:numPr>
      </w:pPr>
      <w:r>
        <w:t xml:space="preserve">Release the bonded insert array from the transfer fixture by flexing the</w:t>
      </w:r>
      <w:r>
        <w:t xml:space="preserve"> </w:t>
      </w:r>
      <w:r>
        <w:t xml:space="preserve">flexible metal build plate while preserving the insert-wafer bond.</w:t>
      </w:r>
    </w:p>
    <w:p>
      <w:pPr>
        <w:pStyle w:val="FirstParagraph"/>
      </w:pPr>
      <w:r>
        <w:t xml:space="preserve">Routine inspection after bonding:</w:t>
      </w:r>
    </w:p>
    <w:p>
      <w:pPr>
        <w:pStyle w:val="Compact"/>
        <w:numPr>
          <w:ilvl w:val="0"/>
          <w:numId w:val="1020"/>
        </w:numPr>
      </w:pPr>
      <w:r>
        <w:t xml:space="preserve">Confirm that all inserts remain bonded.</w:t>
      </w:r>
    </w:p>
    <w:p>
      <w:pPr>
        <w:pStyle w:val="Compact"/>
        <w:numPr>
          <w:ilvl w:val="0"/>
          <w:numId w:val="1020"/>
        </w:numPr>
      </w:pPr>
      <w:r>
        <w:t xml:space="preserve">Confirm that all pins are visibly seated in their alignment holes across the</w:t>
      </w:r>
      <w:r>
        <w:t xml:space="preserve"> </w:t>
      </w:r>
      <w:r>
        <w:t xml:space="preserve">array.</w:t>
      </w:r>
    </w:p>
    <w:p>
      <w:pPr>
        <w:pStyle w:val="Compact"/>
        <w:numPr>
          <w:ilvl w:val="0"/>
          <w:numId w:val="1020"/>
        </w:numPr>
      </w:pPr>
      <w:r>
        <w:t xml:space="preserve">Confirm that the wafer remains intact after release from the bonding stack.</w:t>
      </w:r>
    </w:p>
    <w:bookmarkEnd w:id="84"/>
    <w:bookmarkStart w:id="85" w:name="e.-parylene-coat-the-hybrid-mold"/>
    <w:p>
      <w:pPr>
        <w:pStyle w:val="Heading2"/>
      </w:pPr>
      <w:r>
        <w:t xml:space="preserve">E. Parylene coat the hybrid mold</w:t>
      </w:r>
    </w:p>
    <w:p>
      <w:pPr>
        <w:pStyle w:val="Compact"/>
        <w:numPr>
          <w:ilvl w:val="0"/>
          <w:numId w:val="1021"/>
        </w:numPr>
      </w:pPr>
      <w:r>
        <w:t xml:space="preserve">Coat the bonded hybrid mold with 1 µm parylene C.</w:t>
      </w:r>
    </w:p>
    <w:p>
      <w:pPr>
        <w:pStyle w:val="Compact"/>
        <w:numPr>
          <w:ilvl w:val="0"/>
          <w:numId w:val="1021"/>
        </w:numPr>
      </w:pPr>
      <w:r>
        <w:t xml:space="preserve">Use a local parylene coater or send the completed hybrid mold to an external</w:t>
      </w:r>
      <w:r>
        <w:t xml:space="preserve"> </w:t>
      </w:r>
      <w:r>
        <w:t xml:space="preserve">university core or commercial coating service.</w:t>
      </w:r>
    </w:p>
    <w:p>
      <w:pPr>
        <w:pStyle w:val="Compact"/>
        <w:numPr>
          <w:ilvl w:val="0"/>
          <w:numId w:val="1021"/>
        </w:numPr>
      </w:pPr>
      <w:r>
        <w:t xml:space="preserve">After coating, store and handle the mold as a reusable wafer-scale mold for</w:t>
      </w:r>
      <w:r>
        <w:t xml:space="preserve"> </w:t>
      </w:r>
      <w:r>
        <w:t xml:space="preserve">PDMS casting.</w:t>
      </w:r>
    </w:p>
    <w:p>
      <w:pPr>
        <w:pStyle w:val="FirstParagraph"/>
      </w:pPr>
      <w:r>
        <w:t xml:space="preserve">Routine inspection during the first casting cycle:</w:t>
      </w:r>
    </w:p>
    <w:p>
      <w:pPr>
        <w:pStyle w:val="Compact"/>
        <w:numPr>
          <w:ilvl w:val="0"/>
          <w:numId w:val="1022"/>
        </w:numPr>
      </w:pPr>
      <w:r>
        <w:t xml:space="preserve">Confirm that the parylene-coated mold releases PDMS.</w:t>
      </w:r>
    </w:p>
    <w:p>
      <w:pPr>
        <w:pStyle w:val="Compact"/>
        <w:numPr>
          <w:ilvl w:val="0"/>
          <w:numId w:val="1022"/>
        </w:numPr>
      </w:pPr>
      <w:r>
        <w:t xml:space="preserve">Confirm that the cast wells are open after demolding.</w:t>
      </w:r>
    </w:p>
    <w:p>
      <w:pPr>
        <w:pStyle w:val="Compact"/>
        <w:numPr>
          <w:ilvl w:val="0"/>
          <w:numId w:val="1022"/>
        </w:numPr>
      </w:pPr>
      <w:r>
        <w:t xml:space="preserve">Confirm that the cast retains the intended well features.</w:t>
      </w:r>
    </w:p>
    <w:p>
      <w:pPr>
        <w:pStyle w:val="FirstParagraph"/>
      </w:pPr>
      <w:r>
        <w:t xml:space="preserve">Microscopy confirmed open channels after coating and casting. Specified</w:t>
      </w:r>
      <w:r>
        <w:t xml:space="preserve"> </w:t>
      </w:r>
      <w:r>
        <w:t xml:space="preserve">microchannel dimensions in the manuscript and design tables refer to the</w:t>
      </w:r>
      <w:r>
        <w:t xml:space="preserve"> </w:t>
      </w:r>
      <w:r>
        <w:t xml:space="preserve">design dimensions before parylene coating.</w:t>
      </w:r>
    </w:p>
    <w:bookmarkEnd w:id="85"/>
    <w:bookmarkEnd w:id="86"/>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2026-10-02T18:58:59Z</dcterms:created>
  <dcterms:modified xsi:type="dcterms:W3CDTF">2026-10-02T18:58:59Z</dcterms:modified>
</cp:coreProperties>
</file>

<file path=docProps/custom.xml><?xml version="1.0" encoding="utf-8"?>
<Properties xmlns="http://schemas.openxmlformats.org/officeDocument/2006/custom-properties" xmlns:vt="http://schemas.openxmlformats.org/officeDocument/2006/docPropsVTypes"/>
</file>