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9AF978" w14:textId="77777777" w:rsidR="006C5731" w:rsidRPr="00DC1364" w:rsidRDefault="00000000" w:rsidP="00393B68">
      <w:pPr>
        <w:pStyle w:val="Heading1"/>
        <w:snapToGrid w:val="0"/>
        <w:spacing w:before="120" w:after="120"/>
        <w:jc w:val="both"/>
        <w:rPr>
          <w:rFonts w:ascii="Times New Roman" w:hAnsi="Times New Roman" w:cs="Times New Roman"/>
          <w:b/>
          <w:bCs/>
          <w:color w:val="000000" w:themeColor="text1"/>
          <w:sz w:val="24"/>
          <w:szCs w:val="24"/>
        </w:rPr>
      </w:pPr>
      <w:bookmarkStart w:id="0" w:name="X12ceffc4b83d42aed657f07f53ebec7c842ece4"/>
      <w:r w:rsidRPr="00DC1364">
        <w:rPr>
          <w:rFonts w:ascii="Times New Roman" w:hAnsi="Times New Roman" w:cs="Times New Roman"/>
          <w:b/>
          <w:bCs/>
          <w:color w:val="000000" w:themeColor="text1"/>
          <w:sz w:val="24"/>
          <w:szCs w:val="24"/>
        </w:rPr>
        <w:t>Plate-format PDMS microfluidic culture devices from hybrid SU-8/3D-printed resin wafer molds</w:t>
      </w:r>
    </w:p>
    <w:p w14:paraId="2974F8BB" w14:textId="77777777" w:rsidR="001C2B3F" w:rsidRDefault="001C2B3F" w:rsidP="00393B68">
      <w:pPr>
        <w:pStyle w:val="FirstParagraph"/>
        <w:snapToGrid w:val="0"/>
        <w:spacing w:before="120" w:after="120"/>
        <w:jc w:val="both"/>
        <w:rPr>
          <w:rFonts w:ascii="Times New Roman" w:hAnsi="Times New Roman" w:cs="Times New Roman"/>
          <w:b/>
          <w:bCs/>
        </w:rPr>
      </w:pPr>
    </w:p>
    <w:p w14:paraId="2278DF55" w14:textId="40D1EE9C" w:rsidR="001C2B3F" w:rsidRPr="001C2B3F" w:rsidRDefault="00000000" w:rsidP="00393B68">
      <w:pPr>
        <w:pStyle w:val="FirstParagraph"/>
        <w:snapToGrid w:val="0"/>
        <w:spacing w:before="120" w:after="120"/>
        <w:jc w:val="both"/>
        <w:rPr>
          <w:rFonts w:ascii="Times New Roman" w:hAnsi="Times New Roman" w:cs="Times New Roman"/>
          <w:b/>
          <w:bCs/>
        </w:rPr>
      </w:pPr>
      <w:r w:rsidRPr="001C2B3F">
        <w:rPr>
          <w:rFonts w:ascii="Times New Roman" w:hAnsi="Times New Roman" w:cs="Times New Roman"/>
        </w:rPr>
        <w:t>Tristan Simas</w:t>
      </w:r>
      <w:r w:rsidR="001C2B3F" w:rsidRPr="001C2B3F">
        <w:rPr>
          <w:rFonts w:ascii="Times New Roman" w:hAnsi="Times New Roman" w:cs="Times New Roman"/>
          <w:vertAlign w:val="superscript"/>
        </w:rPr>
        <w:t>1,#</w:t>
      </w:r>
      <w:r w:rsidRPr="001C2B3F">
        <w:rPr>
          <w:rFonts w:ascii="Times New Roman" w:hAnsi="Times New Roman" w:cs="Times New Roman"/>
          <w:vertAlign w:val="superscript"/>
        </w:rPr>
        <w:t xml:space="preserve">, </w:t>
      </w:r>
      <w:r w:rsidRPr="001C2B3F">
        <w:rPr>
          <w:rFonts w:ascii="Times New Roman" w:hAnsi="Times New Roman" w:cs="Times New Roman"/>
        </w:rPr>
        <w:t>Yonatan Morocz</w:t>
      </w:r>
      <w:r w:rsidR="001C2B3F" w:rsidRPr="001C2B3F">
        <w:rPr>
          <w:rFonts w:ascii="Times New Roman" w:hAnsi="Times New Roman" w:cs="Times New Roman"/>
          <w:vertAlign w:val="superscript"/>
        </w:rPr>
        <w:t>2</w:t>
      </w:r>
      <w:r w:rsidRPr="001C2B3F">
        <w:rPr>
          <w:rFonts w:ascii="Times New Roman" w:hAnsi="Times New Roman" w:cs="Times New Roman"/>
        </w:rPr>
        <w:t>, Jathav Puvirajan</w:t>
      </w:r>
      <w:r w:rsidR="001C2B3F" w:rsidRPr="001C2B3F">
        <w:rPr>
          <w:rFonts w:ascii="Times New Roman" w:hAnsi="Times New Roman" w:cs="Times New Roman"/>
          <w:vertAlign w:val="superscript"/>
        </w:rPr>
        <w:t>1</w:t>
      </w:r>
      <w:r w:rsidRPr="001C2B3F">
        <w:rPr>
          <w:rFonts w:ascii="Times New Roman" w:hAnsi="Times New Roman" w:cs="Times New Roman"/>
        </w:rPr>
        <w:t>, David Juncker</w:t>
      </w:r>
      <w:r w:rsidR="001C2B3F" w:rsidRPr="001C2B3F">
        <w:rPr>
          <w:rFonts w:ascii="Times New Roman" w:hAnsi="Times New Roman" w:cs="Times New Roman"/>
          <w:vertAlign w:val="superscript"/>
        </w:rPr>
        <w:t>2</w:t>
      </w:r>
      <w:r w:rsidRPr="001C2B3F">
        <w:rPr>
          <w:rFonts w:ascii="Times New Roman" w:hAnsi="Times New Roman" w:cs="Times New Roman"/>
        </w:rPr>
        <w:t>, and Alyson Fournier</w:t>
      </w:r>
      <w:r w:rsidR="001C2B3F" w:rsidRPr="001C2B3F">
        <w:rPr>
          <w:rFonts w:ascii="Times New Roman" w:hAnsi="Times New Roman" w:cs="Times New Roman"/>
          <w:vertAlign w:val="superscript"/>
        </w:rPr>
        <w:t>1</w:t>
      </w:r>
      <w:r w:rsidRPr="001C2B3F">
        <w:rPr>
          <w:rFonts w:ascii="Times New Roman" w:hAnsi="Times New Roman" w:cs="Times New Roman"/>
        </w:rPr>
        <w:br/>
      </w:r>
    </w:p>
    <w:p w14:paraId="569633BE"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2273807F"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4415450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1</w:t>
      </w:r>
      <w:r w:rsidRPr="001C2B3F">
        <w:rPr>
          <w:rFonts w:ascii="Times New Roman" w:hAnsi="Times New Roman" w:cs="Times New Roman"/>
        </w:rPr>
        <w:t xml:space="preserve">Department of Neurology and Neurosurgery, Montréal Neurological Institute, McGill University, Montréal, Québec, Canada </w:t>
      </w:r>
    </w:p>
    <w:p w14:paraId="7F06F769" w14:textId="18A84ABE"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2</w:t>
      </w:r>
      <w:r w:rsidRPr="001C2B3F">
        <w:rPr>
          <w:rFonts w:ascii="Times New Roman" w:hAnsi="Times New Roman" w:cs="Times New Roman"/>
        </w:rPr>
        <w:t>Victor Phillip Dahdaleh Institute of Genomic Medicine, McGill University, Montréal, QC, Canada.</w:t>
      </w:r>
    </w:p>
    <w:p w14:paraId="494E625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rPr>
        <w:t xml:space="preserve">#Corresponding author </w:t>
      </w:r>
    </w:p>
    <w:p w14:paraId="79EC4A30" w14:textId="77777777" w:rsidR="00DC1364" w:rsidRDefault="00DC1364" w:rsidP="00393B68">
      <w:pPr>
        <w:snapToGrid w:val="0"/>
        <w:spacing w:before="120" w:after="120"/>
        <w:jc w:val="both"/>
        <w:rPr>
          <w:rFonts w:ascii="Times New Roman" w:eastAsiaTheme="majorEastAsia" w:hAnsi="Times New Roman" w:cs="Times New Roman"/>
          <w:color w:val="000000" w:themeColor="text1"/>
        </w:rPr>
      </w:pPr>
      <w:bookmarkStart w:id="1" w:name="abstract"/>
      <w:r>
        <w:rPr>
          <w:rFonts w:ascii="Times New Roman" w:hAnsi="Times New Roman" w:cs="Times New Roman"/>
          <w:color w:val="000000" w:themeColor="text1"/>
        </w:rPr>
        <w:br w:type="page"/>
      </w:r>
    </w:p>
    <w:p w14:paraId="5F2BAB0F" w14:textId="3E8E735B" w:rsidR="006C5731" w:rsidRPr="00DC1364" w:rsidRDefault="00000000" w:rsidP="00393B68">
      <w:pPr>
        <w:pStyle w:val="Heading2"/>
        <w:snapToGrid w:val="0"/>
        <w:spacing w:before="120" w:after="120"/>
        <w:jc w:val="both"/>
        <w:rPr>
          <w:rFonts w:ascii="Times New Roman" w:hAnsi="Times New Roman" w:cs="Times New Roman"/>
          <w:b/>
          <w:bCs/>
          <w:color w:val="000000" w:themeColor="text1"/>
          <w:sz w:val="24"/>
          <w:szCs w:val="24"/>
        </w:rPr>
      </w:pPr>
      <w:r w:rsidRPr="00DC1364">
        <w:rPr>
          <w:rFonts w:ascii="Times New Roman" w:hAnsi="Times New Roman" w:cs="Times New Roman"/>
          <w:b/>
          <w:bCs/>
          <w:color w:val="000000" w:themeColor="text1"/>
          <w:sz w:val="24"/>
          <w:szCs w:val="24"/>
        </w:rPr>
        <w:lastRenderedPageBreak/>
        <w:t>Abstract</w:t>
      </w:r>
    </w:p>
    <w:p w14:paraId="49F4D535" w14:textId="6B4472A2" w:rsidR="00DC1364" w:rsidRDefault="00DC1364" w:rsidP="00393B68">
      <w:pPr>
        <w:pStyle w:val="NormalWeb"/>
        <w:snapToGrid w:val="0"/>
        <w:spacing w:before="120" w:beforeAutospacing="0" w:after="120" w:afterAutospacing="0"/>
        <w:jc w:val="both"/>
      </w:pPr>
      <w:bookmarkStart w:id="2" w:name="introduction"/>
      <w:bookmarkEnd w:id="1"/>
      <w:r>
        <w:t xml:space="preserve">Microfluidic cell-culture platforms combine fine channels with pipette-accessible wells, but producing these features at different scales can require labor-intensive fabrication and assembly. This challenge is particularly relevant to neuronal assays, which use fine channels to connect spatially separated culture compartments. Here, we present an open-source, hybrid microfabrication strategy for producing reusable silicon-wafer molds that integrate photolithographically defined microchannels with structures produced by three-dimensional (3D) printing for simultaneous formation of culture wells. A parametric design framework, </w:t>
      </w:r>
      <w:commentRangeStart w:id="3"/>
      <w:r>
        <w:t>OpenMFD</w:t>
      </w:r>
      <w:commentRangeEnd w:id="3"/>
      <w:r w:rsidR="00C20783">
        <w:rPr>
          <w:rStyle w:val="CommentReference"/>
          <w:sz w:val="24"/>
          <w:szCs w:val="24"/>
        </w:rPr>
        <w:commentReference w:id="3"/>
      </w:r>
      <w:r>
        <w:t xml:space="preserve">, generates coordinated photomasks and three-dimensional insert arrays, enabling array-scale alignment and simultaneous bonding of millimeter-scale structures to wafers patterned with SU-8 and SUEX photoresists. As an example application, we fabricated polydimethylsiloxane (PDMS) culture plates containing 48 compartmentalized devices arranged on a standard microplate grid, eliminating individual well punching during device production. </w:t>
      </w:r>
      <w:r w:rsidR="00C20783">
        <w:t xml:space="preserve">Devices supported multichannel liquid handling, automated high-content imaging, directional tracer movement, primary cortical neuron culture and retrograde axonal labeling.</w:t>
      </w:r>
      <w:r>
        <w:t xml:space="preserve"> OpenMFD also generated matching fabrication files for alternative compartment layouts.</w:t>
      </w:r>
    </w:p>
    <w:p w14:paraId="354A8CF6" w14:textId="77777777" w:rsidR="00FF79FD" w:rsidRDefault="00FF79FD" w:rsidP="00393B68">
      <w:pPr>
        <w:snapToGrid w:val="0"/>
        <w:spacing w:before="120" w:after="120"/>
        <w:jc w:val="both"/>
      </w:pPr>
      <w:bookmarkStart w:id="4" w:name="materials-and-methods"/>
      <w:bookmarkEnd w:id="2"/>
      <w:r>
        <w:rPr>
          <w:rFonts w:ascii="Times New Roman" w:eastAsia="Times New Roman" w:hAnsi="Times New Roman" w:cs="Times New Roman"/>
          <w:b/>
          <w:color w:val="000000"/>
        </w:rPr>
        <w:t>Introduction</w:t>
      </w:r>
    </w:p>
    <w:p w14:paraId="080E8A71" w14:textId="77777777" w:rsidR="00FF79FD" w:rsidRDefault="00FF79FD" w:rsidP="00393B68">
      <w:pPr>
        <w:snapToGrid w:val="0"/>
        <w:spacing w:before="120" w:after="120"/>
        <w:jc w:val="both"/>
      </w:pPr>
      <w:r>
        <w:rPr>
          <w:rFonts w:ascii="Times New Roman" w:eastAsia="Times New Roman" w:hAnsi="Times New Roman" w:cs="Times New Roman"/>
          <w:color w:val="000000"/>
        </w:rPr>
        <w:t xml:space="preserve">Compartmentalized neuronal cultures enable independent access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 (PMID: 26000554), localized neuron–glia interactions (PMID: 22828584) and modular neuronal culture models (PMID: 35466333). The geometry of connecting microchannels also influences device performance and the study of communication between neuronal populations (PMID: 36111641).</w:t>
      </w:r>
    </w:p>
    <w:p w14:paraId="30E1D90F" w14:textId="408B6B30" w:rsidR="00FF79FD" w:rsidRDefault="00FF79FD" w:rsidP="00393B68">
      <w:pPr>
        <w:snapToGrid w:val="0"/>
        <w:spacing w:before="120" w:after="120"/>
        <w:jc w:val="both"/>
      </w:pPr>
      <w:commentRangeStart w:id="5"/>
      <w:r>
        <w:rPr>
          <w:rFonts w:ascii="Times New Roman" w:eastAsia="Times New Roman" w:hAnsi="Times New Roman" w:cs="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w:t>
      </w:r>
      <w:r>
        <w:rPr>
          <w:rFonts w:ascii="Times New Roman" w:eastAsia="Times New Roman" w:hAnsi="Times New Roman" w:cs="Times New Roman"/>
          <w:color w:val="000000"/>
        </w:rPr>
        <w:t>ing</w:t>
      </w:r>
      <w:r>
        <w:rPr>
          <w:rFonts w:ascii="Times New Roman" w:eastAsia="Times New Roman" w:hAnsi="Times New Roman" w:cs="Times New Roman"/>
          <w:color w:val="000000"/>
        </w:rPr>
        <w:t xml:space="preserve"> experimental flexibility</w:t>
      </w:r>
      <w:r>
        <w:rPr>
          <w:rFonts w:ascii="Times New Roman" w:eastAsia="Times New Roman" w:hAnsi="Times New Roman" w:cs="Times New Roman"/>
          <w:color w:val="000000"/>
        </w:rPr>
        <w:t xml:space="preserve"> include</w:t>
      </w:r>
      <w:r>
        <w:rPr>
          <w:rFonts w:ascii="Times New Roman" w:eastAsia="Times New Roman" w:hAnsi="Times New Roman" w:cs="Times New Roman"/>
          <w:color w:val="000000"/>
        </w:rPr>
        <w:t xml:space="preserve"> modular microfluidic units that can be combined into customizable neuronal culture configurations (PMID: 35466333), whereas fluid-walled chambers support human neuronal microcircuits and moderate-throughput axotomy assays (PMID: 38841815)</w:t>
      </w:r>
      <w:r>
        <w:rPr>
          <w:rFonts w:ascii="Times New Roman" w:eastAsia="Times New Roman" w:hAnsi="Times New Roman" w:cs="Times New Roman"/>
          <w:color w:val="000000"/>
        </w:rPr>
        <w:t xml:space="preserve"/>
      </w:r>
      <w:r>
        <w:rPr>
          <w:rFonts w:ascii="Times New Roman" w:eastAsia="Times New Roman" w:hAnsi="Times New Roman" w:cs="Times New Roman"/>
          <w:color w:val="000000"/>
        </w:rPr>
        <w:t xml:space="preserve">.</w:t>
      </w:r>
      <w:commentRangeEnd w:id="5"/>
      <w:r>
        <w:rPr>
          <w:rStyle w:val="CommentReference"/>
          <w:rFonts w:ascii="Times New Roman" w:eastAsia="Times New Roman" w:hAnsi="Times New Roman" w:cs="Times New Roman"/>
          <w:color w:val="000000"/>
          <w:sz w:val="24"/>
          <w:szCs w:val="24"/>
        </w:rPr>
        <w:commentReference w:id="5"/>
      </w:r>
      <w:r>
        <w:rPr>
          <w:rFonts w:ascii="Times New Roman" w:eastAsia="Times New Roman" w:hAnsi="Times New Roman" w:cs="Times New Roman"/>
          <w:color w:val="000000"/>
        </w:rPr>
        <w:t xml:space="preserve"/>
      </w:r>
    </w:p>
    <w:p w14:paraId="7E81D1AB" w14:textId="77777777" w:rsidR="00FD41C8" w:rsidRDefault="00FF79FD" w:rsidP="00393B68">
      <w:pPr>
        <w:pStyle w:val="NormalWeb"/>
        <w:snapToGrid w:val="0"/>
        <w:spacing w:before="120" w:beforeAutospacing="0" w:after="120" w:afterAutospacing="0"/>
        <w:jc w:val="both"/>
      </w:pPr>
      <w:r>
        <w:rPr>
          <w:color w:val="000000"/>
        </w:rPr>
        <w:t xml:space="preserve">A persistent fabrication challenge in microfluidic cell culture is the integration of micrometer-scale channels, which control access and local fluid movement between compartments, with millimeter-scale reservoirs that permit </w:t>
      </w:r>
      <w:r>
        <w:rPr>
          <w:color w:val="000000"/>
        </w:rPr>
        <w:lastRenderedPageBreak/>
        <w:t xml:space="preserve">straightforward cell seeding and pipetting. Conventional PDMS soft lithography can reproduce photolithographically defined microfeatures, but culture reservoirs are often opened individually after casting. Fine channel-forming features, such as the 10 µm widths designed here, can fall below the practical resolution of desktop resin printers. Photolithography provides these fine features, while printed structures form the larger wells (PMID: 40190179). Fabrication approaches differ in the equipment and operations required to combine these scales (Supplementary Table S2). </w:t>
      </w:r>
      <w:r w:rsidR="00FD41C8">
        <w:rPr>
          <w:color w:val="000000"/>
        </w:rPr>
        <w:t>T</w:t>
      </w:r>
      <w:r>
        <w:rPr>
          <w:color w:val="000000"/>
        </w:rPr>
        <w:t>his mismatch</w:t>
      </w:r>
      <w:r w:rsidR="00FD41C8">
        <w:rPr>
          <w:color w:val="000000"/>
        </w:rPr>
        <w:t xml:space="preserve"> has previously been addressed</w:t>
      </w:r>
      <w:r>
        <w:rPr>
          <w:color w:val="000000"/>
        </w:rPr>
        <w:t xml:space="preserve"> with h</w:t>
      </w:r>
      <w:r>
        <w:rPr>
          <w:color w:val="000000"/>
        </w:rPr>
        <w:t>ybrid micro–macro molding</w:t>
      </w:r>
      <w:r>
        <w:rPr>
          <w:color w:val="000000"/>
        </w:rPr>
        <w:t xml:space="preserve"> </w:t>
      </w:r>
      <w:r>
        <w:rPr>
          <w:color w:val="000000"/>
        </w:rPr>
        <w:t>combin</w:t>
      </w:r>
      <w:r>
        <w:rPr>
          <w:color w:val="000000"/>
        </w:rPr>
        <w:t>ing</w:t>
      </w:r>
      <w:r>
        <w:rPr>
          <w:color w:val="000000"/>
        </w:rPr>
        <w:t xml:space="preserve">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r w:rsidR="00FD41C8">
        <w:t xml:space="preserve"/>
      </w:r>
    </w:p>
    <w:p w14:paraId="3045DBEA" w14:textId="555596FD" w:rsidR="00FF79FD" w:rsidRDefault="00FF79FD" w:rsidP="00393B68">
      <w:pPr>
        <w:snapToGrid w:val="0"/>
        <w:spacing w:before="120" w:after="120"/>
        <w:jc w:val="both"/>
      </w:pPr>
      <w:r>
        <w:rPr>
          <w:rFonts w:ascii="Times New Roman" w:eastAsia="Times New Roman" w:hAnsi="Times New Roman" w:cs="Times New Roman"/>
          <w:color w:val="000000"/>
        </w:rPr>
        <w:t xml:space="preserve">For academic laboratories, access to a shared cleanroom for reusable mold fabrication can be more practical than acquiring dedicated precision molding or machining equipment (Supplementary Table S2). 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w:t>
      </w:r>
    </w:p>
    <w:p w14:paraId="031261CD" w14:textId="77777777" w:rsidR="00FF79FD" w:rsidRDefault="00FF79FD" w:rsidP="007123AE">
      <w:pPr>
        <w:snapToGrid w:val="0"/>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this combination of fine channels and pipette-accessible wells in an example neuronal application: an array of 48 two-compartment devices containing 96 wells on a standard 9 mm plate grid. We evaluate repeated casting, compatibility with multichannel pipetting and automated imaging, directional tracer movement, and primary cortical neuron culture with retrograde axonal labeling. OpenMFD also arranges alternative compartment geometries into plate-format arrays and generates their matching fabrication files. Once a mold is made, further plates can be cast and assembled on the bench without repeating cleanroom processing.</w:t>
      </w:r>
    </w:p>
    <w:p w14:paraId="2D041DF9" w14:textId="77777777" w:rsidR="007123AE" w:rsidRDefault="007123AE" w:rsidP="007123AE">
      <w:pPr>
        <w:snapToGrid w:val="0"/>
        <w:spacing w:before="120" w:after="120"/>
        <w:jc w:val="both"/>
        <w:rPr>
          <w:rFonts w:ascii="Times New Roman" w:hAnsi="Times New Roman"/>
          <w:b/>
          <w:color w:val="000000"/>
        </w:rPr>
      </w:pPr>
    </w:p>
    <w:p w14:paraId="7259A5FA" w14:textId="77777777" w:rsidR="007123AE" w:rsidRDefault="007123AE" w:rsidP="007123AE">
      <w:pPr>
        <w:snapToGrid w:val="0"/>
        <w:spacing w:before="120" w:after="120"/>
        <w:jc w:val="both"/>
        <w:rPr>
          <w:rFonts w:ascii="Times New Roman" w:hAnsi="Times New Roman"/>
          <w:b/>
          <w:color w:val="000000"/>
        </w:rPr>
      </w:pPr>
    </w:p>
    <w:p w14:paraId="0C829CE1" w14:textId="77777777" w:rsidR="007123AE" w:rsidRDefault="007123AE" w:rsidP="007123AE">
      <w:pPr>
        <w:snapToGrid w:val="0"/>
        <w:spacing w:before="120" w:after="120"/>
        <w:jc w:val="both"/>
        <w:rPr>
          <w:rFonts w:ascii="Times New Roman" w:hAnsi="Times New Roman"/>
          <w:b/>
          <w:color w:val="000000"/>
        </w:rPr>
      </w:pPr>
    </w:p>
    <w:p w14:paraId="05890841" w14:textId="77777777" w:rsidR="007123AE" w:rsidRDefault="007123AE" w:rsidP="007123AE">
      <w:pPr>
        <w:snapToGrid w:val="0"/>
        <w:spacing w:before="120" w:after="120"/>
        <w:jc w:val="both"/>
        <w:rPr>
          <w:rFonts w:ascii="Times New Roman" w:hAnsi="Times New Roman"/>
          <w:b/>
          <w:color w:val="000000"/>
        </w:rPr>
      </w:pPr>
    </w:p>
    <w:p w14:paraId="1DA99D86" w14:textId="77777777" w:rsidR="007123AE" w:rsidRDefault="007123AE" w:rsidP="007123AE">
      <w:pPr>
        <w:snapToGrid w:val="0"/>
        <w:spacing w:before="120" w:after="120"/>
        <w:jc w:val="both"/>
        <w:rPr>
          <w:rFonts w:ascii="Times New Roman" w:hAnsi="Times New Roman"/>
          <w:b/>
          <w:color w:val="000000"/>
        </w:rPr>
      </w:pPr>
    </w:p>
    <w:p w14:paraId="791444F6" w14:textId="77777777" w:rsidR="007123AE" w:rsidRDefault="007123AE" w:rsidP="007123AE">
      <w:pPr>
        <w:snapToGrid w:val="0"/>
        <w:spacing w:before="120" w:after="120"/>
        <w:jc w:val="both"/>
        <w:rPr>
          <w:rFonts w:ascii="Times New Roman" w:hAnsi="Times New Roman"/>
          <w:b/>
          <w:color w:val="000000"/>
        </w:rPr>
      </w:pPr>
    </w:p>
    <w:p w14:paraId="038A4163" w14:textId="0F0CCCAA" w:rsidR="007123AE" w:rsidRDefault="007123AE" w:rsidP="007123AE">
      <w:pPr>
        <w:snapToGrid w:val="0"/>
        <w:spacing w:before="120" w:after="120"/>
        <w:jc w:val="both"/>
      </w:pPr>
      <w:r>
        <w:rPr>
          <w:rFonts w:ascii="Times New Roman" w:hAnsi="Times New Roman"/>
          <w:b/>
          <w:color w:val="000000"/>
        </w:rPr>
        <w:lastRenderedPageBreak/>
        <w:t>Materials and Methods</w:t>
      </w:r>
    </w:p>
    <w:p>
      <w:pPr>
        <w:pStyle w:val="MethodsHeading"/>
        <w:snapToGrid w:val="0"/>
        <w:spacing w:before="120" w:after="120"/>
        <w:jc w:val="both"/>
        <w:rPr>
          <w:b w:val="0"/>
          <w:bCs/>
        </w:rPr>
      </w:pPr>
      <w:r>
        <w:t>Supplementary Protocol S2 describes one-time hybrid mold fabrication; Supplementary Protocol S1 describes routine casting, assembly and assays.</w:t>
      </w:r>
    </w:p>
    <w:p w14:paraId="69FB2B89" w14:textId="77777777" w:rsidR="007123AE" w:rsidRDefault="007123AE" w:rsidP="007123AE">
      <w:pPr>
        <w:pStyle w:val="MethodsHeading"/>
        <w:snapToGrid w:val="0"/>
        <w:spacing w:before="120" w:after="120"/>
        <w:jc w:val="both"/>
        <w:rPr>
          <w:b w:val="0"/>
          <w:bCs/>
        </w:rPr>
      </w:pPr>
      <w:r w:rsidRPr="00393B68">
        <w:rPr>
          <w:b w:val="0"/>
          <w:bCs/>
          <w:i/>
          <w:iCs/>
        </w:rPr>
        <w:t>Parametric design and fabrication-file generation</w:t>
      </w:r>
      <w:r>
        <w:rPr>
          <w:b w:val="0"/>
          <w:bCs/>
          <w:i/>
          <w:iCs/>
        </w:rPr>
        <w:t xml:space="preserve"> - </w:t>
      </w:r>
      <w:r w:rsidRPr="00393B68">
        <w:rPr>
          <w:b w:val="0"/>
          <w:bCs/>
        </w:rPr>
        <w:t xml:space="preserve">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Drawing Exchange Format (DXF) mask drawings for each layer and three-dimensional stereolithography (STL)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14:paraId="63C205ED" w14:textId="77777777" w:rsidR="007123AE" w:rsidRDefault="007123AE" w:rsidP="007123AE">
      <w:pPr>
        <w:snapToGrid w:val="0"/>
        <w:spacing w:before="120" w:after="120"/>
        <w:jc w:val="both"/>
      </w:pPr>
      <w:r>
        <w:rPr>
          <w:rFonts w:ascii="Times New Roman" w:hAnsi="Times New Roman"/>
          <w:color w:val="000000"/>
        </w:rPr>
        <w:t>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nominal device, channel, pin, taper, and frame dimensions used to generate the fabrication files.</w:t>
      </w:r>
    </w:p>
    <w:p w14:paraId="256A492A" w14:textId="77777777" w:rsidR="007123AE" w:rsidRDefault="007123AE" w:rsidP="007123AE">
      <w:pPr>
        <w:snapToGrid w:val="0"/>
        <w:spacing w:before="120" w:after="120"/>
        <w:jc w:val="both"/>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14:paraId="79859198" w14:textId="77777777" w:rsidR="007123AE" w:rsidRDefault="007123AE" w:rsidP="007123AE">
      <w:pPr>
        <w:pStyle w:val="MethodsHeading"/>
        <w:snapToGrid w:val="0"/>
        <w:spacing w:before="120" w:after="120"/>
        <w:jc w:val="both"/>
      </w:pPr>
      <w:r w:rsidRPr="00393B68">
        <w:rPr>
          <w:b w:val="0"/>
          <w:bCs/>
          <w:i/>
          <w:iCs/>
        </w:rPr>
        <w:t>Fabrication of hybrid SU-8/SUEX and 3D-printed wafer mold</w:t>
      </w:r>
      <w:r>
        <w:rPr>
          <w:b w:val="0"/>
          <w:bCs/>
          <w:i/>
          <w:iCs/>
        </w:rPr>
        <w:t xml:space="preserve">s - </w:t>
      </w:r>
      <w:r>
        <w:rPr>
          <w:b w:val="0"/>
          <w:szCs w:val="24"/>
          <w:lang w:eastAsia="zh-CN"/>
        </w:rPr>
        <w:t>T</w:t>
      </w:r>
      <w:r w:rsidRPr="00393B68">
        <w:rPr>
          <w:b w:val="0"/>
          <w:bCs/>
        </w:rPr>
        <w:t xml:space="preserve">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hexamethyldisilazane (HMDS) adhesion-promoter treatment was used. Facility-supplied propylene glycol monomethyl ether acetate (PGMEA) was the developer solvent used to remove unexposed material from both photoresists.</w:t>
      </w:r>
    </w:p>
    <w:p w14:paraId="142F5D0C" w14:textId="77777777" w:rsidR="007123AE" w:rsidRDefault="007123AE" w:rsidP="007123AE">
      <w:pPr>
        <w:snapToGrid w:val="0"/>
        <w:spacing w:before="120" w:after="120"/>
        <w:jc w:val="both"/>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14:paraId="78114D54" w14:textId="77777777" w:rsidR="007123AE" w:rsidRDefault="007123AE" w:rsidP="007123AE">
      <w:pPr>
        <w:snapToGrid w:val="0"/>
        <w:spacing w:before="120" w:after="120"/>
        <w:jc w:val="both"/>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14:paraId="4AD083A7" w14:textId="77777777" w:rsidR="007123AE" w:rsidRDefault="007123AE" w:rsidP="007123AE">
      <w:pPr>
        <w:snapToGrid w:val="0"/>
        <w:spacing w:before="120" w:after="120"/>
        <w:jc w:val="both"/>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(UV) light. After exposure, the oven was heated from room temperature to 50°C at 1°C/min, held at 50°C for at least 12 h overnight, then switched off and allowed to cool. The wafer was submerged in developer and mixed for 20 min; the developer was replaced at 15 </w:t>
      </w:r>
      <w:r>
        <w:rPr>
          <w:rFonts w:ascii="Times New Roman" w:hAnsi="Times New Roman"/>
          <w:color w:val="000000"/>
        </w:rPr>
        <w:lastRenderedPageBreak/>
        <w:t>min. For the hard bake, the oven was heated to 120°C at 3°C/min, held for 30 min, then switched off and allowed to cool.</w:t>
      </w:r>
    </w:p>
    <w:p w14:paraId="3C578C56" w14:textId="77777777" w:rsidR="007123AE" w:rsidRDefault="007123AE" w:rsidP="007123AE">
      <w:pPr>
        <w:snapToGrid w:val="0"/>
        <w:spacing w:before="120" w:after="120"/>
        <w:jc w:val="both"/>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14:paraId="05AFA3F3" w14:textId="77777777" w:rsidR="007123AE" w:rsidRDefault="007123AE" w:rsidP="007123AE">
      <w:pPr>
        <w:snapToGrid w:val="0"/>
        <w:spacing w:before="120" w:after="120"/>
        <w:jc w:val="both"/>
      </w:pPr>
      <w:r>
        <w:rPr>
          <w:rFonts w:ascii="Times New Roman" w:hAnsi="Times New Roman"/>
          <w:color w:val="000000"/>
        </w:rPr>
        <w:t xml:space="preserve">The inserts were kept on a detachable flexible metal build plate so the whole array could be transferred at once. EPO-TEK 301-2 epoxy adhesive was applied around each pin, and the mold was positioned until the pins seated in their SUEX holes. An ethylene propylene diene monomer (EPDM)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14:paraId="3E31598D" w14:textId="77777777" w:rsidR="007123AE" w:rsidRDefault="007123AE" w:rsidP="007123AE">
      <w:pPr>
        <w:snapToGrid w:val="0"/>
        <w:spacing w:before="120" w:after="120"/>
        <w:jc w:val="both"/>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14:paraId="06453983" w14:textId="77777777" w:rsidR="007123AE" w:rsidRPr="00393B68" w:rsidRDefault="007123AE" w:rsidP="007123AE">
      <w:pPr>
        <w:pStyle w:val="MethodsHeading"/>
        <w:snapToGrid w:val="0"/>
        <w:spacing w:before="120" w:after="120"/>
        <w:jc w:val="both"/>
        <w:rPr>
          <w:b w:val="0"/>
          <w:bCs/>
          <w:i/>
          <w:iCs/>
        </w:rPr>
      </w:pPr>
      <w:r w:rsidRPr="00393B68">
        <w:rPr>
          <w:b w:val="0"/>
          <w:bCs/>
          <w:i/>
          <w:iCs/>
        </w:rPr>
        <w:t>PDMS casting and plate assembly</w:t>
      </w:r>
      <w:r>
        <w:rPr>
          <w:b w:val="0"/>
          <w:bCs/>
          <w:i/>
          <w:iCs/>
        </w:rPr>
        <w:t xml:space="preserve"> - </w:t>
      </w:r>
      <w:r w:rsidRPr="00393B68">
        <w:rPr>
          <w:b w:val="0"/>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14:paraId="5181B859" w14:textId="77777777" w:rsidR="007123AE" w:rsidRDefault="007123AE" w:rsidP="007123AE">
      <w:pPr>
        <w:snapToGrid w:val="0"/>
        <w:spacing w:before="120" w:after="120"/>
        <w:jc w:val="both"/>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14:paraId="7889FEE0" w14:textId="77777777" w:rsidR="007123AE" w:rsidRDefault="007123AE" w:rsidP="007123AE">
      <w:pPr>
        <w:snapToGrid w:val="0"/>
        <w:spacing w:before="120" w:after="120"/>
        <w:jc w:val="both"/>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14:paraId="6103E1B1" w14:textId="77777777" w:rsidR="007123AE" w:rsidRDefault="007123AE" w:rsidP="007123AE">
      <w:pPr>
        <w:snapToGrid w:val="0"/>
        <w:spacing w:before="120" w:after="120"/>
        <w:jc w:val="both"/>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14:paraId="6CF628FA" w14:textId="77777777" w:rsidR="007123AE" w:rsidRDefault="007123AE" w:rsidP="007123AE">
      <w:pPr>
        <w:snapToGrid w:val="0"/>
        <w:spacing w:before="120" w:after="120"/>
        <w:jc w:val="both"/>
      </w:pPr>
      <w:r>
        <w:rPr>
          <w:rFonts w:ascii="Times New Roman" w:hAnsi="Times New Roman"/>
          <w:color w:val="000000"/>
        </w:rPr>
        <w:lastRenderedPageBreak/>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14:paraId="3A8EEB51" w14:textId="77777777" w:rsidR="007123AE" w:rsidRDefault="007123AE" w:rsidP="007123AE">
      <w:pPr>
        <w:snapToGrid w:val="0"/>
        <w:spacing w:before="120" w:after="120"/>
        <w:jc w:val="both"/>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14:paraId="17E65CDE" w14:textId="77777777" w:rsidR="007123AE" w:rsidRPr="00393B68" w:rsidRDefault="007123AE" w:rsidP="007123AE">
      <w:pPr>
        <w:pStyle w:val="MethodsHeading"/>
        <w:snapToGrid w:val="0"/>
        <w:spacing w:before="120" w:after="120"/>
        <w:jc w:val="both"/>
        <w:rPr>
          <w:b w:val="0"/>
          <w:bCs/>
          <w:i/>
          <w:iCs/>
        </w:rPr>
      </w:pPr>
      <w:r w:rsidRPr="00393B68">
        <w:rPr>
          <w:b w:val="0"/>
          <w:bCs/>
          <w:i/>
          <w:iCs/>
        </w:rPr>
        <w:t>Mold and device characterization</w:t>
      </w:r>
      <w:r>
        <w:rPr>
          <w:b w:val="0"/>
          <w:bCs/>
          <w:i/>
          <w:iCs/>
        </w:rPr>
        <w:t xml:space="preserve"> - </w:t>
      </w:r>
      <w:r w:rsidRPr="00393B68">
        <w:rPr>
          <w:b w:val="0"/>
          <w:bCs/>
        </w:rPr>
        <w:t>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Supplementary Table S5 reports mold numbers and usable-cast yield separately and defines a usable cast.</w:t>
      </w:r>
    </w:p>
    <w:p w14:paraId="48C08164" w14:textId="77777777" w:rsidR="007123AE" w:rsidRDefault="007123AE" w:rsidP="007123AE">
      <w:pPr>
        <w:snapToGrid w:val="0"/>
        <w:spacing w:before="120" w:after="120"/>
        <w:jc w:val="both"/>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14:paraId="1C30AAA1" w14:textId="77777777" w:rsidR="007123AE" w:rsidRDefault="007123AE" w:rsidP="007123AE">
      <w:pPr>
        <w:snapToGrid w:val="0"/>
        <w:spacing w:before="120" w:after="120"/>
        <w:jc w:val="both"/>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14:paraId="120E990A" w14:textId="77777777" w:rsidR="007123AE" w:rsidRDefault="007123AE" w:rsidP="007123AE">
      <w:pPr>
        <w:snapToGrid w:val="0"/>
        <w:spacing w:before="120" w:after="120"/>
        <w:jc w:val="both"/>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14:paraId="5511D119" w14:textId="77777777" w:rsidR="007123AE" w:rsidRPr="00393B68" w:rsidRDefault="007123AE" w:rsidP="007123AE">
      <w:pPr>
        <w:pStyle w:val="MethodsHeading"/>
        <w:snapToGrid w:val="0"/>
        <w:spacing w:before="120" w:after="120"/>
        <w:jc w:val="both"/>
        <w:rPr>
          <w:b w:val="0"/>
          <w:bCs/>
          <w:i/>
          <w:iCs/>
        </w:rPr>
      </w:pPr>
      <w:r w:rsidRPr="00393B68">
        <w:rPr>
          <w:b w:val="0"/>
          <w:bCs/>
          <w:i/>
          <w:iCs/>
        </w:rPr>
        <w:t>Assessment of directional fluorescent tracer transport</w:t>
      </w:r>
      <w:r>
        <w:rPr>
          <w:b w:val="0"/>
          <w:bCs/>
          <w:i/>
          <w:iCs/>
        </w:rPr>
        <w:t xml:space="preserve"> - </w:t>
      </w:r>
      <w:r w:rsidRPr="00393B68">
        <w:rPr>
          <w:b w:val="0"/>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14:paraId="278F9C54" w14:textId="77777777" w:rsidR="007123AE" w:rsidRPr="00393B68" w:rsidRDefault="007123AE" w:rsidP="007123AE">
      <w:pPr>
        <w:pStyle w:val="MethodsHeading"/>
        <w:snapToGrid w:val="0"/>
        <w:spacing w:before="120" w:after="120"/>
        <w:jc w:val="both"/>
        <w:rPr>
          <w:b w:val="0"/>
          <w:bCs/>
          <w:i/>
          <w:iCs/>
        </w:rPr>
      </w:pPr>
      <w:r w:rsidRPr="00393B68">
        <w:rPr>
          <w:b w:val="0"/>
          <w:bCs/>
          <w:i/>
          <w:iCs/>
        </w:rPr>
        <w:t>Primary cortical neuron culture and retrograde axonal tracing</w:t>
      </w:r>
      <w:r>
        <w:rPr>
          <w:b w:val="0"/>
          <w:bCs/>
          <w:i/>
          <w:iCs/>
        </w:rPr>
        <w:t xml:space="preserve"> - </w:t>
      </w:r>
      <w:r w:rsidRPr="00393B68">
        <w:rPr>
          <w:b w:val="0"/>
          <w:bCs/>
        </w:rPr>
        <w:t xml:space="preserve">Primary cortical neurons were isolated from one embryonic day 18 (E18) Sprague Dawley rat embryo following Harris et al. (2007; PMID: 18989412)</w:t>
      </w:r>
      <w:r w:rsidRPr="00393B68">
        <w:rPr>
          <w:b w:val="0"/>
          <w:bCs/>
        </w:rPr>
        <w:lastRenderedPageBreak/>
        <w:t xml:space="preserve">,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 (2022; PMID: 35023760).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14:paraId="4B6CF9BD" w14:textId="77777777" w:rsidR="007123AE" w:rsidRDefault="007123AE" w:rsidP="007123AE">
      <w:pPr>
        <w:snapToGrid w:val="0"/>
        <w:spacing w:before="120" w:after="120"/>
        <w:jc w:val="both"/>
        <w:rPr>
          <w:rFonts w:ascii="Times New Roman" w:hAnsi="Times New Roman"/>
          <w:color w:val="000000"/>
        </w:rPr>
      </w:pPr>
    </w:p>
    <w:p w14:paraId="2EB59C7B" w14:textId="77777777" w:rsidR="007123AE" w:rsidRDefault="007123AE" w:rsidP="007123AE">
      <w:pPr>
        <w:snapToGrid w:val="0"/>
        <w:spacing w:before="120" w:after="120"/>
        <w:jc w:val="both"/>
      </w:pPr>
      <w:r>
        <w:rPr>
          <w:rFonts w:ascii="Times New Roman" w:hAnsi="Times New Roman"/>
          <w:color w:val="000000"/>
        </w:rPr>
        <w:t xml:space="preserve">Cultures were maintained for 11 days in vitro (DIV). At DIV10, cholera toxin subunit B (CTβ) conjugated to Alexa Fluor 647 (CTβ-647) was applied to the lower-volume axon compartment at 1 µg/mL. CTβ-positive neuronal cell bodies were counted 24 h later, with one count per analyzed device. Analysis was restricted to the 24 interior devices on each plate because culture performance was poorer at the plate edges. Devices were excluded only when contamination or a technical failure prevented cell counting in the final image; high or low cell counts alone were not grounds for exclusion. Supplementary Protocol S1 provides the complete procedure.</w:t>
      </w:r>
    </w:p>
    <w:p w14:paraId="0840E5D7" w14:textId="77777777" w:rsidR="007123AE" w:rsidRDefault="007123AE" w:rsidP="007123AE">
      <w:pPr>
        <w:pStyle w:val="MethodsHeading"/>
        <w:snapToGrid w:val="0"/>
        <w:spacing w:before="120" w:after="120"/>
        <w:jc w:val="both"/>
      </w:pPr>
      <w:r w:rsidRPr="00393B68">
        <w:rPr>
          <w:b w:val="0"/>
          <w:bCs/>
          <w:i/>
          <w:iCs/>
        </w:rPr>
        <w:t>High-content imaging and cell counting</w:t>
      </w:r>
      <w:r>
        <w:rPr>
          <w:b w:val="0"/>
          <w:bCs/>
          <w:i/>
          <w:iCs/>
        </w:rPr>
        <w:t xml:space="preserve"> - </w:t>
      </w:r>
      <w:r w:rsidRPr="00393B68">
        <w:rPr>
          <w:b w:val="0"/>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14:paraId="656C6583" w14:textId="77777777" w:rsidR="007123AE" w:rsidRDefault="007123AE" w:rsidP="007123AE">
      <w:pPr>
        <w:snapToGrid w:val="0"/>
        <w:spacing w:before="120" w:after="120"/>
        <w:jc w:val="both"/>
      </w:pPr>
      <w:r>
        <w:rPr>
          <w:rFonts w:ascii="Times New Roman" w:hAnsi="Times New Roman"/>
          <w:color w:val="000000"/>
        </w:rPr>
        <w:t xml:space="preserve">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Supplementary Protocol S1 describes the dataset. The supplementary files include the microscope’s saved settings and image positions for Plate 1 in Extensible Markup Language (XML) format.</w:t>
      </w:r>
    </w:p>
    <w:p w14:paraId="0A7F4A7B" w14:textId="77777777" w:rsidR="007123AE" w:rsidRPr="00393B68" w:rsidRDefault="007123AE" w:rsidP="007123AE">
      <w:pPr>
        <w:pStyle w:val="MethodsHeading"/>
        <w:snapToGrid w:val="0"/>
        <w:spacing w:before="120" w:after="120"/>
        <w:jc w:val="both"/>
        <w:rPr>
          <w:b w:val="0"/>
          <w:bCs/>
          <w:i/>
          <w:iCs/>
        </w:rPr>
      </w:pPr>
      <w:r w:rsidRPr="00393B68">
        <w:rPr>
          <w:b w:val="0"/>
          <w:bCs/>
          <w:i/>
          <w:iCs/>
        </w:rPr>
        <w:t>Statistical analysis</w:t>
      </w:r>
      <w:r>
        <w:rPr>
          <w:b w:val="0"/>
          <w:bCs/>
          <w:i/>
          <w:iCs/>
        </w:rPr>
        <w:t xml:space="preserve"> - </w:t>
      </w:r>
      <w:r w:rsidRPr="00393B68">
        <w:rPr>
          <w:b w:val="0"/>
          <w:bCs/>
        </w:rPr>
        <w:t>Supplementary Table S5 lists the numbers of molds and usable casts. All three culture plates contained neurons isolated from the same E18 rat embryo. The plates and the devices within them are therefore technical replicates. Figure 4C shows the mean number of CTβ-positive cell bodies per device for each plate, with the standard deviation across the analyzed interior devices. These summaries describe variation within this experiment.</w:t>
      </w:r>
    </w:p>
    <w:p w14:paraId="4CDCB80B" w14:textId="77777777" w:rsidR="007123AE" w:rsidRPr="007123AE" w:rsidRDefault="007123AE" w:rsidP="007123AE">
      <w:pPr>
        <w:snapToGrid w:val="0"/>
        <w:spacing w:before="120" w:after="120"/>
        <w:jc w:val="both"/>
        <w:rPr>
          <w:rFonts w:ascii="Times New Roman" w:hAnsi="Times New Roman" w:cs="Times New Roman"/>
        </w:rPr>
      </w:pPr>
    </w:p>
    <w:p w14:paraId="22E9C54B" w14:textId="77777777" w:rsidR="007123AE" w:rsidRDefault="007123AE" w:rsidP="007123AE">
      <w:pPr>
        <w:snapToGrid w:val="0"/>
        <w:spacing w:before="120" w:after="120"/>
        <w:jc w:val="both"/>
        <w:rPr>
          <w:rFonts w:ascii="Times New Roman" w:hAnsi="Times New Roman" w:cs="Times New Roman"/>
          <w:b/>
        </w:rPr>
      </w:pPr>
      <w:bookmarkStart w:id="6" w:name="discussion"/>
      <w:bookmarkEnd w:id="4"/>
    </w:p>
    <w:p w14:paraId="58891790" w14:textId="77777777" w:rsidR="007123AE" w:rsidRDefault="007123AE" w:rsidP="007123AE">
      <w:pPr>
        <w:snapToGrid w:val="0"/>
        <w:spacing w:before="120" w:after="120"/>
        <w:jc w:val="both"/>
        <w:rPr>
          <w:rFonts w:ascii="Times New Roman" w:hAnsi="Times New Roman" w:cs="Times New Roman"/>
          <w:b/>
        </w:rPr>
      </w:pPr>
    </w:p>
    <w:p w14:paraId="74DD1678" w14:textId="77777777" w:rsidR="007123AE" w:rsidRDefault="007123AE" w:rsidP="007123AE">
      <w:pPr>
        <w:snapToGrid w:val="0"/>
        <w:spacing w:before="120" w:after="120"/>
        <w:jc w:val="both"/>
        <w:rPr>
          <w:rFonts w:ascii="Times New Roman" w:hAnsi="Times New Roman" w:cs="Times New Roman"/>
          <w:b/>
        </w:rPr>
      </w:pPr>
    </w:p>
    <w:p w14:paraId="6FA32565" w14:textId="77777777" w:rsidR="007123AE" w:rsidRDefault="007123AE" w:rsidP="007123AE">
      <w:pPr>
        <w:snapToGrid w:val="0"/>
        <w:spacing w:before="120" w:after="120"/>
        <w:jc w:val="both"/>
        <w:rPr>
          <w:rFonts w:ascii="Times New Roman" w:hAnsi="Times New Roman" w:cs="Times New Roman"/>
          <w:b/>
        </w:rPr>
      </w:pPr>
    </w:p>
    <w:p w14:paraId="0DB98267" w14:textId="60B3DFF2"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b/>
        </w:rPr>
        <w:lastRenderedPageBreak/>
        <w:t>Results</w:t>
      </w:r>
    </w:p>
    <w:p w14:paraId="5B84A9D1" w14:textId="1243DC2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Parametric design enables coordinated fabrication of medium-throughput microfluidic arrays</w:t>
      </w:r>
      <w:r>
        <w:rPr>
          <w:rFonts w:ascii="Times New Roman" w:hAnsi="Times New Roman" w:cs="Times New Roman"/>
        </w:rPr>
        <w:t xml:space="preserve"> - </w:t>
      </w:r>
      <w:r w:rsidRPr="007123AE">
        <w:rPr>
          <w:rFonts w:ascii="Times New Roman" w:hAnsi="Times New Roman" w:cs="Times New Roman"/>
        </w:rPr>
        <w:t>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14:paraId="0B73AF6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demonstrate this approach, we designed a medium-throughput platform comprising 48 independent, two-compartment microfluidic devices arranged in a 6 × 8 array (Fig. 1). Each device contained two culture wells connected by 62 parallel microchannels with nominal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14:paraId="701D2BF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examples establish the capacity of the design framework to generate coordinated fabrication files for distinct experimental configurations, although the additional designs were not physically fabricated or biologically evaluated.</w:t>
      </w:r>
    </w:p>
    <w:p w14:paraId="1F00525D" w14:textId="403F1361"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Development and optimization of reusable hybrid wafer molds</w:t>
      </w:r>
      <w:r>
        <w:rPr>
          <w:rFonts w:ascii="Times New Roman" w:hAnsi="Times New Roman" w:cs="Times New Roman"/>
        </w:rPr>
        <w:t xml:space="preserve"> - </w:t>
      </w:r>
      <w:r w:rsidRPr="007123AE">
        <w:rPr>
          <w:rFonts w:ascii="Times New Roman" w:hAnsi="Times New Roman" w:cs="Times New Roman"/>
        </w:rPr>
        <w:t>The hybrid mold fabrication strategy combined photolithographically defined SU-8 microchannels and SUEX compartment structures with 3D-printed resin inserts that form the culture wells during PDMS casting (Fig. 2). A central requirement was the integration of micrometer-scale features with millimeter-scale structures while maintaining the integrity of the patterned wafer and enabling simultaneous positioning of the well-forming inserts.</w:t>
      </w:r>
    </w:p>
    <w:p w14:paraId="6A6470A1"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Several fabrication challenges were identified and addressed during process development. 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(Supplementary Fig. S1; Supplementary Note S1).</w:t>
      </w:r>
    </w:p>
    <w:p w14:paraId="2A41CF3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w:t>
      </w:r>
      <w:r w:rsidRPr="007123AE">
        <w:rPr>
          <w:rFonts w:ascii="Times New Roman" w:hAnsi="Times New Roman" w:cs="Times New Roman"/>
        </w:rPr>
        <w:lastRenderedPageBreak/>
        <w:t xml:space="preserve">layers during cooling after SUEX processing. In contrast, both wafers fabricated in a subsequent batch incorporating a 150 °C bake for 10 min remained intact (Supplementary Fig. S2; Supplementary Note S2).</w:t>
      </w:r>
    </w:p>
    <w:p w14:paraId="39B66A8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14:paraId="2622CF0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However, the dimensional accuracy of the cast microchannels relative to their nominal photolithographic dimensions has not yet been quantitatively established.</w:t>
      </w:r>
    </w:p>
    <w:p w14:paraId="72DCEABC" w14:textId="062F2A9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Repeated casting and assembly of plate-format microfluidic devices</w:t>
      </w:r>
      <w:r>
        <w:rPr>
          <w:rFonts w:ascii="Times New Roman" w:hAnsi="Times New Roman" w:cs="Times New Roman"/>
        </w:rPr>
        <w:t xml:space="preserve"> - </w:t>
      </w:r>
      <w:r w:rsidRPr="007123AE">
        <w:rPr>
          <w:rFonts w:ascii="Times New Roman" w:hAnsi="Times New Roman" w:cs="Times New Roman"/>
        </w:rPr>
        <w:t>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14:paraId="2026367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14:paraId="7503688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PDMS casts were trimmed, plasma-bonded to glass, and incorporated into 3D-printed supporting frames to generate complete plate-format devices (Fig. 3). During development, both HIPS and polypropylene were evaluated as frame materials. HIPS exhibited less visible warping under the printing conditions tested and was selected for subsequent device assembly.</w:t>
      </w:r>
    </w:p>
    <w:p w14:paraId="1ECE47A8"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Culture survival was assessed qualitatively; adhesive cytotoxicity was not quantified.</w:t>
      </w:r>
    </w:p>
    <w:p w14:paraId="0E1B4284" w14:textId="12036348"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Compatibility with multichannel liquid handling and automated imaging</w:t>
      </w:r>
      <w:r>
        <w:rPr>
          <w:rFonts w:ascii="Times New Roman" w:hAnsi="Times New Roman" w:cs="Times New Roman"/>
        </w:rPr>
        <w:t xml:space="preserve"> - </w:t>
      </w:r>
      <w:r w:rsidRPr="007123AE">
        <w:rPr>
          <w:rFonts w:ascii="Times New Roman" w:hAnsi="Times New Roman" w:cs="Times New Roman"/>
        </w:rPr>
        <w:t xml:space="preserve">The arrangement of the 96 culture wells on a standard 9 mm microplate grid enabled liquid handling using conventional </w:t>
      </w:r>
      <w:r w:rsidRPr="007123AE">
        <w:rPr>
          <w:rFonts w:ascii="Times New Roman" w:hAnsi="Times New Roman" w:cs="Times New Roman"/>
        </w:rPr>
        <w:lastRenderedPageBreak/>
        <w:t>multichannel pipettes (Fig. 1). Eight wells within a plate column could be filled simultaneously using a multichannel pipette, providing an alternative to the individual loading procedures commonly required for conventional compartmentalized microfluidic devices.</w:t>
      </w:r>
    </w:p>
    <w:p w14:paraId="46D38CF5"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 because it was faster for these experiments.</w:t>
      </w:r>
    </w:p>
    <w:p w14:paraId="6950D66A" w14:textId="3425C90D"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Directional fluid transport in compartmentalized devices</w:t>
      </w:r>
      <w:r>
        <w:rPr>
          <w:rFonts w:ascii="Times New Roman" w:hAnsi="Times New Roman" w:cs="Times New Roman"/>
        </w:rPr>
        <w:t xml:space="preserve"> - </w:t>
      </w:r>
      <w:r w:rsidRPr="007123AE">
        <w:rPr>
          <w:rFonts w:ascii="Times New Roman" w:hAnsi="Times New Roman" w:cs="Times New Roman"/>
        </w:rPr>
        <w:t>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14:paraId="5D3E995E"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14:paraId="458E8477"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14:paraId="50BFDB48" w14:textId="4731AD50"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Validation of primary neuronal culture and retrograde axonal labeling</w:t>
      </w:r>
      <w:r>
        <w:rPr>
          <w:rFonts w:ascii="Times New Roman" w:hAnsi="Times New Roman" w:cs="Times New Roman"/>
        </w:rPr>
        <w:t xml:space="preserve"> - </w:t>
      </w:r>
      <w:r w:rsidRPr="007123AE">
        <w:rPr>
          <w:rFonts w:ascii="Times New Roman" w:hAnsi="Times New Roman" w:cs="Times New Roman"/>
        </w:rPr>
        <w:t xml:space="preserve">We next evaluated the suitability of the fabricated microfluidic devices for compartmentalized primary neuronal culture. Embryonic rat cortical neurons were seeded into the somatic compartments of three independently assembled plates and maintained for 11 DIV. The three plates contained neurons derived from a single embryonic preparation and therefore represented technical replicates.</w:t>
      </w:r>
    </w:p>
    <w:p w14:paraId="6B4C4B1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At DIV10, CTβ-647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14:paraId="68EAC8A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Neuronal culture performance varied with position within the assembled plates, with poorer growth observed in peripheral devices. Quantitative analysis was therefore restricted to the 24 interior devices on each plate. Of the 72 interior devices across the three plates, three were excluded because contamination or technical failures prevented reliable cell counting, leaving 69 devices for analysis.</w:t>
      </w:r>
    </w:p>
    <w:p w14:paraId="12210AE3"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lastRenderedPageBreak/>
        <w:t>CTβ-positive neuronal cell bodies were quantified from standardized image regions acquired by automated high-content microscopy. The mean number of labeled cell bodies per device and the corresponding within-plate standard deviations are presented for each of the three plates in Fig. 4C. These measurements demonstrate the feasibility of collecting quantitative retrograde labeling data across multiple compartmentalized neuronal cultures using an automated imaging workflow.</w:t>
      </w:r>
    </w:p>
    <w:p w14:paraId="18AB53E0"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14:paraId="21A6DFAF" w14:textId="77777777" w:rsidR="00CF477A" w:rsidRPr="00AA0C35" w:rsidRDefault="00CF477A" w:rsidP="00CF477A">
      <w:pPr>
        <w:jc w:val="both"/>
        <w:rPr>
          <w:rFonts w:ascii="Times New Roman" w:hAnsi="Times New Roman" w:cs="Times New Roman"/>
        </w:rPr>
      </w:pPr>
      <w:bookmarkStart w:id="7" w:name="code-and-data-availability"/>
      <w:bookmarkEnd w:id="6"/>
      <w:r w:rsidRPr="00AA0C35">
        <w:rPr>
          <w:rFonts w:ascii="Times New Roman" w:hAnsi="Times New Roman" w:cs="Times New Roman"/>
          <w:b/>
        </w:rPr>
        <w:t>Discussion</w:t>
      </w:r>
    </w:p>
    <w:p w14:paraId="3FC3CBFD" w14:textId="77777777" w:rsidR="00CF477A" w:rsidRDefault="00CF477A" w:rsidP="00CF477A">
      <w:pPr>
        <w:jc w:val="both"/>
      </w:pPr>
      <w:r>
        <w:rPr>
          <w:rFonts w:ascii="Times New Roman" w:hAnsi="Times New Roman"/>
          <w:color w:val="000000"/>
        </w:rPr>
        <w:t xml:space="preserve">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In the present design, the nominal lateral clearance was 75 µm per side, substantially smaller than the 1.275 mm margin between the microchannel array and surrounding chamber boundaries. The chamber margin is 17 times the nominal per-side clearance (Supplementary Table S3). Final alignment also depends on photolithographic registration and resin-printing precision. Importantly, the same </w:t>
      </w:r>
      <w:r>
        <w:rPr>
          <w:rFonts w:ascii="Times New Roman" w:hAnsi="Times New Roman"/>
          <w:color w:val="000000"/>
        </w:rPr>
        <w:lastRenderedPageBreak/>
        <w:t>array-transfer procedure can be applied to different numbers and arrangements of inserts, provided the complete array remains compatible with the wafer and printer dimensions.</w:t>
      </w:r>
    </w:p>
    <w:p w14:paraId="557582F9" w14:textId="77777777" w:rsidR="00CF477A" w:rsidRDefault="00CF477A" w:rsidP="00CF477A">
      <w:pPr>
        <w:jc w:val="both"/>
      </w:pPr>
      <w:r>
        <w:rPr>
          <w:rFonts w:ascii="Times New Roman" w:hAnsi="Times New Roman"/>
          <w:color w:val="000000"/>
        </w:rPr>
        <w:t xml:space="preserve">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w:t>
      </w:r>
    </w:p>
    <w:p w14:paraId="182E7109" w14:textId="77777777" w:rsidR="00CF477A" w:rsidRDefault="00CF477A" w:rsidP="00CF477A">
      <w:pPr>
        <w:jc w:val="both"/>
      </w:pPr>
      <w:r>
        <w:rPr>
          <w:rFonts w:ascii="Times New Roman" w:hAnsi="Times New Roman"/>
          <w:color w:val="000000"/>
        </w:rPr>
        <w:t xml:space="preserve">The fabrication results demonstrate the feasibility of repeated production using the hybrid molds.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p>
    <w:p w14:paraId="48B3334C" w14:textId="77777777" w:rsidR="00CF477A" w:rsidRDefault="00CF477A" w:rsidP="00CF477A">
      <w:pPr>
        <w:jc w:val="both"/>
      </w:pPr>
      <w:r>
        <w:rPr>
          <w:rFonts w:ascii="Times New Roman" w:hAnsi="Times New Roman"/>
          <w:color w:val="000000"/>
        </w:rPr>
        <w:t xml:space="preserve">The 48-device array provides 96 culture wells on a standard 9 mm microplate grid, enabling multichannel pipetting and automated high-content imaging without instrument modification. Our approach extends existing compartmentalized device designs by carrying different layouts into multiwell plate arrays with matching fabrication files. The demonstration of directional fluorescent tracer redistribution and retrograde CTβ labeling confirms that the fabricated devices support fluid movement through the connecting microchannels and compartment-specific neuronal manipulations. However, the tracer experiment did not establish the duration of hydrostatic flow or quantitatively measure fluidic isolation. Similarly, </w:t>
      </w:r>
      <w:r>
        <w:rPr>
          <w:rFonts w:ascii="Times New Roman" w:hAnsi="Times New Roman"/>
          <w:color w:val="000000"/>
        </w:rPr>
        <w:lastRenderedPageBreak/>
        <w:t xml:space="preserve">neuronal experiments using 69 interior devices across three plates demonstrate assay feasibility but were performed using a single embryonic neuronal preparation.</w:t>
      </w:r>
    </w:p>
    <w:p w14:paraId="1DC3B9F6" w14:textId="77777777" w:rsidR="00CF477A" w:rsidRDefault="00CF477A" w:rsidP="00CF477A">
      <w:pPr>
        <w:jc w:val="both"/>
      </w:pPr>
      <w:r>
        <w:rPr>
          <w:rFonts w:ascii="Times New Roman" w:hAnsi="Times New Roman"/>
          <w:color w:val="000000"/>
        </w:rPr>
        <w:t>Several design considerations remain important when adapting the platform to other experimental configurations. The current mold incorporates a 2.26% dimensional scaling correction to compensate for PDMS shrinkage, but the dimensions of the finished microchannels have not been quantitatively characterized.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nominal widths of 10 µm. Direct measurements of coated mold features and the resulting PDMS channels would establish dimensional fidelity and permit refinement of the scaling parameters.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14:paraId="78C1D38D" w14:textId="77777777" w:rsidR="00CF477A" w:rsidRDefault="00CF477A" w:rsidP="00CF477A">
      <w:pPr>
        <w:jc w:val="both"/>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14:paraId="3EDDC979" w14:textId="77777777" w:rsidR="00CF477A" w:rsidRDefault="00CF477A" w:rsidP="00CF477A">
      <w:pPr>
        <w:jc w:val="both"/>
        <w:rPr>
          <w:rFonts w:ascii="Times New Roman" w:hAnsi="Times New Roman"/>
          <w:color w:val="000000"/>
        </w:rPr>
      </w:pPr>
      <w:r>
        <w:rPr>
          <w:rFonts w:ascii="Times New Roman" w:hAnsi="Times New Roman"/>
          <w:color w:val="000000"/>
        </w:rPr>
        <w:t xml:space="preserve">OpenMFD generated matching fabrication files for oligodendrocyte myelination, axon-guidance and three-compartment neuronal layouts. Changing the compartment geometry and array layout updates the matching photomasks, inserts and plate components. These additional designs have not been fabricated or biologically tested.</w:t>
      </w:r>
    </w:p>
    <w:p w14:paraId="64E7E4DC" w14:textId="77777777" w:rsid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b/>
          <w:bCs/>
          <w:color w:val="000000" w:themeColor="text1"/>
          <w:sz w:val="24"/>
          <w:szCs w:val="24"/>
        </w:rPr>
        <w:lastRenderedPageBreak/>
        <w:t>Conclusions</w:t>
      </w:r>
    </w:p>
    <w:p w14:paraId="1B2B5931" w14:textId="21EB8F5F" w:rsidR="00AA0C35" w:rsidRP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color w:val="000000" w:themeColor="text1"/>
          <w:sz w:val="24"/>
          <w:szCs w:val="24"/>
        </w:rPr>
        <w:t xml:space="preserve">We developed OpenMFD to arrange compartmentalized device layouts into plate-format arrays and generate matching photomasks, well-forming inserts and plate components. The inserts are transferred and bonded together onto a photolithographically patterned wafer, forming a reusable mold that casts the complete array without individual well punching. The demonstrated 48-device plate supported multichannel pipetting, automated imaging, compartmentalized neuronal culture and retrograde axonal labeling. Peripheral culture performance remains a target for improvement.</w:t>
      </w:r>
    </w:p>
    <w:p w14:paraId="3D2DFB3F" w14:textId="77777777" w:rsidR="00AA0C35" w:rsidRDefault="00AA0C35" w:rsidP="00AA0C35">
      <w:pPr>
        <w:pStyle w:val="Heading4"/>
        <w:rPr>
          <w:rFonts w:ascii="Times New Roman" w:hAnsi="Times New Roman" w:cs="Times New Roman"/>
          <w:b/>
          <w:bCs/>
          <w:i w:val="0"/>
          <w:iCs w:val="0"/>
          <w:color w:val="000000" w:themeColor="text1"/>
        </w:rPr>
      </w:pPr>
      <w:r w:rsidRPr="00AA0C35">
        <w:rPr>
          <w:rFonts w:ascii="Times New Roman" w:hAnsi="Times New Roman" w:cs="Times New Roman"/>
          <w:b/>
          <w:bCs/>
          <w:i w:val="0"/>
          <w:iCs w:val="0"/>
          <w:color w:val="000000" w:themeColor="text1"/>
        </w:rPr>
        <w:t>Data availability</w:t>
      </w:r>
    </w:p>
    <w:p w14:paraId="7BBF051C" w14:textId="5AD875D9" w:rsidR="00AA0C35" w:rsidRPr="00AA0C35" w:rsidRDefault="00AA0C35" w:rsidP="00AA0C35">
      <w:pPr>
        <w:pStyle w:val="Heading4"/>
        <w:jc w:val="both"/>
        <w:rPr>
          <w:rFonts w:ascii="Times New Roman" w:hAnsi="Times New Roman" w:cs="Times New Roman"/>
          <w:b/>
          <w:bCs/>
          <w:i w:val="0"/>
          <w:iCs w:val="0"/>
          <w:color w:val="000000" w:themeColor="text1"/>
        </w:rPr>
      </w:pPr>
      <w:r w:rsidRPr="00AA0C35">
        <w:rPr>
          <w:rFonts w:ascii="Times New Roman" w:hAnsi="Times New Roman" w:cs="Times New Roman"/>
          <w:i w:val="0"/>
          <w:iCs w:val="0"/>
          <w:color w:val="000000" w:themeColor="text1"/>
        </w:rPr>
        <w:t xml:space="preserve">The OpenMFD software and associated fabrication files, including photomasks, 3D-printable resin inserts, and plate-frame designs, are available at </w:t>
      </w:r>
      <w:hyperlink r:id="rId11" w:history="1">
        <w:r w:rsidRPr="00AA0C35">
          <w:rPr>
            <w:rStyle w:val="Hyperlink"/>
            <w:rFonts w:ascii="Times New Roman" w:hAnsi="Times New Roman" w:cs="Times New Roman"/>
            <w:i w:val="0"/>
            <w:iCs w:val="0"/>
            <w:color w:val="000000" w:themeColor="text1"/>
          </w:rPr>
          <w:t>https://github.com/trissim/OpenMFD</w:t>
        </w:r>
      </w:hyperlink>
      <w:r w:rsidRPr="00AA0C35">
        <w:rPr>
          <w:rFonts w:ascii="Times New Roman" w:hAnsi="Times New Roman" w:cs="Times New Roman"/>
          <w:i w:val="0"/>
          <w:iCs w:val="0"/>
          <w:color w:val="000000" w:themeColor="text1"/>
        </w:rPr>
        <w:t xml:space="preserve">. A versioned archive of the software and fabrication files will be deposited in a public repository before publication. The Supplementary Information contains the resin-insert measurements and mold fabrication and casting outcomes. The per-device neuronal count table and source images used for quantitative analyses will be deposited with the submission. Detailed fabrication protocols, printing parameters, and imaging configurations are also provided to facilitate reproduction of the devices and experimental procedures.</w:t>
      </w:r>
    </w:p>
    <w:p w14:paraId="75FFFE19" w14:textId="2B3B5003" w:rsidR="00393B68" w:rsidRPr="00AA0C35" w:rsidRDefault="00AA0C35" w:rsidP="00393B68">
      <w:pPr>
        <w:pStyle w:val="BodyText"/>
        <w:snapToGrid w:val="0"/>
        <w:spacing w:before="120" w:after="120"/>
        <w:jc w:val="both"/>
        <w:rPr>
          <w:rFonts w:ascii="Times New Roman" w:hAnsi="Times New Roman" w:cs="Times New Roman"/>
          <w:b/>
          <w:bCs/>
        </w:rPr>
      </w:pPr>
      <w:r w:rsidRPr="00AA0C35">
        <w:rPr>
          <w:rFonts w:ascii="Times New Roman" w:hAnsi="Times New Roman" w:cs="Times New Roman"/>
          <w:b/>
          <w:bCs/>
        </w:rPr>
        <w:t>Conflict of Interest Statement</w:t>
      </w:r>
    </w:p>
    <w:p w14:paraId="2CA6875D" w14:textId="77777777" w:rsidR="00AA0C35" w:rsidRDefault="00AA0C35" w:rsidP="00AA0C35">
      <w:pPr>
        <w:pStyle w:val="BodyText"/>
        <w:snapToGrid w:val="0"/>
        <w:spacing w:before="120" w:after="120"/>
        <w:jc w:val="both"/>
        <w:rPr>
          <w:rFonts w:ascii="Times New Roman" w:hAnsi="Times New Roman" w:cs="Times New Roman"/>
        </w:rPr>
      </w:pPr>
      <w:r>
        <w:rPr>
          <w:rFonts w:ascii="Times New Roman" w:hAnsi="Times New Roman" w:cs="Times New Roman"/>
        </w:rPr>
        <w:t>There are no conflicts to declare.</w:t>
      </w:r>
      <w:bookmarkStart w:id="8" w:name="acknowledgements"/>
      <w:bookmarkEnd w:id="7"/>
    </w:p>
    <w:p w14:paraId="55AA4456" w14:textId="206A64B7" w:rsidR="006C5731" w:rsidRPr="00AA0C35" w:rsidRDefault="00000000" w:rsidP="00AA0C35">
      <w:pPr>
        <w:pStyle w:val="BodyText"/>
        <w:snapToGrid w:val="0"/>
        <w:spacing w:before="120" w:after="120"/>
        <w:jc w:val="both"/>
        <w:rPr>
          <w:rFonts w:ascii="Times New Roman" w:hAnsi="Times New Roman" w:cs="Times New Roman"/>
        </w:rPr>
      </w:pPr>
      <w:r w:rsidRPr="00AA0C35">
        <w:rPr>
          <w:rFonts w:ascii="Times New Roman" w:hAnsi="Times New Roman" w:cs="Times New Roman"/>
          <w:b/>
          <w:bCs/>
          <w:color w:val="000000" w:themeColor="text1"/>
        </w:rPr>
        <w:t>Acknowledgements</w:t>
      </w:r>
      <w:r w:rsidR="00AA0C35" w:rsidRPr="00AA0C35">
        <w:rPr>
          <w:rFonts w:ascii="Times New Roman" w:hAnsi="Times New Roman" w:cs="Times New Roman"/>
          <w:b/>
          <w:bCs/>
          <w:color w:val="000000" w:themeColor="text1"/>
        </w:rPr>
        <w:t xml:space="preserve"> </w:t>
      </w:r>
      <w:r w:rsidR="00AA0C35">
        <w:rPr>
          <w:rFonts w:ascii="Times New Roman" w:hAnsi="Times New Roman" w:cs="Times New Roman"/>
          <w:color w:val="000000" w:themeColor="text1"/>
        </w:rPr>
        <w:t xml:space="preserve">- </w:t>
      </w:r>
      <w:r w:rsidRPr="00AA0C35">
        <w:rPr>
          <w:rFonts w:ascii="Times New Roman" w:hAnsi="Times New Roman" w:cs="Times New Roman"/>
          <w:color w:val="000000" w:themeColor="text1"/>
        </w:rPr>
        <w:t xml:space="preserve">We acknowledge the McGill Makerspace for access to fused deposition modeling (FDM) 3D printers used to develop the device frame. We also acknowledge the McGill Nanotools Microfab facility for access to microfabrication equipment and parylene coating, and for technical collaboration during process development.</w:t>
      </w:r>
      <w:r w:rsidR="00AA0C35">
        <w:rPr>
          <w:rFonts w:ascii="Times New Roman" w:hAnsi="Times New Roman" w:cs="Times New Roman"/>
          <w:color w:val="000000" w:themeColor="text1"/>
        </w:rPr>
        <w:t xml:space="preserve"> Alyson Fournier is funded by grants from the Canadian Institutes of Health Research and MSCanada.</w:t>
      </w:r>
    </w:p>
    <w:bookmarkEnd w:id="8"/>
    <w:p w14:paraId="1BB73FC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E2F419E" wp14:editId="05F51841">
            <wp:extent cx="5334000" cy="6934986"/>
            <wp:effectExtent l="0" t="0" r="0" b="0"/>
            <wp:docPr id="2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 xmlns:a="http://schemas.openxmlformats.org/drawingml/2006/main">
              <a:graphicData uri="http://schemas.openxmlformats.org/drawingml/2006/picture">
                <pic:pic xmlns:pic="http://schemas.openxmlformats.org/drawingml/2006/picture">
                  <pic:nvPicPr>
                    <pic:cNvPr id="22" name="Picture" descr="/home/ts/wt/mfd-pi-legend-discussion-20261002/papers/mfd_platform/build/run-20261002T185834-e0b45325/support/papers/mfd_platform/figures/rendered_docx/openmfd_design.png"/>
                    <pic:cNvPicPr>
                      <a:picLocks noChangeAspect="1" noChangeArrowheads="1"/>
                    </pic:cNvPicPr>
                  </pic:nvPicPr>
                  <pic:blipFill>
                    <a:blip r:embed="rId12"/>
                    <a:stretch>
                      <a:fillRect/>
                    </a:stretch>
                  </pic:blipFill>
                  <pic:spPr bwMode="auto">
                    <a:xfrm>
                      <a:off x="0" y="0"/>
                      <a:ext cx="5334000" cy="6934986"/>
                    </a:xfrm>
                    <a:prstGeom prst="rect">
                      <a:avLst/>
                    </a:prstGeom>
                    <a:noFill/>
                    <a:ln w="9525">
                      <a:noFill/>
                      <a:headEnd/>
                      <a:tailEnd/>
                    </a:ln>
                  </pic:spPr>
                </pic:pic>
              </a:graphicData>
            </a:graphic>
          </wp:inline>
        </w:drawing>
      </w:r>
    </w:p>
    <w:p w14:paraId="6015A5A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14:paraId="3980F001"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6B01E87" wp14:editId="4D8FDB43">
            <wp:extent cx="5334000" cy="5957583"/>
            <wp:effectExtent l="0" t="0" r="0" b="0"/>
            <wp:docPr id="24" name="Picture"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 xmlns:a="http://schemas.openxmlformats.org/drawingml/2006/main">
              <a:graphicData uri="http://schemas.openxmlformats.org/drawingml/2006/picture">
                <pic:pic xmlns:pic="http://schemas.openxmlformats.org/drawingml/2006/picture">
                  <pic:nvPicPr>
                    <pic:cNvPr id="25" name="Picture" descr="/home/ts/wt/mfd-pi-legend-discussion-20261002/papers/mfd_platform/build/run-20261002T185834-e0b45325/support/papers/mfd_platform/figures/rendered_docx/insert_bonding.png"/>
                    <pic:cNvPicPr>
                      <a:picLocks noChangeAspect="1" noChangeArrowheads="1"/>
                    </pic:cNvPicPr>
                  </pic:nvPicPr>
                  <pic:blipFill>
                    <a:blip r:embed="rId13"/>
                    <a:stretch>
                      <a:fillRect/>
                    </a:stretch>
                  </pic:blipFill>
                  <pic:spPr bwMode="auto">
                    <a:xfrm>
                      <a:off x="0" y="0"/>
                      <a:ext cx="5334000" cy="5957583"/>
                    </a:xfrm>
                    <a:prstGeom prst="rect">
                      <a:avLst/>
                    </a:prstGeom>
                    <a:noFill/>
                    <a:ln w="9525">
                      <a:noFill/>
                      <a:headEnd/>
                      <a:tailEnd/>
                    </a:ln>
                  </pic:spPr>
                </pic:pic>
              </a:graphicData>
            </a:graphic>
          </wp:inline>
        </w:drawing>
      </w:r>
    </w:p>
    <w:p w14:paraId="22842544"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14:paraId="42965F7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2DB785A" wp14:editId="58A4D475">
            <wp:extent cx="4298149" cy="3383280"/>
            <wp:effectExtent l="0" t="0" r="0" b="0"/>
            <wp:docPr id="28" name="Picture"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 xmlns:a="http://schemas.openxmlformats.org/drawingml/2006/main">
              <a:graphicData uri="http://schemas.openxmlformats.org/drawingml/2006/picture">
                <pic:pic xmlns:pic="http://schemas.openxmlformats.org/drawingml/2006/picture">
                  <pic:nvPicPr>
                    <pic:cNvPr id="29" name="Picture" descr="/home/ts/wt/mfd-pi-legend-discussion-20261002/papers/mfd_platform/build/run-20261002T185834-e0b45325/support/papers/mfd_platform/figures/rendered_docx/mold_casts_package.png"/>
                    <pic:cNvPicPr>
                      <a:picLocks noChangeAspect="1" noChangeArrowheads="1"/>
                    </pic:cNvPicPr>
                  </pic:nvPicPr>
                  <pic:blipFill>
                    <a:blip r:embed="rId14"/>
                    <a:stretch>
                      <a:fillRect/>
                    </a:stretch>
                  </pic:blipFill>
                  <pic:spPr bwMode="auto">
                    <a:xfrm>
                      <a:off x="0" y="0"/>
                      <a:ext cx="4298149" cy="3383280"/>
                    </a:xfrm>
                    <a:prstGeom prst="rect">
                      <a:avLst/>
                    </a:prstGeom>
                    <a:noFill/>
                    <a:ln w="9525">
                      <a:noFill/>
                      <a:headEnd/>
                      <a:tailEnd/>
                    </a:ln>
                  </pic:spPr>
                </pic:pic>
              </a:graphicData>
            </a:graphic>
          </wp:inline>
        </w:drawing>
      </w:r>
    </w:p>
    <w:p w14:paraId="1DD865AB"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14:paraId="11C10F04"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6777C72" wp14:editId="70EE097D">
            <wp:extent cx="5002696" cy="5753100"/>
            <wp:effectExtent l="0" t="0" r="0" b="0"/>
            <wp:docPr id="32" name="Picture"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 xmlns:a="http://schemas.openxmlformats.org/drawingml/2006/main">
              <a:graphicData uri="http://schemas.openxmlformats.org/drawingml/2006/picture">
                <pic:pic xmlns:pic="http://schemas.openxmlformats.org/drawingml/2006/picture">
                  <pic:nvPicPr>
                    <pic:cNvPr id="33" name="Picture" descr="/home/ts/wt/mfd-pi-legend-discussion-20261002/papers/mfd_platform/build/run-20261002T185834-e0b45325/support/papers/mfd_platform/figures/rendered_docx/validation.png"/>
                    <pic:cNvPicPr>
                      <a:picLocks noChangeAspect="1" noChangeArrowheads="1"/>
                    </pic:cNvPicPr>
                  </pic:nvPicPr>
                  <pic:blipFill>
                    <a:blip r:embed="rId15"/>
                    <a:stretch>
                      <a:fillRect/>
                    </a:stretch>
                  </pic:blipFill>
                  <pic:spPr bwMode="auto">
                    <a:xfrm>
                      <a:off x="0" y="0"/>
                      <a:ext cx="5002696" cy="5753100"/>
                    </a:xfrm>
                    <a:prstGeom prst="rect">
                      <a:avLst/>
                    </a:prstGeom>
                    <a:noFill/>
                    <a:ln w="9525">
                      <a:noFill/>
                      <a:headEnd/>
                      <a:tailEnd/>
                    </a:ln>
                  </pic:spPr>
                </pic:pic>
              </a:graphicData>
            </a:graphic>
          </wp:inline>
        </w:drawing>
      </w:r>
    </w:p>
    <w:p w14:paraId="3669C14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w:t>
      </w:r>
    </w:p>
    <w:p w14:paraId="12289CCF"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76EEE5B6" wp14:editId="45EF6723">
            <wp:extent cx="4769492" cy="4023360"/>
            <wp:effectExtent l="0" t="0" r="0" b="0"/>
            <wp:docPr id="36" name="Picture"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 xmlns:a="http://schemas.openxmlformats.org/drawingml/2006/main">
              <a:graphicData uri="http://schemas.openxmlformats.org/drawingml/2006/picture">
                <pic:pic xmlns:pic="http://schemas.openxmlformats.org/drawingml/2006/picture">
                  <pic:nvPicPr>
                    <pic:cNvPr id="37" name="Picture" descr="/home/ts/wt/mfd-pi-legend-discussion-20261002/papers/mfd_platform/build/run-20261002T185834-e0b45325/support/papers/mfd_platform/figures/rendered_docx/generalizability.png"/>
                    <pic:cNvPicPr>
                      <a:picLocks noChangeAspect="1" noChangeArrowheads="1"/>
                    </pic:cNvPicPr>
                  </pic:nvPicPr>
                  <pic:blipFill>
                    <a:blip r:embed="rId16"/>
                    <a:stretch>
                      <a:fillRect/>
                    </a:stretch>
                  </pic:blipFill>
                  <pic:spPr bwMode="auto">
                    <a:xfrm>
                      <a:off x="0" y="0"/>
                      <a:ext cx="4769492" cy="4023360"/>
                    </a:xfrm>
                    <a:prstGeom prst="rect">
                      <a:avLst/>
                    </a:prstGeom>
                    <a:noFill/>
                    <a:ln w="9525">
                      <a:noFill/>
                      <a:headEnd/>
                      <a:tailEnd/>
                    </a:ln>
                  </pic:spPr>
                </pic:pic>
              </a:graphicData>
            </a:graphic>
          </wp:inline>
        </w:drawing>
      </w:r>
    </w:p>
    <w:p w14:paraId="3B1466C6"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14:paraId="18B78EE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Supplementary Information</w:t>
      </w:r>
    </w:p>
    <w:p w14:paraId="54F1E6A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9" w:name="Xe1611cb7db7a755bf2bf9788b3b9eb9c3b70061"/>
      <w:bookmarkEnd w:id="0"/>
      <w:r w:rsidRPr="001C2B3F">
        <w:rPr>
          <w:rFonts w:ascii="Times New Roman" w:hAnsi="Times New Roman" w:cs="Times New Roman"/>
          <w:sz w:val="24"/>
          <w:szCs w:val="24"/>
        </w:rPr>
        <w:t>Supplementary Table S1. Resin-insert pin-height variation across a 96-position array</w:t>
      </w:r>
    </w:p>
    <w:p w14:paraId="5F2A20A8"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Each pin height was measured individually with a micrometer across one 8 × 12 resin-insert array (rows A-H, columns 1-12; </w:t>
      </w:r>
      <w:r w:rsidRPr="001C2B3F">
        <w:rPr>
          <w:rFonts w:ascii="Times New Roman" w:hAnsi="Times New Roman" w:cs="Times New Roman"/>
          <w:i/>
          <w:iCs/>
        </w:rPr>
        <w:t>n</w:t>
      </w:r>
      <w:r w:rsidRPr="001C2B3F">
        <w:rPr>
          <w:rFonts w:ascii="Times New Roman" w:hAnsi="Times New Roman" w:cs="Times New Roman"/>
        </w:rPr>
        <w:t xml:space="preserve"> = 96). Values are reported in millimeters (mm) and as deviations from the mean in micrometers (µm).</w:t>
      </w:r>
    </w:p>
    <w:p w14:paraId="6E33A944"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Mean height: </w:t>
      </w:r>
      <w:r w:rsidRPr="001C2B3F">
        <w:rPr>
          <w:rFonts w:ascii="Times New Roman" w:hAnsi="Times New Roman" w:cs="Times New Roman"/>
          <w:b/>
          <w:bCs/>
        </w:rPr>
        <w:t>5.551 mm</w:t>
      </w:r>
    </w:p>
    <w:p w14:paraId="4EF1868B"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Standard deviation: </w:t>
      </w:r>
      <w:r w:rsidRPr="001C2B3F">
        <w:rPr>
          <w:rFonts w:ascii="Times New Roman" w:hAnsi="Times New Roman" w:cs="Times New Roman"/>
          <w:b/>
          <w:bCs/>
        </w:rPr>
        <w:t>26.7 µm</w:t>
      </w:r>
    </w:p>
    <w:p w14:paraId="22C37178"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Minimum / maximum height: </w:t>
      </w:r>
      <w:r w:rsidRPr="001C2B3F">
        <w:rPr>
          <w:rFonts w:ascii="Times New Roman" w:hAnsi="Times New Roman" w:cs="Times New Roman"/>
          <w:b/>
          <w:bCs/>
        </w:rPr>
        <w:t>5.483 mm</w:t>
      </w:r>
      <w:r w:rsidRPr="001C2B3F">
        <w:rPr>
          <w:rFonts w:ascii="Times New Roman" w:hAnsi="Times New Roman" w:cs="Times New Roman"/>
        </w:rPr>
        <w:t xml:space="preserve"> (H12) / </w:t>
      </w:r>
      <w:r w:rsidRPr="001C2B3F">
        <w:rPr>
          <w:rFonts w:ascii="Times New Roman" w:hAnsi="Times New Roman" w:cs="Times New Roman"/>
          <w:b/>
          <w:bCs/>
        </w:rPr>
        <w:t>5.599 mm</w:t>
      </w:r>
      <w:r w:rsidRPr="001C2B3F">
        <w:rPr>
          <w:rFonts w:ascii="Times New Roman" w:hAnsi="Times New Roman" w:cs="Times New Roman"/>
        </w:rPr>
        <w:t xml:space="preserve"> (A3, A4, and A6)</w:t>
      </w:r>
    </w:p>
    <w:p w14:paraId="3EE4BC72"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Difference between tallest and shortest pins: </w:t>
      </w:r>
      <w:r w:rsidRPr="001C2B3F">
        <w:rPr>
          <w:rFonts w:ascii="Times New Roman" w:hAnsi="Times New Roman" w:cs="Times New Roman"/>
          <w:b/>
          <w:bCs/>
        </w:rPr>
        <w:t>116 µm</w:t>
      </w:r>
    </w:p>
    <w:p w14:paraId="681E2F9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0" w:name="s1a.-measured-pin-heights-mm"/>
      <w:r w:rsidRPr="001C2B3F">
        <w:rPr>
          <w:rFonts w:ascii="Times New Roman" w:hAnsi="Times New Roman" w:cs="Times New Roman"/>
          <w:sz w:val="24"/>
          <w:szCs w:val="24"/>
        </w:rPr>
        <w:lastRenderedPageBreak/>
        <w:t>S1A. Measured pin heights (mm)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2DA61C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691392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2EE688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5D214C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6176983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1DB9C6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7B0B89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04A6B8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0B09D7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13AA41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5960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8B8994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0CDC134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71DC5B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6A1B3229" w14:textId="77777777" w:rsidTr="006C5731">
        <w:trPr>
          <w:cantSplit/>
        </w:trPr>
        <w:tc>
          <w:tcPr>
            <w:tcW w:w="609" w:type="dxa"/>
          </w:tcPr>
          <w:p w14:paraId="58A77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5F794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5.567</w:t>
            </w:r>
          </w:p>
        </w:tc>
        <w:tc>
          <w:tcPr>
            <w:tcW w:w="609" w:type="dxa"/>
          </w:tcPr>
          <w:p w14:paraId="08BCE5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1C5BB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29C580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18D140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2E9949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49AE7D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4608C7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59D31C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5.597</w:t>
            </w:r>
          </w:p>
        </w:tc>
        <w:tc>
          <w:tcPr>
            <w:tcW w:w="609" w:type="dxa"/>
          </w:tcPr>
          <w:p w14:paraId="12FC55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5.596</w:t>
            </w:r>
          </w:p>
        </w:tc>
        <w:tc>
          <w:tcPr>
            <w:tcW w:w="609" w:type="dxa"/>
          </w:tcPr>
          <w:p w14:paraId="757358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5.581</w:t>
            </w:r>
          </w:p>
        </w:tc>
        <w:tc>
          <w:tcPr>
            <w:tcW w:w="609" w:type="dxa"/>
          </w:tcPr>
          <w:p w14:paraId="65041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5C0E5649" w14:textId="77777777" w:rsidTr="006C5731">
        <w:trPr>
          <w:cantSplit/>
        </w:trPr>
        <w:tc>
          <w:tcPr>
            <w:tcW w:w="609" w:type="dxa"/>
          </w:tcPr>
          <w:p w14:paraId="30604D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79852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042B99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179A1A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0DF497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7B6988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1A9ECE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956D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5.593</w:t>
            </w:r>
          </w:p>
        </w:tc>
        <w:tc>
          <w:tcPr>
            <w:tcW w:w="609" w:type="dxa"/>
          </w:tcPr>
          <w:p w14:paraId="73B1F5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0D2F6C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6F7378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3BD05E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5.587</w:t>
            </w:r>
          </w:p>
        </w:tc>
        <w:tc>
          <w:tcPr>
            <w:tcW w:w="609" w:type="dxa"/>
          </w:tcPr>
          <w:p w14:paraId="43C79E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14F99D97" w14:textId="77777777" w:rsidTr="006C5731">
        <w:trPr>
          <w:cantSplit/>
        </w:trPr>
        <w:tc>
          <w:tcPr>
            <w:tcW w:w="609" w:type="dxa"/>
          </w:tcPr>
          <w:p w14:paraId="2D111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049F5E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7107DA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555FE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5F04B5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52A56F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2FC5C4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10F63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5665FD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21C1A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1E5866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40590D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5.558</w:t>
            </w:r>
          </w:p>
        </w:tc>
        <w:tc>
          <w:tcPr>
            <w:tcW w:w="609" w:type="dxa"/>
          </w:tcPr>
          <w:p w14:paraId="336717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r>
      <w:tr w:rsidR="006C5731" w:rsidRPr="001C2B3F" w14:paraId="113410EB" w14:textId="77777777" w:rsidTr="006C5731">
        <w:trPr>
          <w:cantSplit/>
        </w:trPr>
        <w:tc>
          <w:tcPr>
            <w:tcW w:w="609" w:type="dxa"/>
          </w:tcPr>
          <w:p w14:paraId="471F75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1CDE6E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1C3F1E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C8F16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58683B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31BCE4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6A7E6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6248DD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076A2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02485E5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D58D1A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436FD2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33EC74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5.545</w:t>
            </w:r>
          </w:p>
        </w:tc>
      </w:tr>
      <w:tr w:rsidR="006C5731" w:rsidRPr="001C2B3F" w14:paraId="19069473" w14:textId="77777777" w:rsidTr="006C5731">
        <w:trPr>
          <w:cantSplit/>
        </w:trPr>
        <w:tc>
          <w:tcPr>
            <w:tcW w:w="609" w:type="dxa"/>
          </w:tcPr>
          <w:p w14:paraId="1579C9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7C26EF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CCA77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5.546</w:t>
            </w:r>
          </w:p>
        </w:tc>
        <w:tc>
          <w:tcPr>
            <w:tcW w:w="609" w:type="dxa"/>
          </w:tcPr>
          <w:p w14:paraId="7E52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3483D8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411216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6E083E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4D5A36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18EDF9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7C99F1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38D5BD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AE588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52B8DD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r>
      <w:tr w:rsidR="006C5731" w:rsidRPr="001C2B3F" w14:paraId="7F977843" w14:textId="77777777" w:rsidTr="006C5731">
        <w:trPr>
          <w:cantSplit/>
        </w:trPr>
        <w:tc>
          <w:tcPr>
            <w:tcW w:w="609" w:type="dxa"/>
          </w:tcPr>
          <w:p w14:paraId="2C79B2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53B37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c>
          <w:tcPr>
            <w:tcW w:w="609" w:type="dxa"/>
          </w:tcPr>
          <w:p w14:paraId="271813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1B2D0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24022F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02DAB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1BE817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31D1CE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58FAF8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F15F0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77BB4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6E629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26C8C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r>
      <w:tr w:rsidR="006C5731" w:rsidRPr="001C2B3F" w14:paraId="36468F5C" w14:textId="77777777" w:rsidTr="006C5731">
        <w:trPr>
          <w:cantSplit/>
        </w:trPr>
        <w:tc>
          <w:tcPr>
            <w:tcW w:w="609" w:type="dxa"/>
          </w:tcPr>
          <w:p w14:paraId="70ED90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64BE60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5.519</w:t>
            </w:r>
          </w:p>
        </w:tc>
        <w:tc>
          <w:tcPr>
            <w:tcW w:w="609" w:type="dxa"/>
          </w:tcPr>
          <w:p w14:paraId="7677E9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715338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09FB48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29DC60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06692B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5.535</w:t>
            </w:r>
          </w:p>
        </w:tc>
        <w:tc>
          <w:tcPr>
            <w:tcW w:w="609" w:type="dxa"/>
          </w:tcPr>
          <w:p w14:paraId="0BC8A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2C2230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36B927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c>
          <w:tcPr>
            <w:tcW w:w="609" w:type="dxa"/>
          </w:tcPr>
          <w:p w14:paraId="783454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0A9B34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7F27D5E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5.501</w:t>
            </w:r>
          </w:p>
        </w:tc>
      </w:tr>
      <w:tr w:rsidR="006C5731" w:rsidRPr="001C2B3F" w14:paraId="021A7855" w14:textId="77777777" w:rsidTr="006C5731">
        <w:trPr>
          <w:cantSplit/>
        </w:trPr>
        <w:tc>
          <w:tcPr>
            <w:tcW w:w="609" w:type="dxa"/>
          </w:tcPr>
          <w:p w14:paraId="4BF680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w:t>
            </w:r>
          </w:p>
        </w:tc>
        <w:tc>
          <w:tcPr>
            <w:tcW w:w="609" w:type="dxa"/>
          </w:tcPr>
          <w:p w14:paraId="4ABEFE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5.499</w:t>
            </w:r>
          </w:p>
        </w:tc>
        <w:tc>
          <w:tcPr>
            <w:tcW w:w="609" w:type="dxa"/>
          </w:tcPr>
          <w:p w14:paraId="1C3F85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5.516</w:t>
            </w:r>
          </w:p>
        </w:tc>
        <w:tc>
          <w:tcPr>
            <w:tcW w:w="609" w:type="dxa"/>
          </w:tcPr>
          <w:p w14:paraId="4BF289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328B03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1A160B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5AC7F8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5.520</w:t>
            </w:r>
          </w:p>
        </w:tc>
        <w:tc>
          <w:tcPr>
            <w:tcW w:w="609" w:type="dxa"/>
          </w:tcPr>
          <w:p w14:paraId="44A557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1623DD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7907A4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3539C7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5.503</w:t>
            </w:r>
          </w:p>
        </w:tc>
        <w:tc>
          <w:tcPr>
            <w:tcW w:w="609" w:type="dxa"/>
          </w:tcPr>
          <w:p w14:paraId="04AA1E0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5.495</w:t>
            </w:r>
          </w:p>
        </w:tc>
        <w:tc>
          <w:tcPr>
            <w:tcW w:w="609" w:type="dxa"/>
          </w:tcPr>
          <w:p w14:paraId="0D4DF0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5.483</w:t>
            </w:r>
          </w:p>
        </w:tc>
      </w:tr>
    </w:tbl>
    <w:p w14:paraId="4C87024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1" w:name="s1b.-deviation-from-mean-µm"/>
      <w:bookmarkEnd w:id="10"/>
      <w:r w:rsidRPr="001C2B3F">
        <w:rPr>
          <w:rFonts w:ascii="Times New Roman" w:hAnsi="Times New Roman" w:cs="Times New Roman"/>
          <w:sz w:val="24"/>
          <w:szCs w:val="24"/>
        </w:rPr>
        <w:t>S1B. Deviation from mean (µm)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619D9AF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726F873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3BA2E1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72A595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555E75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23CAF1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3BB193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26654EB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178ACA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4281DE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B3430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C363A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777124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4A8168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7D09B094" w14:textId="77777777" w:rsidTr="006C5731">
        <w:trPr>
          <w:cantSplit/>
        </w:trPr>
        <w:tc>
          <w:tcPr>
            <w:tcW w:w="609" w:type="dxa"/>
          </w:tcPr>
          <w:p w14:paraId="764E0B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0A18E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+16.2</w:t>
            </w:r>
          </w:p>
        </w:tc>
        <w:tc>
          <w:tcPr>
            <w:tcW w:w="609" w:type="dxa"/>
          </w:tcPr>
          <w:p w14:paraId="3D6B59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A5075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5BB73B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1F821F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E09EFB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3E3EB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07BEB7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3A99F8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+46.2</w:t>
            </w:r>
          </w:p>
        </w:tc>
        <w:tc>
          <w:tcPr>
            <w:tcW w:w="609" w:type="dxa"/>
          </w:tcPr>
          <w:p w14:paraId="3FEDF2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+45.2</w:t>
            </w:r>
          </w:p>
        </w:tc>
        <w:tc>
          <w:tcPr>
            <w:tcW w:w="609" w:type="dxa"/>
          </w:tcPr>
          <w:p w14:paraId="267966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+30.2</w:t>
            </w:r>
          </w:p>
        </w:tc>
        <w:tc>
          <w:tcPr>
            <w:tcW w:w="609" w:type="dxa"/>
          </w:tcPr>
          <w:p w14:paraId="1A6703C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0E0D2E2A" w14:textId="77777777" w:rsidTr="006C5731">
        <w:trPr>
          <w:cantSplit/>
        </w:trPr>
        <w:tc>
          <w:tcPr>
            <w:tcW w:w="609" w:type="dxa"/>
          </w:tcPr>
          <w:p w14:paraId="77C807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4FC8AC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60814D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B919D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7C5688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1EAF87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EF260C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4377D5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+42.2</w:t>
            </w:r>
          </w:p>
        </w:tc>
        <w:tc>
          <w:tcPr>
            <w:tcW w:w="609" w:type="dxa"/>
          </w:tcPr>
          <w:p w14:paraId="673A67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6B1F8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34A8FDF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223A5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+36.2</w:t>
            </w:r>
          </w:p>
        </w:tc>
        <w:tc>
          <w:tcPr>
            <w:tcW w:w="609" w:type="dxa"/>
          </w:tcPr>
          <w:p w14:paraId="3C867A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27994415" w14:textId="77777777" w:rsidTr="006C5731">
        <w:trPr>
          <w:cantSplit/>
        </w:trPr>
        <w:tc>
          <w:tcPr>
            <w:tcW w:w="609" w:type="dxa"/>
          </w:tcPr>
          <w:p w14:paraId="2AB0C2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5A17CA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DC7B4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517007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1E6EE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35C62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A308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233A9A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A58A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5555FA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5E6675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BA553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+7.2</w:t>
            </w:r>
          </w:p>
        </w:tc>
        <w:tc>
          <w:tcPr>
            <w:tcW w:w="609" w:type="dxa"/>
          </w:tcPr>
          <w:p w14:paraId="308634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r>
      <w:tr w:rsidR="006C5731" w:rsidRPr="001C2B3F" w14:paraId="5FF167D5" w14:textId="77777777" w:rsidTr="006C5731">
        <w:trPr>
          <w:cantSplit/>
        </w:trPr>
        <w:tc>
          <w:tcPr>
            <w:tcW w:w="609" w:type="dxa"/>
          </w:tcPr>
          <w:p w14:paraId="3DD59F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4761B6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0A95AE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2B5D67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964B0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66E6C1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D9E66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CEF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1E82B3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173AF1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4B57C2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DEAE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79E1A1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-5.8</w:t>
            </w:r>
          </w:p>
        </w:tc>
      </w:tr>
      <w:tr w:rsidR="006C5731" w:rsidRPr="001C2B3F" w14:paraId="4FEC3009" w14:textId="77777777" w:rsidTr="006C5731">
        <w:trPr>
          <w:cantSplit/>
        </w:trPr>
        <w:tc>
          <w:tcPr>
            <w:tcW w:w="609" w:type="dxa"/>
          </w:tcPr>
          <w:p w14:paraId="4B29410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08AF89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12968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w:t>
            </w:r>
          </w:p>
        </w:tc>
        <w:tc>
          <w:tcPr>
            <w:tcW w:w="609" w:type="dxa"/>
          </w:tcPr>
          <w:p w14:paraId="3C951A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3F17A71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097143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594660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7BE9B8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50626A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6A970A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3F7DFB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F150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4456C5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r>
      <w:tr w:rsidR="006C5731" w:rsidRPr="001C2B3F" w14:paraId="65460C1C" w14:textId="77777777" w:rsidTr="006C5731">
        <w:trPr>
          <w:cantSplit/>
        </w:trPr>
        <w:tc>
          <w:tcPr>
            <w:tcW w:w="609" w:type="dxa"/>
          </w:tcPr>
          <w:p w14:paraId="32FB9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79CFE4C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c>
          <w:tcPr>
            <w:tcW w:w="609" w:type="dxa"/>
          </w:tcPr>
          <w:p w14:paraId="378970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2EA52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1183F5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0E60662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33AEA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6332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14B6DA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45ED18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33DAFF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739604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5D496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r>
      <w:tr w:rsidR="006C5731" w:rsidRPr="001C2B3F" w14:paraId="0F7F9758" w14:textId="77777777" w:rsidTr="006C5731">
        <w:trPr>
          <w:cantSplit/>
        </w:trPr>
        <w:tc>
          <w:tcPr>
            <w:tcW w:w="609" w:type="dxa"/>
          </w:tcPr>
          <w:p w14:paraId="4B4B6C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279CE4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-31.8</w:t>
            </w:r>
          </w:p>
        </w:tc>
        <w:tc>
          <w:tcPr>
            <w:tcW w:w="609" w:type="dxa"/>
          </w:tcPr>
          <w:p w14:paraId="48F151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6CC1F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68741D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498E70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78866A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-15.8</w:t>
            </w:r>
          </w:p>
        </w:tc>
        <w:tc>
          <w:tcPr>
            <w:tcW w:w="609" w:type="dxa"/>
          </w:tcPr>
          <w:p w14:paraId="57B38A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1DDB0F3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77E4B0E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c>
          <w:tcPr>
            <w:tcW w:w="609" w:type="dxa"/>
          </w:tcPr>
          <w:p w14:paraId="1B63D0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F3D1A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46358D6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-49.8</w:t>
            </w:r>
          </w:p>
        </w:tc>
      </w:tr>
      <w:tr w:rsidR="006C5731" w:rsidRPr="001C2B3F" w14:paraId="5DD7D624" w14:textId="77777777" w:rsidTr="006C5731">
        <w:trPr>
          <w:cantSplit/>
        </w:trPr>
        <w:tc>
          <w:tcPr>
            <w:tcW w:w="609" w:type="dxa"/>
          </w:tcPr>
          <w:p w14:paraId="2CDDD1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H</w:t>
            </w:r>
          </w:p>
        </w:tc>
        <w:tc>
          <w:tcPr>
            <w:tcW w:w="609" w:type="dxa"/>
          </w:tcPr>
          <w:p w14:paraId="54B72C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-51.8</w:t>
            </w:r>
          </w:p>
        </w:tc>
        <w:tc>
          <w:tcPr>
            <w:tcW w:w="609" w:type="dxa"/>
          </w:tcPr>
          <w:p w14:paraId="122DE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-34.8</w:t>
            </w:r>
          </w:p>
        </w:tc>
        <w:tc>
          <w:tcPr>
            <w:tcW w:w="609" w:type="dxa"/>
          </w:tcPr>
          <w:p w14:paraId="05AC47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3D3180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2F0D1B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24F32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-30.8</w:t>
            </w:r>
          </w:p>
        </w:tc>
        <w:tc>
          <w:tcPr>
            <w:tcW w:w="609" w:type="dxa"/>
          </w:tcPr>
          <w:p w14:paraId="1F63E04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5A0D4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161716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0ECB94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-47.8</w:t>
            </w:r>
          </w:p>
        </w:tc>
        <w:tc>
          <w:tcPr>
            <w:tcW w:w="609" w:type="dxa"/>
          </w:tcPr>
          <w:p w14:paraId="32FF4D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w:t>
            </w:r>
          </w:p>
        </w:tc>
        <w:tc>
          <w:tcPr>
            <w:tcW w:w="609" w:type="dxa"/>
          </w:tcPr>
          <w:p w14:paraId="073D83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-67.8</w:t>
            </w:r>
          </w:p>
        </w:tc>
      </w:tr>
    </w:tbl>
    <w:p w14:paraId="3C3F0AE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2" w:name="Xba4f7565cbc3769b85d534b4fb0d4729d40e3ab"/>
      <w:bookmarkEnd w:id="9"/>
      <w:bookmarkEnd w:id="11"/>
      <w:r w:rsidRPr="001C2B3F">
        <w:rPr>
          <w:rFonts w:ascii="Times New Roman" w:hAnsi="Times New Roman" w:cs="Times New Roman"/>
          <w:sz w:val="24"/>
          <w:szCs w:val="24"/>
        </w:rPr>
        <w:t>Supplementary Table S2. Multiscale microfluidic fabrication strategies</w:t>
      </w:r>
    </w:p>
    <w:p w14:paraId="59931CDC"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Representative strategies for combining micrometer-scale features with millimeter-scale wells or other tall structures are summarized below. The comparison emphasizes the operations and equipment each strategy adds to conventional PDMS soft lithography. Abbreviations: poly(methyl methacrylate) (PMMA); cyclic olefin copolymer (COC); computer numerical control (CNC); American National Standards Institute (ANSI); Society for Laboratory Automation and Screening (SLAS).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6C5731" w:rsidRPr="001C2B3F" w14:paraId="2C3DCFC8"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320" w:type="dxa"/>
          </w:tcPr>
          <w:p w14:paraId="7BC6F9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Approach</w:t>
            </w:r>
          </w:p>
        </w:tc>
        <w:tc>
          <w:tcPr>
            <w:tcW w:w="1320" w:type="dxa"/>
          </w:tcPr>
          <w:p w14:paraId="1B6F5A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Micrometer-scale features</w:t>
            </w:r>
          </w:p>
        </w:tc>
        <w:tc>
          <w:tcPr>
            <w:tcW w:w="1320" w:type="dxa"/>
          </w:tcPr>
          <w:p w14:paraId="19E0A9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Millimeter-scale wells or tall structures</w:t>
            </w:r>
          </w:p>
        </w:tc>
        <w:tc>
          <w:tcPr>
            <w:tcW w:w="1320" w:type="dxa"/>
          </w:tcPr>
          <w:p w14:paraId="5AD86D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Plate-format and automation compatibility</w:t>
            </w:r>
          </w:p>
        </w:tc>
        <w:tc>
          <w:tcPr>
            <w:tcW w:w="1320" w:type="dxa"/>
          </w:tcPr>
          <w:p w14:paraId="3BFE71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Added workflow and equipment</w:t>
            </w:r>
          </w:p>
        </w:tc>
        <w:tc>
          <w:tcPr>
            <w:tcW w:w="1320" w:type="dxa"/>
          </w:tcPr>
          <w:p w14:paraId="2B67128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Representative references</w:t>
            </w:r>
          </w:p>
        </w:tc>
      </w:tr>
      <w:tr w:rsidR="006C5731" w:rsidRPr="001C2B3F" w14:paraId="03DBEC91" w14:textId="77777777" w:rsidTr="006C5731">
        <w:trPr>
          <w:cantSplit/>
        </w:trPr>
        <w:tc>
          <w:tcPr>
            <w:tcW w:w="1320" w:type="dxa"/>
          </w:tcPr>
          <w:p w14:paraId="5A58FB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Conventional PDMS soft lithography with manual punching</w:t>
            </w:r>
          </w:p>
        </w:tc>
        <w:tc>
          <w:tcPr>
            <w:tcW w:w="1320" w:type="dxa"/>
          </w:tcPr>
          <w:p w14:paraId="22AADC8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channels</w:t>
            </w:r>
          </w:p>
        </w:tc>
        <w:tc>
          <w:tcPr>
            <w:tcW w:w="1320" w:type="dxa"/>
          </w:tcPr>
          <w:p w14:paraId="0FDAF5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Openings made with a biopsy punch after casting</w:t>
            </w:r>
          </w:p>
        </w:tc>
        <w:tc>
          <w:tcPr>
            <w:tcW w:w="1320" w:type="dxa"/>
          </w:tcPr>
          <w:p w14:paraId="5E0BA3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Each opening is made separately after casting</w:t>
            </w:r>
          </w:p>
        </w:tc>
        <w:tc>
          <w:tcPr>
            <w:tcW w:w="1320" w:type="dxa"/>
          </w:tcPr>
          <w:p w14:paraId="7F84A2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Biopsy punching and manual debris removal during every device-production cycle</w:t>
            </w:r>
          </w:p>
        </w:tc>
        <w:tc>
          <w:tcPr>
            <w:tcW w:w="1320" w:type="dxa"/>
          </w:tcPr>
          <w:p w14:paraId="1E6781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approach; see Taylor et al., 2005</w:t>
            </w:r>
          </w:p>
        </w:tc>
      </w:tr>
      <w:tr w:rsidR="006C5731" w:rsidRPr="001C2B3F" w14:paraId="08A79009" w14:textId="77777777" w:rsidTr="006C5731">
        <w:trPr>
          <w:cantSplit/>
        </w:trPr>
        <w:tc>
          <w:tcPr>
            <w:tcW w:w="1320" w:type="dxa"/>
          </w:tcPr>
          <w:p w14:paraId="270F27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Carbon dioxide (CO2) laser micromachining of PDMS</w:t>
            </w:r>
          </w:p>
        </w:tc>
        <w:tc>
          <w:tcPr>
            <w:tcW w:w="1320" w:type="dxa"/>
          </w:tcPr>
          <w:p w14:paraId="0B60D0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Maskless laser-ablated trenches whose profile depends on power, pulse density, and traverse speed</w:t>
            </w:r>
          </w:p>
        </w:tc>
        <w:tc>
          <w:tcPr>
            <w:tcW w:w="1320" w:type="dxa"/>
          </w:tcPr>
          <w:p w14:paraId="1C3A4E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Laser-ablated PDMS channels rather than cast well features</w:t>
            </w:r>
          </w:p>
        </w:tc>
        <w:tc>
          <w:tcPr>
            <w:tcW w:w="1320" w:type="dxa"/>
          </w:tcPr>
          <w:p w14:paraId="03EC4E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Computer-controlled but serial processing of PDMS sheets</w:t>
            </w:r>
          </w:p>
        </w:tc>
        <w:tc>
          <w:tcPr>
            <w:tcW w:w="1320" w:type="dxa"/>
          </w:tcPr>
          <w:p w14:paraId="1B8A9A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CO2 laser processing during each device-production cycle</w:t>
            </w:r>
          </w:p>
        </w:tc>
        <w:tc>
          <w:tcPr>
            <w:tcW w:w="1320" w:type="dxa"/>
          </w:tcPr>
          <w:p w14:paraId="2F486D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Holle et al., 2007</w:t>
            </w:r>
          </w:p>
        </w:tc>
      </w:tr>
      <w:tr w:rsidR="006C5731" w:rsidRPr="001C2B3F" w14:paraId="54600442" w14:textId="77777777" w:rsidTr="006C5731">
        <w:trPr>
          <w:cantSplit/>
        </w:trPr>
        <w:tc>
          <w:tcPr>
            <w:tcW w:w="1320" w:type="dxa"/>
          </w:tcPr>
          <w:p w14:paraId="1F4D53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Hybrid micro- and millimeter-scale mold via milling and hot embossing</w:t>
            </w:r>
          </w:p>
        </w:tc>
        <w:tc>
          <w:tcPr>
            <w:tcW w:w="1320" w:type="dxa"/>
          </w:tcPr>
          <w:p w14:paraId="748D2CD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 embossing for microfeatures</w:t>
            </w:r>
          </w:p>
        </w:tc>
        <w:tc>
          <w:tcPr>
            <w:tcW w:w="1320" w:type="dxa"/>
          </w:tcPr>
          <w:p w14:paraId="66FDEB2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PMMA-milled large structures</w:t>
            </w:r>
          </w:p>
        </w:tc>
        <w:tc>
          <w:tcPr>
            <w:tcW w:w="1320" w:type="dxa"/>
          </w:tcPr>
          <w:p w14:paraId="36340AA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Batch device production from a reusable PDMS mold</w:t>
            </w:r>
          </w:p>
        </w:tc>
        <w:tc>
          <w:tcPr>
            <w:tcW w:w="1320" w:type="dxa"/>
          </w:tcPr>
          <w:p w14:paraId="058A1C7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Milling, hot embossing, and a workflow involving several molds</w:t>
            </w:r>
          </w:p>
        </w:tc>
        <w:tc>
          <w:tcPr>
            <w:tcW w:w="1320" w:type="dxa"/>
          </w:tcPr>
          <w:p w14:paraId="1E739D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Park et al., 2010</w:t>
            </w:r>
          </w:p>
        </w:tc>
      </w:tr>
      <w:tr w:rsidR="006C5731" w:rsidRPr="001C2B3F" w14:paraId="44C0D15F" w14:textId="77777777" w:rsidTr="006C5731">
        <w:trPr>
          <w:cantSplit/>
        </w:trPr>
        <w:tc>
          <w:tcPr>
            <w:tcW w:w="1320" w:type="dxa"/>
          </w:tcPr>
          <w:p w14:paraId="029028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Thick SU-8 molding and photolithography</w:t>
            </w:r>
          </w:p>
        </w:tc>
        <w:tc>
          <w:tcPr>
            <w:tcW w:w="1320" w:type="dxa"/>
          </w:tcPr>
          <w:p w14:paraId="6F7B0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Photolithography on a molded SU-8 surface</w:t>
            </w:r>
          </w:p>
        </w:tc>
        <w:tc>
          <w:tcPr>
            <w:tcW w:w="1320" w:type="dxa"/>
          </w:tcPr>
          <w:p w14:paraId="5CC054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 structures molded from a 3D-printed pattern through an intermediate PDMS mold</w:t>
            </w:r>
          </w:p>
        </w:tc>
        <w:tc>
          <w:tcPr>
            <w:tcW w:w="1320" w:type="dxa"/>
          </w:tcPr>
          <w:p w14:paraId="5966FB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Continuous micro- and millimeter-scale structures</w:t>
            </w:r>
          </w:p>
        </w:tc>
        <w:tc>
          <w:tcPr>
            <w:tcW w:w="1320" w:type="dxa"/>
          </w:tcPr>
          <w:p w14:paraId="5EC5955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Printed-pattern preparation, intermediate molding, and multi-step SU-8 handling</w:t>
            </w:r>
          </w:p>
        </w:tc>
        <w:tc>
          <w:tcPr>
            <w:tcW w:w="1320" w:type="dxa"/>
          </w:tcPr>
          <w:p w14:paraId="5CFF2F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Tamura and Suzuki, 2019</w:t>
            </w:r>
          </w:p>
        </w:tc>
      </w:tr>
      <w:tr w:rsidR="006C5731" w:rsidRPr="001C2B3F" w14:paraId="2EA668E2" w14:textId="77777777" w:rsidTr="006C5731">
        <w:trPr>
          <w:cantSplit/>
        </w:trPr>
        <w:tc>
          <w:tcPr>
            <w:tcW w:w="1320" w:type="dxa"/>
          </w:tcPr>
          <w:p w14:paraId="342CFA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Direct 3D printing of PDMS onto a photolithographic mold</w:t>
            </w:r>
          </w:p>
        </w:tc>
        <w:tc>
          <w:tcPr>
            <w:tcW w:w="1320" w:type="dxa"/>
          </w:tcPr>
          <w:p w14:paraId="3C81F5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Photolithographic mold for microchannels</w:t>
            </w:r>
          </w:p>
        </w:tc>
        <w:tc>
          <w:tcPr>
            <w:tcW w:w="1320" w:type="dxa"/>
          </w:tcPr>
          <w:p w14:paraId="60B056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PDMS walls or compartments</w:t>
            </w:r>
          </w:p>
        </w:tc>
        <w:tc>
          <w:tcPr>
            <w:tcW w:w="1320" w:type="dxa"/>
          </w:tcPr>
          <w:p w14:paraId="67E3C3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Automated deposition of selected large structures</w:t>
            </w:r>
          </w:p>
        </w:tc>
        <w:tc>
          <w:tcPr>
            <w:tcW w:w="1320" w:type="dxa"/>
          </w:tcPr>
          <w:p w14:paraId="27C4EF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PDMS-printing hardware, material formulation, and print control during production</w:t>
            </w:r>
          </w:p>
        </w:tc>
        <w:tc>
          <w:tcPr>
            <w:tcW w:w="1320" w:type="dxa"/>
          </w:tcPr>
          <w:p w14:paraId="4921BE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Kajtez et al., 2020</w:t>
            </w:r>
          </w:p>
        </w:tc>
      </w:tr>
      <w:tr w:rsidR="006C5731" w:rsidRPr="001C2B3F" w14:paraId="48780505" w14:textId="77777777" w:rsidTr="006C5731">
        <w:trPr>
          <w:cantSplit/>
        </w:trPr>
        <w:tc>
          <w:tcPr>
            <w:tcW w:w="1320" w:type="dxa"/>
          </w:tcPr>
          <w:p w14:paraId="411277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molds and parts retained in the finished device</w:t>
            </w:r>
          </w:p>
        </w:tc>
        <w:tc>
          <w:tcPr>
            <w:tcW w:w="1320" w:type="dxa"/>
          </w:tcPr>
          <w:p w14:paraId="7C788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molds form the PDMS microstructures</w:t>
            </w:r>
          </w:p>
        </w:tc>
        <w:tc>
          <w:tcPr>
            <w:tcW w:w="1320" w:type="dxa"/>
          </w:tcPr>
          <w:p w14:paraId="35FD5C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separate printed cap defines and closes the culture chambers</w:t>
            </w:r>
          </w:p>
        </w:tc>
        <w:tc>
          <w:tcPr>
            <w:tcW w:w="1320" w:type="dxa"/>
          </w:tcPr>
          <w:p w14:paraId="53D8F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Eight parallel chambers aligned to a 96-well plate grid for robotic and microscope compatibility</w:t>
            </w:r>
          </w:p>
        </w:tc>
        <w:tc>
          <w:tcPr>
            <w:tcW w:w="1320" w:type="dxa"/>
          </w:tcPr>
          <w:p w14:paraId="4647FA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 and resin selection, post-treatment, mixed-material assembly, and perfusion hardware</w:t>
            </w:r>
          </w:p>
        </w:tc>
        <w:tc>
          <w:tcPr>
            <w:tcW w:w="1320" w:type="dxa"/>
          </w:tcPr>
          <w:p w14:paraId="524F54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Meynard et al., 2025</w:t>
            </w:r>
          </w:p>
        </w:tc>
      </w:tr>
      <w:tr w:rsidR="006C5731" w:rsidRPr="001C2B3F" w14:paraId="0BEA568B" w14:textId="77777777" w:rsidTr="006C5731">
        <w:trPr>
          <w:cantSplit/>
        </w:trPr>
        <w:tc>
          <w:tcPr>
            <w:tcW w:w="1320" w:type="dxa"/>
          </w:tcPr>
          <w:p w14:paraId="3F655D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resin printing onto patterned chips</w:t>
            </w:r>
          </w:p>
        </w:tc>
        <w:tc>
          <w:tcPr>
            <w:tcW w:w="1320" w:type="dxa"/>
          </w:tcPr>
          <w:p w14:paraId="2EAE58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lithography on diced chips</w:t>
            </w:r>
          </w:p>
        </w:tc>
        <w:tc>
          <w:tcPr>
            <w:tcW w:w="1320" w:type="dxa"/>
          </w:tcPr>
          <w:p w14:paraId="717C0A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micro- and millimeter-scale 3D features</w:t>
            </w:r>
          </w:p>
        </w:tc>
        <w:tc>
          <w:tcPr>
            <w:tcW w:w="1320" w:type="dxa"/>
          </w:tcPr>
          <w:p w14:paraId="3EB28B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structures on individual chips</w:t>
            </w:r>
          </w:p>
        </w:tc>
        <w:tc>
          <w:tcPr>
            <w:tcW w:w="1320" w:type="dxa"/>
          </w:tcPr>
          <w:p w14:paraId="62B0DC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Chip dicing, resin-printing equipment, and chip-level alignment fixtures</w:t>
            </w:r>
          </w:p>
        </w:tc>
        <w:tc>
          <w:tcPr>
            <w:tcW w:w="1320" w:type="dxa"/>
          </w:tcPr>
          <w:p w14:paraId="360F81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Pan et al., 2022</w:t>
            </w:r>
          </w:p>
        </w:tc>
      </w:tr>
      <w:tr w:rsidR="006C5731" w:rsidRPr="001C2B3F" w14:paraId="05280CFF" w14:textId="77777777" w:rsidTr="006C5731">
        <w:trPr>
          <w:cantSplit/>
        </w:trPr>
        <w:tc>
          <w:tcPr>
            <w:tcW w:w="1320" w:type="dxa"/>
          </w:tcPr>
          <w:p w14:paraId="3806D5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3D-printed inserts bonded to SU-8</w:t>
            </w:r>
          </w:p>
        </w:tc>
        <w:tc>
          <w:tcPr>
            <w:tcW w:w="1320" w:type="dxa"/>
          </w:tcPr>
          <w:p w14:paraId="792D38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features</w:t>
            </w:r>
          </w:p>
        </w:tc>
        <w:tc>
          <w:tcPr>
            <w:tcW w:w="1320" w:type="dxa"/>
          </w:tcPr>
          <w:p w14:paraId="56EBCA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Tall 3D-printed metal inserts bonded with epoxy</w:t>
            </w:r>
          </w:p>
        </w:tc>
        <w:tc>
          <w:tcPr>
            <w:tcW w:w="1320" w:type="dxa"/>
          </w:tcPr>
          <w:p w14:paraId="2EB83A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 cell compartments at individual-device scale</w:t>
            </w:r>
          </w:p>
        </w:tc>
        <w:tc>
          <w:tcPr>
            <w:tcW w:w="1320" w:type="dxa"/>
          </w:tcPr>
          <w:p w14:paraId="6CADE5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Metal 3D printing and individual alignment and bonding of three inserts on each mold</w:t>
            </w:r>
          </w:p>
        </w:tc>
        <w:tc>
          <w:tcPr>
            <w:tcW w:w="1320" w:type="dxa"/>
          </w:tcPr>
          <w:p w14:paraId="665926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Ristola et al., 2019</w:t>
            </w:r>
          </w:p>
        </w:tc>
      </w:tr>
      <w:tr w:rsidR="006C5731" w:rsidRPr="001C2B3F" w14:paraId="0746DDF9" w14:textId="77777777" w:rsidTr="006C5731">
        <w:trPr>
          <w:cantSplit/>
        </w:trPr>
        <w:tc>
          <w:tcPr>
            <w:tcW w:w="1320" w:type="dxa"/>
          </w:tcPr>
          <w:p w14:paraId="6C874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Hard-plastic microtiter microfluidic plates</w:t>
            </w:r>
          </w:p>
        </w:tc>
        <w:tc>
          <w:tcPr>
            <w:tcW w:w="1320" w:type="dxa"/>
          </w:tcPr>
          <w:p w14:paraId="1BD900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Hot-embossed microchannels in COC</w:t>
            </w:r>
          </w:p>
        </w:tc>
        <w:tc>
          <w:tcPr>
            <w:tcW w:w="1320" w:type="dxa"/>
          </w:tcPr>
          <w:p w14:paraId="6F034C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CNC-milled wells or compartments with fusion bonding</w:t>
            </w:r>
          </w:p>
        </w:tc>
        <w:tc>
          <w:tcPr>
            <w:tcW w:w="1320" w:type="dxa"/>
          </w:tcPr>
          <w:p w14:paraId="6C89247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ANSI/SLAS-compatible automated plate format</w:t>
            </w:r>
          </w:p>
        </w:tc>
        <w:tc>
          <w:tcPr>
            <w:tcW w:w="1320" w:type="dxa"/>
          </w:tcPr>
          <w:p w14:paraId="644843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 milling, hot embossing, layer alignment, and fusion bonding</w:t>
            </w:r>
          </w:p>
        </w:tc>
        <w:tc>
          <w:tcPr>
            <w:tcW w:w="1320" w:type="dxa"/>
          </w:tcPr>
          <w:p w14:paraId="4353F7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Moll et al., 2024</w:t>
            </w:r>
          </w:p>
        </w:tc>
      </w:tr>
      <w:tr w:rsidR="006C5731" w:rsidRPr="001C2B3F" w14:paraId="3BC9B91D" w14:textId="77777777" w:rsidTr="006C5731">
        <w:trPr>
          <w:cantSplit/>
        </w:trPr>
        <w:tc>
          <w:tcPr>
            <w:tcW w:w="1320" w:type="dxa"/>
          </w:tcPr>
          <w:p w14:paraId="44BE4B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microfluidic titer plates</w:t>
            </w:r>
          </w:p>
        </w:tc>
        <w:tc>
          <w:tcPr>
            <w:tcW w:w="1320" w:type="dxa"/>
          </w:tcPr>
          <w:p w14:paraId="536C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 phaseguide-based microfluidics</w:t>
            </w:r>
          </w:p>
        </w:tc>
        <w:tc>
          <w:tcPr>
            <w:tcW w:w="1320" w:type="dxa"/>
          </w:tcPr>
          <w:p w14:paraId="7AF5C9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w:t>
            </w:r>
          </w:p>
        </w:tc>
        <w:tc>
          <w:tcPr>
            <w:tcW w:w="1320" w:type="dxa"/>
          </w:tcPr>
          <w:p w14:paraId="423771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384-well plate footprint containing 40 tissue-culture chips</w:t>
            </w:r>
          </w:p>
        </w:tc>
        <w:tc>
          <w:tcPr>
            <w:tcW w:w="1320" w:type="dxa"/>
          </w:tcPr>
          <w:p w14:paraId="63F7D0E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procurement and vendor-defined geometries</w:t>
            </w:r>
          </w:p>
        </w:tc>
        <w:tc>
          <w:tcPr>
            <w:tcW w:w="1320" w:type="dxa"/>
          </w:tcPr>
          <w:p w14:paraId="351683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Spijkers et al., 2021</w:t>
            </w:r>
          </w:p>
        </w:tc>
      </w:tr>
      <w:tr w:rsidR="006C5731" w:rsidRPr="001C2B3F" w14:paraId="1874F0D7" w14:textId="77777777" w:rsidTr="006C5731">
        <w:trPr>
          <w:cantSplit/>
        </w:trPr>
        <w:tc>
          <w:tcPr>
            <w:tcW w:w="1320" w:type="dxa"/>
          </w:tcPr>
          <w:p w14:paraId="44CF6F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 wafer-bonded resin well inserts with SU-8/SUEX features</w:t>
            </w:r>
          </w:p>
        </w:tc>
        <w:tc>
          <w:tcPr>
            <w:tcW w:w="1320" w:type="dxa"/>
          </w:tcPr>
          <w:p w14:paraId="64EB71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SU-8/SUEX photolithography for micrometer-scale features</w:t>
            </w:r>
          </w:p>
        </w:tc>
        <w:tc>
          <w:tcPr>
            <w:tcW w:w="1320" w:type="dxa"/>
          </w:tcPr>
          <w:p w14:paraId="378005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 aligned resin insert array is bonded once to the reusable mold; all wells form during casting</w:t>
            </w:r>
          </w:p>
        </w:tc>
        <w:tc>
          <w:tcPr>
            <w:tcW w:w="1320" w:type="dxa"/>
          </w:tcPr>
          <w:p w14:paraId="456A25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Standard plate dimensions and 9 mm well grid; demonstrated with high-content imaging and autofocus</w:t>
            </w:r>
          </w:p>
        </w:tc>
        <w:tc>
          <w:tcPr>
            <w:tcW w:w="1320" w:type="dxa"/>
          </w:tcPr>
          <w:p w14:paraId="1437A9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Resin-array printing, one-time alignment and bonding, and parylene coating of the reusable mold; repeated device production uses PDMS casting and glass bonding</w:t>
            </w:r>
          </w:p>
        </w:tc>
        <w:tc>
          <w:tcPr>
            <w:tcW w:w="1320" w:type="dxa"/>
          </w:tcPr>
          <w:p w14:paraId="367A9A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w:t>
            </w:r>
          </w:p>
        </w:tc>
      </w:tr>
    </w:tbl>
    <w:p w14:paraId="5948353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3" w:name="X23db66869a0f78f837531f19ab4088856d482ac"/>
      <w:bookmarkEnd w:id="12"/>
      <w:r w:rsidRPr="001C2B3F">
        <w:rPr>
          <w:rFonts w:ascii="Times New Roman" w:hAnsi="Times New Roman" w:cs="Times New Roman"/>
          <w:sz w:val="24"/>
          <w:szCs w:val="24"/>
        </w:rPr>
        <w:lastRenderedPageBreak/>
        <w:t>Supplementary Table S3. Design parameters and validation checks</w:t>
      </w:r>
    </w:p>
    <w:p w14:paraId="422E089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14:paraId="7B0BAC77"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tblLayout w:type="fixed"/>
        <w:tblLook w:val="0020" w:firstRow="1" w:lastRow="0" w:firstColumn="0" w:lastColumn="0" w:noHBand="0" w:noVBand="0"/>
      </w:tblPr>
      <w:tblGrid>
        <w:gridCol w:w="2160"/>
        <w:gridCol w:w="2880"/>
        <w:gridCol w:w="2160"/>
        <w:gridCol w:w="2160"/>
      </w:tblGrid>
      <w:tr w:rsidR="006C5731" w:rsidRPr="001C2B3F" w14:paraId="5BCE6F54"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827" w:type="dxa"/>
          </w:tcPr>
          <w:p w14:paraId="09E452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Design feature</w:t>
            </w:r>
          </w:p>
        </w:tc>
        <w:tc>
          <w:tcPr>
            <w:tcW w:w="2436" w:type="dxa"/>
          </w:tcPr>
          <w:p w14:paraId="174B7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Value used here</w:t>
            </w:r>
          </w:p>
        </w:tc>
        <w:tc>
          <w:tcPr>
            <w:tcW w:w="1827" w:type="dxa"/>
          </w:tcPr>
          <w:p w14:paraId="46424B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Allowance included in the design</w:t>
            </w:r>
          </w:p>
        </w:tc>
        <w:tc>
          <w:tcPr>
            <w:tcW w:w="1827" w:type="dxa"/>
          </w:tcPr>
          <w:p w14:paraId="78687E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Changes that require testing</w:t>
            </w:r>
          </w:p>
        </w:tc>
      </w:tr>
      <w:tr w:rsidR="006C5731" w:rsidRPr="001C2B3F" w14:paraId="06492CE9" w14:textId="77777777" w:rsidTr="006C5731">
        <w:trPr>
          <w:cantSplit/>
        </w:trPr>
        <w:tc>
          <w:tcPr>
            <w:tcW w:w="1827" w:type="dxa"/>
          </w:tcPr>
          <w:p w14:paraId="1991D3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well spacing</w:t>
            </w:r>
          </w:p>
        </w:tc>
        <w:tc>
          <w:tcPr>
            <w:tcW w:w="2436" w:type="dxa"/>
          </w:tcPr>
          <w:p w14:paraId="0A7E6F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 × 8 two-well units (48 devices, 96 wells); device units spaced 18 × 9 mm apart; wells at ±4.5 mm from the unit center</w:t>
            </w:r>
          </w:p>
        </w:tc>
        <w:tc>
          <w:tcPr>
            <w:tcW w:w="1827" w:type="dxa"/>
          </w:tcPr>
          <w:p w14:paraId="2F75F2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centers remain on a 9 mm grid, so each two-well unit occupies two plate columns by one plate row</w:t>
            </w:r>
          </w:p>
        </w:tc>
        <w:tc>
          <w:tcPr>
            <w:tcW w:w="1827" w:type="dxa"/>
          </w:tcPr>
          <w:p w14:paraId="5AD3B16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Any non-9 mm well spacing, nonstandard device spacing, or layout intended for a different liquid handler or imager</w:t>
            </w:r>
          </w:p>
        </w:tc>
      </w:tr>
      <w:tr w:rsidR="006C5731" w:rsidRPr="001C2B3F" w14:paraId="7B0D11A6" w14:textId="77777777" w:rsidTr="006C5731">
        <w:trPr>
          <w:cantSplit/>
        </w:trPr>
        <w:tc>
          <w:tcPr>
            <w:tcW w:w="1827" w:type="dxa"/>
          </w:tcPr>
          <w:p w14:paraId="404CA9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frame dimensions</w:t>
            </w:r>
          </w:p>
        </w:tc>
        <w:tc>
          <w:tcPr>
            <w:tcW w:w="2436" w:type="dxa"/>
          </w:tcPr>
          <w:p w14:paraId="580EAE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 × 72 mm device array on a 110 × 74 mm glass outline; 150 mm wafer with a 57.5 mm flat</w:t>
            </w:r>
          </w:p>
        </w:tc>
        <w:tc>
          <w:tcPr>
            <w:tcW w:w="1827" w:type="dxa"/>
          </w:tcPr>
          <w:p w14:paraId="46463D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glass provides a 1 mm designed margin on each side of the device array; wafer, cutting, and frame outlines are generated from the same dimensions</w:t>
            </w:r>
          </w:p>
        </w:tc>
        <w:tc>
          <w:tcPr>
            <w:tcW w:w="1827" w:type="dxa"/>
          </w:tcPr>
          <w:p w14:paraId="0FBDAF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glass margins, larger arrays, a different wafer diameter, or manually edited cutting or frame outlines</w:t>
            </w:r>
          </w:p>
        </w:tc>
      </w:tr>
      <w:tr w:rsidR="006C5731" w:rsidRPr="001C2B3F" w14:paraId="66EC0B79" w14:textId="77777777" w:rsidTr="006C5731">
        <w:trPr>
          <w:cantSplit/>
        </w:trPr>
        <w:tc>
          <w:tcPr>
            <w:tcW w:w="1827" w:type="dxa"/>
          </w:tcPr>
          <w:p w14:paraId="3F6AFB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Alignment of wells, chambers, and channels</w:t>
            </w:r>
          </w:p>
        </w:tc>
        <w:tc>
          <w:tcPr>
            <w:tcW w:w="2436" w:type="dxa"/>
          </w:tcPr>
          <w:p w14:paraId="064025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 well radius; 5.0 mm chamber width; 62 channels with 10 µm width and 30 µm spacing</w:t>
            </w:r>
          </w:p>
        </w:tc>
        <w:tc>
          <w:tcPr>
            <w:tcW w:w="1827" w:type="dxa"/>
          </w:tcPr>
          <w:p w14:paraId="65D8B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channel array is 2.45 mm wide, leaving a 1.275 mm chamber margin on each side; chamber and insert dimensions are derived from the same channel measurements</w:t>
            </w:r>
          </w:p>
        </w:tc>
        <w:tc>
          <w:tcPr>
            <w:tcW w:w="1827" w:type="dxa"/>
          </w:tcPr>
          <w:p w14:paraId="46B348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Narrower channel gaps, wider channel arrays, smaller chambers, or channels placed closer to insert or adhesive-contact regions</w:t>
            </w:r>
          </w:p>
        </w:tc>
      </w:tr>
      <w:tr w:rsidR="006C5731" w:rsidRPr="001C2B3F" w14:paraId="57CC50DA" w14:textId="77777777" w:rsidTr="006C5731">
        <w:trPr>
          <w:cantSplit/>
        </w:trPr>
        <w:tc>
          <w:tcPr>
            <w:tcW w:w="1827" w:type="dxa"/>
          </w:tcPr>
          <w:p w14:paraId="08810C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Separation of fabrication layers</w:t>
            </w:r>
          </w:p>
        </w:tc>
        <w:tc>
          <w:tcPr>
            <w:tcW w:w="2436" w:type="dxa"/>
          </w:tcPr>
          <w:p w14:paraId="59BD17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µm SU-8 microchannel layer plus 200 µm SUEX well and alignment-hole layer</w:t>
            </w:r>
          </w:p>
        </w:tc>
        <w:tc>
          <w:tcPr>
            <w:tcW w:w="1827" w:type="dxa"/>
          </w:tcPr>
          <w:p w14:paraId="46460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microchannels and taller well features are fabricated as separate aligned layers using matching solid and hollow alignment marks</w:t>
            </w:r>
          </w:p>
        </w:tc>
        <w:tc>
          <w:tcPr>
            <w:tcW w:w="1827" w:type="dxa"/>
          </w:tcPr>
          <w:p w14:paraId="07EE30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Combining layers, changing SUEX thickness, or moving alignment holes into the microchannel layer</w:t>
            </w:r>
          </w:p>
        </w:tc>
      </w:tr>
      <w:tr w:rsidR="006C5731" w:rsidRPr="001C2B3F" w14:paraId="34F738A8" w14:textId="77777777" w:rsidTr="006C5731">
        <w:trPr>
          <w:cantSplit/>
        </w:trPr>
        <w:tc>
          <w:tcPr>
            <w:tcW w:w="1827" w:type="dxa"/>
          </w:tcPr>
          <w:p w14:paraId="544696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alignment</w:t>
            </w:r>
          </w:p>
        </w:tc>
        <w:tc>
          <w:tcPr>
            <w:tcW w:w="2436" w:type="dxa"/>
          </w:tcPr>
          <w:p w14:paraId="32FB6A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1.85 × 1.85 mm printed pins seated in 2.0 × 2.0 mm SUEX holes</w:t>
            </w:r>
          </w:p>
        </w:tc>
        <w:tc>
          <w:tcPr>
            <w:tcW w:w="1827" w:type="dxa"/>
          </w:tcPr>
          <w:p w14:paraId="721E6A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150 µm total side-to-side clearance, or 75 µm per side, between the printed pins and wafer holes</w:t>
            </w:r>
          </w:p>
        </w:tc>
        <w:tc>
          <w:tcPr>
            <w:tcW w:w="1827" w:type="dxa"/>
          </w:tcPr>
          <w:p w14:paraId="13E0DF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gaps between pins and holes, different resin or printer settings, or smaller alignment features</w:t>
            </w:r>
          </w:p>
        </w:tc>
      </w:tr>
      <w:tr w:rsidR="006C5731" w:rsidRPr="001C2B3F" w14:paraId="4E7CB01B" w14:textId="77777777" w:rsidTr="006C5731">
        <w:trPr>
          <w:cantSplit/>
        </w:trPr>
        <w:tc>
          <w:tcPr>
            <w:tcW w:w="1827" w:type="dxa"/>
          </w:tcPr>
          <w:p w14:paraId="0B455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seating across the array</w:t>
            </w:r>
          </w:p>
        </w:tc>
        <w:tc>
          <w:tcPr>
            <w:tcW w:w="2436" w:type="dxa"/>
          </w:tcPr>
          <w:p w14:paraId="7DF992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Measured pin-height variation of 116 µm between the lowest and highest pins; compressible EPDM rubber sheet used during clamping</w:t>
            </w:r>
          </w:p>
        </w:tc>
        <w:tc>
          <w:tcPr>
            <w:tcW w:w="1827" w:type="dxa"/>
          </w:tcPr>
          <w:p w14:paraId="6A6FA0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clamping layers must accommodate at least the measured height variation so all pins can seat before the epoxy cures</w:t>
            </w:r>
          </w:p>
        </w:tc>
        <w:tc>
          <w:tcPr>
            <w:tcW w:w="1827" w:type="dxa"/>
          </w:tcPr>
          <w:p w14:paraId="576165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Larger height variation across a print, stiffer clamping layers, or omission or replacement of the compressible layer</w:t>
            </w:r>
          </w:p>
        </w:tc>
      </w:tr>
      <w:tr w:rsidR="006C5731" w:rsidRPr="001C2B3F" w14:paraId="4E4649E8" w14:textId="77777777" w:rsidTr="006C5731">
        <w:trPr>
          <w:cantSplit/>
        </w:trPr>
        <w:tc>
          <w:tcPr>
            <w:tcW w:w="1827" w:type="dxa"/>
          </w:tcPr>
          <w:p w14:paraId="207CE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taper and demolding</w:t>
            </w:r>
          </w:p>
        </w:tc>
        <w:tc>
          <w:tcPr>
            <w:tcW w:w="2436" w:type="dxa"/>
          </w:tcPr>
          <w:p w14:paraId="73BAA95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 mm insert height; 16° outer taper; 0.300 mm extra taper allowance</w:t>
            </w:r>
          </w:p>
        </w:tc>
        <w:tc>
          <w:tcPr>
            <w:tcW w:w="1827" w:type="dxa"/>
          </w:tcPr>
          <w:p w14:paraId="5AFF0B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taper reduces each side by 1.39 mm from bottom to top; this preserves wall thickness while avoiding vertical outer walls</w:t>
            </w:r>
          </w:p>
        </w:tc>
        <w:tc>
          <w:tcPr>
            <w:tcW w:w="1827" w:type="dxa"/>
          </w:tcPr>
          <w:p w14:paraId="0555F9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Steeper walls, smaller wells or chambers after applying the taper, or less taper</w:t>
            </w:r>
          </w:p>
        </w:tc>
      </w:tr>
      <w:tr w:rsidR="006C5731" w:rsidRPr="001C2B3F" w14:paraId="201B27F8" w14:textId="77777777" w:rsidTr="006C5731">
        <w:trPr>
          <w:cantSplit/>
        </w:trPr>
        <w:tc>
          <w:tcPr>
            <w:tcW w:w="1827" w:type="dxa"/>
          </w:tcPr>
          <w:p w14:paraId="798E397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Well size, depth, and working volume</w:t>
            </w:r>
          </w:p>
        </w:tc>
        <w:tc>
          <w:tcPr>
            <w:tcW w:w="2436" w:type="dxa"/>
          </w:tcPr>
          <w:p w14:paraId="603EC76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Safe maximum working volume of 50 µL per well in the present plate</w:t>
            </w:r>
          </w:p>
        </w:tc>
        <w:tc>
          <w:tcPr>
            <w:tcW w:w="1827" w:type="dxa"/>
          </w:tcPr>
          <w:p w14:paraId="637446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At the fixed 9 mm spacing, taper and interwell wall thickness constrain well width and depth. The array fits the selected 110 × 74 mm glass sheet; enlarging the wells would require larger, substantially more expensive custom-cut glass</w:t>
            </w:r>
          </w:p>
        </w:tc>
        <w:tc>
          <w:tcPr>
            <w:tcW w:w="1827" w:type="dxa"/>
          </w:tcPr>
          <w:p w14:paraId="7EC67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Applications requiring more than 50 µL per well: revise well geometry and check demolding, array and glass dimensions, handling, and cost</w:t>
            </w:r>
          </w:p>
        </w:tc>
      </w:tr>
      <w:tr w:rsidR="006C5731" w:rsidRPr="001C2B3F" w14:paraId="7271BFDA" w14:textId="77777777" w:rsidTr="006C5731">
        <w:trPr>
          <w:cantSplit/>
        </w:trPr>
        <w:tc>
          <w:tcPr>
            <w:tcW w:w="1827" w:type="dxa"/>
          </w:tcPr>
          <w:p w14:paraId="4CD91E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Skirt and adhesive contact area</w:t>
            </w:r>
          </w:p>
        </w:tc>
        <w:tc>
          <w:tcPr>
            <w:tcW w:w="2436" w:type="dxa"/>
          </w:tcPr>
          <w:p w14:paraId="408334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Two-step skirt: 0.75 × 0.66 mm plus 0.80 × 0.04 mm</w:t>
            </w:r>
          </w:p>
        </w:tc>
        <w:tc>
          <w:tcPr>
            <w:tcW w:w="1827" w:type="dxa"/>
          </w:tcPr>
          <w:p w14:paraId="047554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Provides an approximately 0.75–0.80 mm-wide recessed contact and sealing area around the insert while keeping adhesive away from microchannels</w:t>
            </w:r>
          </w:p>
        </w:tc>
        <w:tc>
          <w:tcPr>
            <w:tcW w:w="1827" w:type="dxa"/>
          </w:tcPr>
          <w:p w14:paraId="2447D2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contact areas, different epoxy viscosity, or layouts with channels closer to the insert edge</w:t>
            </w:r>
          </w:p>
        </w:tc>
      </w:tr>
      <w:tr w:rsidR="006C5731" w:rsidRPr="001C2B3F" w14:paraId="1CD039A4" w14:textId="77777777" w:rsidTr="006C5731">
        <w:trPr>
          <w:cantSplit/>
        </w:trPr>
        <w:tc>
          <w:tcPr>
            <w:tcW w:w="1827" w:type="dxa"/>
          </w:tcPr>
          <w:p w14:paraId="10D9FE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shrinkage compensation</w:t>
            </w:r>
          </w:p>
        </w:tc>
        <w:tc>
          <w:tcPr>
            <w:tcW w:w="2436" w:type="dxa"/>
          </w:tcPr>
          <w:p w14:paraId="15FD2C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1.0226 horizontal scale factor for the 100°C cure used here</w:t>
            </w:r>
          </w:p>
        </w:tc>
        <w:tc>
          <w:tcPr>
            <w:tcW w:w="1827" w:type="dxa"/>
          </w:tcPr>
          <w:p w14:paraId="2CA23A7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same 2.26% enlargement is applied to matching masks and inserts, keeping them aligned after thermal curing</w:t>
            </w:r>
          </w:p>
        </w:tc>
        <w:tc>
          <w:tcPr>
            <w:tcW w:w="1827" w:type="dxa"/>
          </w:tcPr>
          <w:p w14:paraId="66A9D7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different cure temperature, PDMS formulation, or independent scaling of only one output file</w:t>
            </w:r>
          </w:p>
        </w:tc>
      </w:tr>
      <w:tr w:rsidR="006C5731" w:rsidRPr="001C2B3F" w14:paraId="646D3244" w14:textId="77777777" w:rsidTr="006C5731">
        <w:trPr>
          <w:cantSplit/>
        </w:trPr>
        <w:tc>
          <w:tcPr>
            <w:tcW w:w="1827" w:type="dxa"/>
          </w:tcPr>
          <w:p w14:paraId="7B4000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Parylene coating and channel dimensions</w:t>
            </w:r>
          </w:p>
        </w:tc>
        <w:tc>
          <w:tcPr>
            <w:tcW w:w="2436" w:type="dxa"/>
          </w:tcPr>
          <w:p w14:paraId="6161EE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 µm parylene C; nominal channel width of 10 µm before coating</w:t>
            </w:r>
          </w:p>
        </w:tc>
        <w:tc>
          <w:tcPr>
            <w:tcW w:w="1827" w:type="dxa"/>
          </w:tcPr>
          <w:p w14:paraId="051A9B4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uniform coating adds approximately 2 µm to ridge width. Relative ridge height remains approximately unchanged because the ridge top and surrounding base both receive coating. Final cast dimensions also depend on PDMS shrinkage</w:t>
            </w:r>
          </w:p>
        </w:tc>
        <w:tc>
          <w:tcPr>
            <w:tcW w:w="1827" w:type="dxa"/>
          </w:tcPr>
          <w:p w14:paraId="68C4E4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 coated ridge and cast dimensions to establish a coating-thickness correction; this correction is not yet included in the generator</w:t>
            </w:r>
          </w:p>
        </w:tc>
      </w:tr>
    </w:tbl>
    <w:p w14:paraId="4C2E445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4" w:name="Xb268a1718091f0f51c5bb203c03ea5e6f5d7d54"/>
      <w:r w:rsidRPr="001C2B3F">
        <w:rPr>
          <w:rFonts w:ascii="Times New Roman" w:hAnsi="Times New Roman" w:cs="Times New Roman"/>
          <w:sz w:val="24"/>
          <w:szCs w:val="24"/>
        </w:rPr>
        <w:t>S3B. Fabrication checks for the Figure 5 layouts</w:t>
      </w:r>
    </w:p>
    <w:p w14:paraId="26010EE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tblLayout w:type="fixed"/>
        <w:tblLook w:val="0020" w:firstRow="1" w:lastRow="0" w:firstColumn="0" w:lastColumn="0" w:noHBand="0" w:noVBand="0"/>
      </w:tblPr>
      <w:tblGrid>
        <w:gridCol w:w="1477"/>
        <w:gridCol w:w="1478"/>
        <w:gridCol w:w="1971"/>
        <w:gridCol w:w="1478"/>
        <w:gridCol w:w="1478"/>
        <w:gridCol w:w="1478"/>
      </w:tblGrid>
      <w:tr w:rsidR="006C5731" w:rsidRPr="001C2B3F" w14:paraId="01538A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11A4B3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Layout</w:t>
            </w:r>
          </w:p>
        </w:tc>
        <w:tc>
          <w:tcPr>
            <w:tcW w:w="1250" w:type="dxa"/>
          </w:tcPr>
          <w:p w14:paraId="7697F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spacing and array</w:t>
            </w:r>
          </w:p>
        </w:tc>
        <w:tc>
          <w:tcPr>
            <w:tcW w:w="1667" w:type="dxa"/>
          </w:tcPr>
          <w:p w14:paraId="3EA2A4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radius</w:t>
            </w:r>
          </w:p>
        </w:tc>
        <w:tc>
          <w:tcPr>
            <w:tcW w:w="1250" w:type="dxa"/>
          </w:tcPr>
          <w:p w14:paraId="007BD2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Microchannel summary</w:t>
            </w:r>
          </w:p>
        </w:tc>
        <w:tc>
          <w:tcPr>
            <w:tcW w:w="1250" w:type="dxa"/>
          </w:tcPr>
          <w:p w14:paraId="29587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What was tested</w:t>
            </w:r>
          </w:p>
        </w:tc>
        <w:tc>
          <w:tcPr>
            <w:tcW w:w="1250" w:type="dxa"/>
          </w:tcPr>
          <w:p w14:paraId="425CE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Checks when first fabricating the design</w:t>
            </w:r>
          </w:p>
        </w:tc>
      </w:tr>
      <w:tr w:rsidR="006C5731" w:rsidRPr="001C2B3F" w14:paraId="697D50FB" w14:textId="77777777" w:rsidTr="006C5731">
        <w:trPr>
          <w:cantSplit/>
        </w:trPr>
        <w:tc>
          <w:tcPr>
            <w:tcW w:w="1250" w:type="dxa"/>
          </w:tcPr>
          <w:p w14:paraId="7CFC49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Demonstrated compartmentalized-neuron device</w:t>
            </w:r>
          </w:p>
        </w:tc>
        <w:tc>
          <w:tcPr>
            <w:tcW w:w="1250" w:type="dxa"/>
          </w:tcPr>
          <w:p w14:paraId="758B13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9 mm; 6 × 8 two-well units</w:t>
            </w:r>
          </w:p>
        </w:tc>
        <w:tc>
          <w:tcPr>
            <w:tcW w:w="1667" w:type="dxa"/>
          </w:tcPr>
          <w:p w14:paraId="737029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107D7F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 channels with 10 µm width and 30 µm spacing</w:t>
            </w:r>
          </w:p>
        </w:tc>
        <w:tc>
          <w:tcPr>
            <w:tcW w:w="1250" w:type="dxa"/>
          </w:tcPr>
          <w:p w14:paraId="14F48E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Fabricated, cast, assembled, imaged, and used for neuronal culture in analyzed interior devices</w:t>
            </w:r>
          </w:p>
        </w:tc>
        <w:tc>
          <w:tcPr>
            <w:tcW w:w="1250" w:type="dxa"/>
          </w:tcPr>
          <w:p w14:paraId="04F942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demonstrated workflow</w:t>
            </w:r>
          </w:p>
        </w:tc>
      </w:tr>
      <w:tr w:rsidR="006C5731" w:rsidRPr="001C2B3F" w14:paraId="4C2E97EE" w14:textId="77777777" w:rsidTr="006C5731">
        <w:trPr>
          <w:cantSplit/>
        </w:trPr>
        <w:tc>
          <w:tcPr>
            <w:tcW w:w="1250" w:type="dxa"/>
          </w:tcPr>
          <w:p w14:paraId="0798A6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Myelination-inspired layout</w:t>
            </w:r>
          </w:p>
        </w:tc>
        <w:tc>
          <w:tcPr>
            <w:tcW w:w="1250" w:type="dxa"/>
          </w:tcPr>
          <w:p w14:paraId="0629AD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07E5A7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104C92D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125 channels at 10 µm plus an oligodendrocyte branch</w:t>
            </w:r>
          </w:p>
        </w:tc>
        <w:tc>
          <w:tcPr>
            <w:tcW w:w="1250" w:type="dxa"/>
          </w:tcPr>
          <w:p w14:paraId="64AB1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293D3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crossing layout, higher channel count, and assay-specific operation</w:t>
            </w:r>
          </w:p>
        </w:tc>
      </w:tr>
      <w:tr w:rsidR="006C5731" w:rsidRPr="001C2B3F" w14:paraId="335E050A" w14:textId="77777777" w:rsidTr="006C5731">
        <w:trPr>
          <w:cantSplit/>
        </w:trPr>
        <w:tc>
          <w:tcPr>
            <w:tcW w:w="1250" w:type="dxa"/>
          </w:tcPr>
          <w:p w14:paraId="32876D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Axon-guidance layout</w:t>
            </w:r>
          </w:p>
        </w:tc>
        <w:tc>
          <w:tcPr>
            <w:tcW w:w="1250" w:type="dxa"/>
          </w:tcPr>
          <w:p w14:paraId="109345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7CD64B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442AA7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83 channels at 10 µm per arm</w:t>
            </w:r>
          </w:p>
        </w:tc>
        <w:tc>
          <w:tcPr>
            <w:tcW w:w="1250" w:type="dxa"/>
          </w:tcPr>
          <w:p w14:paraId="3375F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504CF4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orthogonal-gradient layout, and assay-specific operation</w:t>
            </w:r>
          </w:p>
        </w:tc>
      </w:tr>
      <w:tr w:rsidR="006C5731" w:rsidRPr="001C2B3F" w14:paraId="15E83643" w14:textId="77777777" w:rsidTr="006C5731">
        <w:trPr>
          <w:cantSplit/>
        </w:trPr>
        <w:tc>
          <w:tcPr>
            <w:tcW w:w="1250" w:type="dxa"/>
          </w:tcPr>
          <w:p w14:paraId="38F426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Three-compartment layout</w:t>
            </w:r>
          </w:p>
        </w:tc>
        <w:tc>
          <w:tcPr>
            <w:tcW w:w="1250" w:type="dxa"/>
          </w:tcPr>
          <w:p w14:paraId="097B9C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 × 9 mm; 4 × 8 units</w:t>
            </w:r>
          </w:p>
        </w:tc>
        <w:tc>
          <w:tcPr>
            <w:tcW w:w="1667" w:type="dxa"/>
          </w:tcPr>
          <w:p w14:paraId="662522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9A79D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 successive channel arrays with 125 channels at 10 µm per array</w:t>
            </w:r>
          </w:p>
        </w:tc>
        <w:tc>
          <w:tcPr>
            <w:tcW w:w="1250" w:type="dxa"/>
          </w:tcPr>
          <w:p w14:paraId="6E56C2A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176CE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three-well unit, different device spacing, successive channel arrays, and assay-specific operation</w:t>
            </w:r>
          </w:p>
        </w:tc>
      </w:tr>
    </w:tbl>
    <w:p w14:paraId="08766D21"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5" w:name="X1bffbb4855f2a3913dc55d49cdccf6ee0933ccb"/>
      <w:bookmarkEnd w:id="13"/>
      <w:bookmarkEnd w:id="14"/>
      <w:r w:rsidRPr="001C2B3F">
        <w:rPr>
          <w:rFonts w:ascii="Times New Roman" w:hAnsi="Times New Roman" w:cs="Times New Roman"/>
          <w:sz w:val="24"/>
          <w:szCs w:val="24"/>
        </w:rPr>
        <w:t>Supplementary Table S4. Resin insert 3D-printing and post-processing settings</w:t>
      </w:r>
    </w:p>
    <w:p w14:paraId="424534B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These settings were used to print the wafer-bonded resin inserts. Validate alternative printers, resins, and slicer profiles for local print quality and fit.</w:t>
      </w:r>
    </w:p>
    <w:p w14:paraId="74047DB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6" w:name="printer-and-resin"/>
      <w:r w:rsidRPr="001C2B3F">
        <w:rPr>
          <w:rFonts w:ascii="Times New Roman" w:hAnsi="Times New Roman" w:cs="Times New Roman"/>
          <w:sz w:val="24"/>
          <w:szCs w:val="24"/>
        </w:rPr>
        <w:lastRenderedPageBreak/>
        <w:t>Printer and resin</w:t>
      </w:r>
    </w:p>
    <w:tbl>
      <w:tblPr>
        <w:tblStyle w:val="Table"/>
        <w:tblW w:w="0" w:type="auto"/>
        <w:tblLook w:val="0020" w:firstRow="1" w:lastRow="0" w:firstColumn="0" w:lastColumn="0" w:noHBand="0" w:noVBand="0"/>
      </w:tblPr>
      <w:tblGrid>
        <w:gridCol w:w="2896"/>
        <w:gridCol w:w="4861"/>
      </w:tblGrid>
      <w:tr w:rsidR="006C5731" w:rsidRPr="001C2B3F" w14:paraId="6BB3B0D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57AD8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1DA8B1A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5E5C5DBC" w14:textId="77777777" w:rsidTr="006C5731">
        <w:trPr>
          <w:cantSplit/>
        </w:trPr>
        <w:tc>
          <w:tcPr>
            <w:tcW w:w="0" w:type="auto"/>
          </w:tcPr>
          <w:p w14:paraId="67937D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w:t>
            </w:r>
          </w:p>
        </w:tc>
        <w:tc>
          <w:tcPr>
            <w:tcW w:w="0" w:type="auto"/>
          </w:tcPr>
          <w:p w14:paraId="2032F7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w:t>
            </w:r>
          </w:p>
        </w:tc>
      </w:tr>
      <w:tr w:rsidR="006C5731" w:rsidRPr="001C2B3F" w14:paraId="4B0E18ED" w14:textId="77777777" w:rsidTr="006C5731">
        <w:trPr>
          <w:cantSplit/>
        </w:trPr>
        <w:tc>
          <w:tcPr>
            <w:tcW w:w="0" w:type="auto"/>
          </w:tcPr>
          <w:p w14:paraId="1884DD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3C3EAA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Elegoo Mars 3 Pro</w:t>
            </w:r>
          </w:p>
        </w:tc>
      </w:tr>
      <w:tr w:rsidR="006C5731" w:rsidRPr="001C2B3F" w14:paraId="3382A625" w14:textId="77777777" w:rsidTr="006C5731">
        <w:trPr>
          <w:cantSplit/>
        </w:trPr>
        <w:tc>
          <w:tcPr>
            <w:tcW w:w="0" w:type="auto"/>
          </w:tcPr>
          <w:p w14:paraId="76DF07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 plate / transfer fixture</w:t>
            </w:r>
          </w:p>
        </w:tc>
        <w:tc>
          <w:tcPr>
            <w:tcW w:w="0" w:type="auto"/>
          </w:tcPr>
          <w:p w14:paraId="651D63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Magnetic removable build plate</w:t>
            </w:r>
          </w:p>
        </w:tc>
      </w:tr>
      <w:tr w:rsidR="006C5731" w:rsidRPr="001C2B3F" w14:paraId="52EDD203" w14:textId="77777777" w:rsidTr="006C5731">
        <w:trPr>
          <w:cantSplit/>
        </w:trPr>
        <w:tc>
          <w:tcPr>
            <w:tcW w:w="0" w:type="auto"/>
          </w:tcPr>
          <w:p w14:paraId="362CB0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 profile name</w:t>
            </w:r>
          </w:p>
        </w:tc>
        <w:tc>
          <w:tcPr>
            <w:tcW w:w="0" w:type="auto"/>
          </w:tcPr>
          <w:p w14:paraId="6B87C7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High Temp</w:t>
            </w:r>
          </w:p>
        </w:tc>
      </w:tr>
    </w:tbl>
    <w:p w14:paraId="089EA55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7" w:name="print-profile"/>
      <w:bookmarkEnd w:id="16"/>
      <w:r w:rsidRPr="001C2B3F">
        <w:rPr>
          <w:rFonts w:ascii="Times New Roman" w:hAnsi="Times New Roman" w:cs="Times New Roman"/>
          <w:sz w:val="24"/>
          <w:szCs w:val="24"/>
        </w:rPr>
        <w:t>Print profile</w:t>
      </w:r>
    </w:p>
    <w:tbl>
      <w:tblPr>
        <w:tblStyle w:val="Table"/>
        <w:tblW w:w="0" w:type="auto"/>
        <w:tblLook w:val="0020" w:firstRow="1" w:lastRow="0" w:firstColumn="0" w:lastColumn="0" w:noHBand="0" w:noVBand="0"/>
      </w:tblPr>
      <w:tblGrid>
        <w:gridCol w:w="3089"/>
        <w:gridCol w:w="2545"/>
      </w:tblGrid>
      <w:tr w:rsidR="006C5731" w:rsidRPr="001C2B3F" w14:paraId="6E96452D"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38E1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6282E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3F2A2304" w14:textId="77777777" w:rsidTr="006C5731">
        <w:trPr>
          <w:cantSplit/>
        </w:trPr>
        <w:tc>
          <w:tcPr>
            <w:tcW w:w="0" w:type="auto"/>
          </w:tcPr>
          <w:p w14:paraId="15E8CF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1F7AA5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0.020 mm</w:t>
            </w:r>
          </w:p>
        </w:tc>
      </w:tr>
      <w:tr w:rsidR="006C5731" w:rsidRPr="001C2B3F" w14:paraId="255F8989" w14:textId="77777777" w:rsidTr="006C5731">
        <w:trPr>
          <w:cantSplit/>
        </w:trPr>
        <w:tc>
          <w:tcPr>
            <w:tcW w:w="0" w:type="auto"/>
          </w:tcPr>
          <w:p w14:paraId="4E8E1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 count</w:t>
            </w:r>
          </w:p>
        </w:tc>
        <w:tc>
          <w:tcPr>
            <w:tcW w:w="0" w:type="auto"/>
          </w:tcPr>
          <w:p w14:paraId="3CD729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r>
      <w:tr w:rsidR="006C5731" w:rsidRPr="001C2B3F" w14:paraId="0C1C8838" w14:textId="77777777" w:rsidTr="006C5731">
        <w:trPr>
          <w:cantSplit/>
        </w:trPr>
        <w:tc>
          <w:tcPr>
            <w:tcW w:w="0" w:type="auto"/>
          </w:tcPr>
          <w:p w14:paraId="5D2C20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Exposure time</w:t>
            </w:r>
          </w:p>
        </w:tc>
        <w:tc>
          <w:tcPr>
            <w:tcW w:w="0" w:type="auto"/>
          </w:tcPr>
          <w:p w14:paraId="00E92A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5.500 s</w:t>
            </w:r>
          </w:p>
        </w:tc>
      </w:tr>
      <w:tr w:rsidR="006C5731" w:rsidRPr="001C2B3F" w14:paraId="7EFC5430" w14:textId="77777777" w:rsidTr="006C5731">
        <w:trPr>
          <w:cantSplit/>
        </w:trPr>
        <w:tc>
          <w:tcPr>
            <w:tcW w:w="0" w:type="auto"/>
          </w:tcPr>
          <w:p w14:paraId="3DA27C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exposure time</w:t>
            </w:r>
          </w:p>
        </w:tc>
        <w:tc>
          <w:tcPr>
            <w:tcW w:w="0" w:type="auto"/>
          </w:tcPr>
          <w:p w14:paraId="1D847E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50.000 s</w:t>
            </w:r>
          </w:p>
        </w:tc>
      </w:tr>
      <w:tr w:rsidR="006C5731" w:rsidRPr="001C2B3F" w14:paraId="1D514227" w14:textId="77777777" w:rsidTr="006C5731">
        <w:trPr>
          <w:cantSplit/>
        </w:trPr>
        <w:tc>
          <w:tcPr>
            <w:tcW w:w="0" w:type="auto"/>
          </w:tcPr>
          <w:p w14:paraId="3136AF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layer count</w:t>
            </w:r>
          </w:p>
        </w:tc>
        <w:tc>
          <w:tcPr>
            <w:tcW w:w="0" w:type="auto"/>
          </w:tcPr>
          <w:p w14:paraId="19E9118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w:t>
            </w:r>
          </w:p>
        </w:tc>
      </w:tr>
      <w:tr w:rsidR="006C5731" w:rsidRPr="001C2B3F" w14:paraId="191DD0FA" w14:textId="77777777" w:rsidTr="006C5731">
        <w:trPr>
          <w:cantSplit/>
        </w:trPr>
        <w:tc>
          <w:tcPr>
            <w:tcW w:w="0" w:type="auto"/>
          </w:tcPr>
          <w:p w14:paraId="5163A6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type</w:t>
            </w:r>
          </w:p>
        </w:tc>
        <w:tc>
          <w:tcPr>
            <w:tcW w:w="0" w:type="auto"/>
          </w:tcPr>
          <w:p w14:paraId="76EA64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Linear</w:t>
            </w:r>
          </w:p>
        </w:tc>
      </w:tr>
      <w:tr w:rsidR="006C5731" w:rsidRPr="001C2B3F" w14:paraId="336DB20C" w14:textId="77777777" w:rsidTr="006C5731">
        <w:trPr>
          <w:cantSplit/>
        </w:trPr>
        <w:tc>
          <w:tcPr>
            <w:tcW w:w="0" w:type="auto"/>
          </w:tcPr>
          <w:p w14:paraId="27E6B7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Waiting mode during printing</w:t>
            </w:r>
          </w:p>
        </w:tc>
        <w:tc>
          <w:tcPr>
            <w:tcW w:w="0" w:type="auto"/>
          </w:tcPr>
          <w:p w14:paraId="5929CB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Resting time</w:t>
            </w:r>
          </w:p>
        </w:tc>
      </w:tr>
      <w:tr w:rsidR="006C5731" w:rsidRPr="001C2B3F" w14:paraId="1DA5E05C" w14:textId="77777777" w:rsidTr="006C5731">
        <w:trPr>
          <w:cantSplit/>
        </w:trPr>
        <w:tc>
          <w:tcPr>
            <w:tcW w:w="0" w:type="auto"/>
          </w:tcPr>
          <w:p w14:paraId="1254389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before lift</w:t>
            </w:r>
          </w:p>
        </w:tc>
        <w:tc>
          <w:tcPr>
            <w:tcW w:w="0" w:type="auto"/>
          </w:tcPr>
          <w:p w14:paraId="440C0E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0.300 s</w:t>
            </w:r>
          </w:p>
        </w:tc>
      </w:tr>
      <w:tr w:rsidR="006C5731" w:rsidRPr="001C2B3F" w14:paraId="202554B1" w14:textId="77777777" w:rsidTr="006C5731">
        <w:trPr>
          <w:cantSplit/>
        </w:trPr>
        <w:tc>
          <w:tcPr>
            <w:tcW w:w="0" w:type="auto"/>
          </w:tcPr>
          <w:p w14:paraId="7F9CF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lift</w:t>
            </w:r>
          </w:p>
        </w:tc>
        <w:tc>
          <w:tcPr>
            <w:tcW w:w="0" w:type="auto"/>
          </w:tcPr>
          <w:p w14:paraId="43654C1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1.000 s</w:t>
            </w:r>
          </w:p>
        </w:tc>
      </w:tr>
      <w:tr w:rsidR="006C5731" w:rsidRPr="001C2B3F" w14:paraId="2D287A2F" w14:textId="77777777" w:rsidTr="006C5731">
        <w:trPr>
          <w:cantSplit/>
        </w:trPr>
        <w:tc>
          <w:tcPr>
            <w:tcW w:w="0" w:type="auto"/>
          </w:tcPr>
          <w:p w14:paraId="532EDC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retract</w:t>
            </w:r>
          </w:p>
        </w:tc>
        <w:tc>
          <w:tcPr>
            <w:tcW w:w="0" w:type="auto"/>
          </w:tcPr>
          <w:p w14:paraId="47D0B7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s</w:t>
            </w:r>
          </w:p>
        </w:tc>
      </w:tr>
      <w:tr w:rsidR="006C5731" w:rsidRPr="001C2B3F" w14:paraId="736F34C8" w14:textId="77777777" w:rsidTr="006C5731">
        <w:trPr>
          <w:cantSplit/>
        </w:trPr>
        <w:tc>
          <w:tcPr>
            <w:tcW w:w="0" w:type="auto"/>
          </w:tcPr>
          <w:p w14:paraId="04E42B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distance</w:t>
            </w:r>
          </w:p>
        </w:tc>
        <w:tc>
          <w:tcPr>
            <w:tcW w:w="0" w:type="auto"/>
          </w:tcPr>
          <w:p w14:paraId="407213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5EE3F57C" w14:textId="77777777" w:rsidTr="006C5731">
        <w:trPr>
          <w:cantSplit/>
        </w:trPr>
        <w:tc>
          <w:tcPr>
            <w:tcW w:w="0" w:type="auto"/>
          </w:tcPr>
          <w:p w14:paraId="0C48C02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distance</w:t>
            </w:r>
          </w:p>
        </w:tc>
        <w:tc>
          <w:tcPr>
            <w:tcW w:w="0" w:type="auto"/>
          </w:tcPr>
          <w:p w14:paraId="5E00C7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78BE382" w14:textId="77777777" w:rsidTr="006C5731">
        <w:trPr>
          <w:cantSplit/>
        </w:trPr>
        <w:tc>
          <w:tcPr>
            <w:tcW w:w="0" w:type="auto"/>
          </w:tcPr>
          <w:p w14:paraId="6A4D6E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distance</w:t>
            </w:r>
          </w:p>
        </w:tc>
        <w:tc>
          <w:tcPr>
            <w:tcW w:w="0" w:type="auto"/>
          </w:tcPr>
          <w:p w14:paraId="378AEBF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1BB77E4B" w14:textId="77777777" w:rsidTr="006C5731">
        <w:trPr>
          <w:cantSplit/>
        </w:trPr>
        <w:tc>
          <w:tcPr>
            <w:tcW w:w="0" w:type="auto"/>
          </w:tcPr>
          <w:p w14:paraId="7CA3DE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Retract distance</w:t>
            </w:r>
          </w:p>
        </w:tc>
        <w:tc>
          <w:tcPr>
            <w:tcW w:w="0" w:type="auto"/>
          </w:tcPr>
          <w:p w14:paraId="359E79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D613AD6" w14:textId="77777777" w:rsidTr="006C5731">
        <w:trPr>
          <w:cantSplit/>
        </w:trPr>
        <w:tc>
          <w:tcPr>
            <w:tcW w:w="0" w:type="auto"/>
          </w:tcPr>
          <w:p w14:paraId="6974C1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speed</w:t>
            </w:r>
          </w:p>
        </w:tc>
        <w:tc>
          <w:tcPr>
            <w:tcW w:w="0" w:type="auto"/>
          </w:tcPr>
          <w:p w14:paraId="3F3EF5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02DECB35" w14:textId="77777777" w:rsidTr="006C5731">
        <w:trPr>
          <w:cantSplit/>
        </w:trPr>
        <w:tc>
          <w:tcPr>
            <w:tcW w:w="0" w:type="auto"/>
          </w:tcPr>
          <w:p w14:paraId="461B03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speed</w:t>
            </w:r>
          </w:p>
        </w:tc>
        <w:tc>
          <w:tcPr>
            <w:tcW w:w="0" w:type="auto"/>
          </w:tcPr>
          <w:p w14:paraId="155F44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r w:rsidR="006C5731" w:rsidRPr="001C2B3F" w14:paraId="5CA17505" w14:textId="77777777" w:rsidTr="006C5731">
        <w:trPr>
          <w:cantSplit/>
        </w:trPr>
        <w:tc>
          <w:tcPr>
            <w:tcW w:w="0" w:type="auto"/>
          </w:tcPr>
          <w:p w14:paraId="382671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speed</w:t>
            </w:r>
          </w:p>
        </w:tc>
        <w:tc>
          <w:tcPr>
            <w:tcW w:w="0" w:type="auto"/>
          </w:tcPr>
          <w:p w14:paraId="35D237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2AA8D689" w14:textId="77777777" w:rsidTr="006C5731">
        <w:trPr>
          <w:cantSplit/>
        </w:trPr>
        <w:tc>
          <w:tcPr>
            <w:tcW w:w="0" w:type="auto"/>
          </w:tcPr>
          <w:p w14:paraId="391323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Retract speed</w:t>
            </w:r>
          </w:p>
        </w:tc>
        <w:tc>
          <w:tcPr>
            <w:tcW w:w="0" w:type="auto"/>
          </w:tcPr>
          <w:p w14:paraId="2E3462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bl>
    <w:p w14:paraId="2A3B17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8" w:name="advanced-slicer-settings"/>
      <w:bookmarkEnd w:id="17"/>
      <w:r w:rsidRPr="001C2B3F">
        <w:rPr>
          <w:rFonts w:ascii="Times New Roman" w:hAnsi="Times New Roman" w:cs="Times New Roman"/>
          <w:sz w:val="24"/>
          <w:szCs w:val="24"/>
        </w:rPr>
        <w:t>Advanced slicer settings</w:t>
      </w:r>
    </w:p>
    <w:tbl>
      <w:tblPr>
        <w:tblStyle w:val="Table"/>
        <w:tblW w:w="0" w:type="auto"/>
        <w:tblLook w:val="0020" w:firstRow="1" w:lastRow="0" w:firstColumn="0" w:lastColumn="0" w:noHBand="0" w:noVBand="0"/>
      </w:tblPr>
      <w:tblGrid>
        <w:gridCol w:w="3269"/>
        <w:gridCol w:w="1070"/>
      </w:tblGrid>
      <w:tr w:rsidR="006C5731" w:rsidRPr="001C2B3F" w14:paraId="56B533F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04E3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E8C48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FA78DF5" w14:textId="77777777" w:rsidTr="006C5731">
        <w:trPr>
          <w:cantSplit/>
        </w:trPr>
        <w:tc>
          <w:tcPr>
            <w:tcW w:w="0" w:type="auto"/>
          </w:tcPr>
          <w:p w14:paraId="0096DC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Bottom light pulse-width modulation (PWM)</w:t>
            </w:r>
          </w:p>
        </w:tc>
        <w:tc>
          <w:tcPr>
            <w:tcW w:w="0" w:type="auto"/>
          </w:tcPr>
          <w:p w14:paraId="3698D17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1FAC3654" w14:textId="77777777" w:rsidTr="006C5731">
        <w:trPr>
          <w:cantSplit/>
        </w:trPr>
        <w:tc>
          <w:tcPr>
            <w:tcW w:w="0" w:type="auto"/>
          </w:tcPr>
          <w:p w14:paraId="79FDADE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Light PWM</w:t>
            </w:r>
          </w:p>
        </w:tc>
        <w:tc>
          <w:tcPr>
            <w:tcW w:w="0" w:type="auto"/>
          </w:tcPr>
          <w:p w14:paraId="1405056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3CA74613" w14:textId="77777777" w:rsidTr="006C5731">
        <w:trPr>
          <w:cantSplit/>
        </w:trPr>
        <w:tc>
          <w:tcPr>
            <w:tcW w:w="0" w:type="auto"/>
          </w:tcPr>
          <w:p w14:paraId="2CACF1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Anti-aliasing</w:t>
            </w:r>
          </w:p>
        </w:tc>
        <w:tc>
          <w:tcPr>
            <w:tcW w:w="0" w:type="auto"/>
          </w:tcPr>
          <w:p w14:paraId="01A89D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Enabled</w:t>
            </w:r>
          </w:p>
        </w:tc>
      </w:tr>
      <w:tr w:rsidR="006C5731" w:rsidRPr="001C2B3F" w14:paraId="1A7EAF20" w14:textId="77777777" w:rsidTr="006C5731">
        <w:trPr>
          <w:cantSplit/>
        </w:trPr>
        <w:tc>
          <w:tcPr>
            <w:tcW w:w="0" w:type="auto"/>
          </w:tcPr>
          <w:p w14:paraId="78381C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Grey level</w:t>
            </w:r>
          </w:p>
        </w:tc>
        <w:tc>
          <w:tcPr>
            <w:tcW w:w="0" w:type="auto"/>
          </w:tcPr>
          <w:p w14:paraId="1B9ABE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512AA05D" w14:textId="77777777" w:rsidTr="006C5731">
        <w:trPr>
          <w:cantSplit/>
        </w:trPr>
        <w:tc>
          <w:tcPr>
            <w:tcW w:w="0" w:type="auto"/>
          </w:tcPr>
          <w:p w14:paraId="09110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Image blur</w:t>
            </w:r>
          </w:p>
        </w:tc>
        <w:tc>
          <w:tcPr>
            <w:tcW w:w="0" w:type="auto"/>
          </w:tcPr>
          <w:p w14:paraId="6E01AB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39F91DD7" w14:textId="77777777" w:rsidTr="006C5731">
        <w:trPr>
          <w:cantSplit/>
        </w:trPr>
        <w:tc>
          <w:tcPr>
            <w:tcW w:w="0" w:type="auto"/>
          </w:tcPr>
          <w:p w14:paraId="6B56E5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Shrinkage compensation</w:t>
            </w:r>
          </w:p>
        </w:tc>
        <w:tc>
          <w:tcPr>
            <w:tcW w:w="0" w:type="auto"/>
          </w:tcPr>
          <w:p w14:paraId="7FA6B8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023EFF73" w14:textId="77777777" w:rsidTr="006C5731">
        <w:trPr>
          <w:cantSplit/>
        </w:trPr>
        <w:tc>
          <w:tcPr>
            <w:tcW w:w="0" w:type="auto"/>
          </w:tcPr>
          <w:p w14:paraId="24FAA0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Tolerance compensation (beta)</w:t>
            </w:r>
          </w:p>
        </w:tc>
        <w:tc>
          <w:tcPr>
            <w:tcW w:w="0" w:type="auto"/>
          </w:tcPr>
          <w:p w14:paraId="3DDA7E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0CCFBB0" w14:textId="77777777" w:rsidTr="006C5731">
        <w:trPr>
          <w:cantSplit/>
        </w:trPr>
        <w:tc>
          <w:tcPr>
            <w:tcW w:w="0" w:type="auto"/>
          </w:tcPr>
          <w:p w14:paraId="45DAA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tolerance compensation</w:t>
            </w:r>
          </w:p>
        </w:tc>
        <w:tc>
          <w:tcPr>
            <w:tcW w:w="0" w:type="auto"/>
          </w:tcPr>
          <w:p w14:paraId="6F3D61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9FC0903" w14:textId="77777777" w:rsidTr="006C5731">
        <w:trPr>
          <w:cantSplit/>
        </w:trPr>
        <w:tc>
          <w:tcPr>
            <w:tcW w:w="0" w:type="auto"/>
          </w:tcPr>
          <w:p w14:paraId="72E04C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 time compensation</w:t>
            </w:r>
          </w:p>
        </w:tc>
        <w:tc>
          <w:tcPr>
            <w:tcW w:w="0" w:type="auto"/>
          </w:tcPr>
          <w:p w14:paraId="21ED5C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bl>
    <w:p w14:paraId="44F293A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9" w:name="post-processing"/>
      <w:bookmarkEnd w:id="18"/>
      <w:r w:rsidRPr="001C2B3F">
        <w:rPr>
          <w:rFonts w:ascii="Times New Roman" w:hAnsi="Times New Roman" w:cs="Times New Roman"/>
          <w:sz w:val="24"/>
          <w:szCs w:val="24"/>
        </w:rPr>
        <w:t>Post-processing</w:t>
      </w:r>
    </w:p>
    <w:p w14:paraId="2917462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Spray the printed inserts with acetone.</w:t>
      </w:r>
    </w:p>
    <w:p w14:paraId="7CEB5A3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Blow dry with compressed high-pressure nitrogen.</w:t>
      </w:r>
    </w:p>
    <w:p w14:paraId="6BF139E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Repeat the acetone spray and nitrogen drying cycle until the pin features are completely clean of residual resin. In this work, cleaning required 6–8 cycles.</w:t>
      </w:r>
    </w:p>
    <w:p w14:paraId="20478D91"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plate from the printer build plate.</w:t>
      </w:r>
    </w:p>
    <w:p w14:paraId="740EB922"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Place the print inside an Elegoo Mercury X rotating UV cure station.</w:t>
      </w:r>
    </w:p>
    <w:p w14:paraId="73E135CC"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UV cure for 15 min.</w:t>
      </w:r>
    </w:p>
    <w:p w14:paraId="21D9DB4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0" w:name="X9d97e5ec237bf74aa134405e37d8b066ad70d23"/>
      <w:bookmarkEnd w:id="15"/>
      <w:bookmarkEnd w:id="19"/>
      <w:r w:rsidRPr="001C2B3F">
        <w:rPr>
          <w:rFonts w:ascii="Times New Roman" w:hAnsi="Times New Roman" w:cs="Times New Roman"/>
          <w:sz w:val="24"/>
          <w:szCs w:val="24"/>
        </w:rPr>
        <w:t>Supplementary Table S5. Hybrid-mold use and PDMS-cast outcomes</w:t>
      </w:r>
    </w:p>
    <w:p w14:paraId="3DBD281A"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table summarizes mold use with the finalized protocol. Process-development observations are reported in the Results and Supplementary Notes S1-S2.</w:t>
      </w:r>
    </w:p>
    <w:tbl>
      <w:tblPr>
        <w:tblStyle w:val="Table"/>
        <w:tblW w:w="5000" w:type="pct"/>
        <w:tblLayout w:type="fixed"/>
        <w:tblLook w:val="0020" w:firstRow="1" w:lastRow="0" w:firstColumn="0" w:lastColumn="0" w:noHBand="0" w:noVBand="0"/>
      </w:tblPr>
      <w:tblGrid>
        <w:gridCol w:w="2808"/>
        <w:gridCol w:w="3744"/>
        <w:gridCol w:w="2808"/>
      </w:tblGrid>
      <w:tr w:rsidR="006C5731" w:rsidRPr="001C2B3F" w14:paraId="1C8BE185"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2376" w:type="dxa"/>
          </w:tcPr>
          <w:p w14:paraId="1CB83E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Stage or outcome</w:t>
            </w:r>
          </w:p>
        </w:tc>
        <w:tc>
          <w:tcPr>
            <w:tcW w:w="3168" w:type="dxa"/>
          </w:tcPr>
          <w:p w14:paraId="63547B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Observed count</w:t>
            </w:r>
          </w:p>
        </w:tc>
        <w:tc>
          <w:tcPr>
            <w:tcW w:w="2376" w:type="dxa"/>
          </w:tcPr>
          <w:p w14:paraId="3B1480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Interpretation</w:t>
            </w:r>
          </w:p>
        </w:tc>
      </w:tr>
      <w:tr w:rsidR="006C5731" w:rsidRPr="001C2B3F" w14:paraId="5CC192EE" w14:textId="77777777" w:rsidTr="006C5731">
        <w:trPr>
          <w:cantSplit/>
        </w:trPr>
        <w:tc>
          <w:tcPr>
            <w:tcW w:w="2376" w:type="dxa"/>
          </w:tcPr>
          <w:p w14:paraId="3D577E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Molds assembled using the final protocol</w:t>
            </w:r>
          </w:p>
        </w:tc>
        <w:tc>
          <w:tcPr>
            <w:tcW w:w="3168" w:type="dxa"/>
          </w:tcPr>
          <w:p w14:paraId="60968C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2376" w:type="dxa"/>
          </w:tcPr>
          <w:p w14:paraId="0AAAFD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Five wafer-scale molds completed insert bonding and final assembly.</w:t>
            </w:r>
          </w:p>
        </w:tc>
      </w:tr>
      <w:tr w:rsidR="006C5731" w:rsidRPr="001C2B3F" w14:paraId="31A2F9B0" w14:textId="77777777" w:rsidTr="006C5731">
        <w:trPr>
          <w:cantSplit/>
        </w:trPr>
        <w:tc>
          <w:tcPr>
            <w:tcW w:w="2376" w:type="dxa"/>
          </w:tcPr>
          <w:p w14:paraId="092E8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Molds entering routine use</w:t>
            </w:r>
          </w:p>
        </w:tc>
        <w:tc>
          <w:tcPr>
            <w:tcW w:w="3168" w:type="dxa"/>
          </w:tcPr>
          <w:p w14:paraId="5A01D2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2376" w:type="dxa"/>
          </w:tcPr>
          <w:p w14:paraId="12F73B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These molds produced usable PDMS casts with open microchannels and retained well features.</w:t>
            </w:r>
          </w:p>
        </w:tc>
      </w:tr>
      <w:tr w:rsidR="006C5731" w:rsidRPr="001C2B3F" w14:paraId="66BDE242" w14:textId="77777777" w:rsidTr="006C5731">
        <w:trPr>
          <w:cantSplit/>
        </w:trPr>
        <w:tc>
          <w:tcPr>
            <w:tcW w:w="2376" w:type="dxa"/>
          </w:tcPr>
          <w:p w14:paraId="545192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Wafer assemblies lost during casting or handling</w:t>
            </w:r>
          </w:p>
        </w:tc>
        <w:tc>
          <w:tcPr>
            <w:tcW w:w="3168" w:type="dxa"/>
          </w:tcPr>
          <w:p w14:paraId="588069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2376" w:type="dxa"/>
          </w:tcPr>
          <w:p w14:paraId="516D3C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One wafer broke during demolding. Leaked PDMS cured beneath a second wafer in the casting rack.</w:t>
            </w:r>
          </w:p>
        </w:tc>
      </w:tr>
      <w:tr w:rsidR="006C5731" w:rsidRPr="001C2B3F" w14:paraId="745B5241" w14:textId="77777777" w:rsidTr="006C5731">
        <w:trPr>
          <w:cantSplit/>
        </w:trPr>
        <w:tc>
          <w:tcPr>
            <w:tcW w:w="2376" w:type="dxa"/>
          </w:tcPr>
          <w:p w14:paraId="1D9DF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Usable PDMS casts from the three routinely used molds</w:t>
            </w:r>
          </w:p>
        </w:tc>
        <w:tc>
          <w:tcPr>
            <w:tcW w:w="3168" w:type="dxa"/>
          </w:tcPr>
          <w:p w14:paraId="4F63F0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50</w:t>
            </w:r>
          </w:p>
        </w:tc>
        <w:tc>
          <w:tcPr>
            <w:tcW w:w="2376" w:type="dxa"/>
          </w:tcPr>
          <w:p w14:paraId="481F50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casts demolded intact with open wells and preserved microchannel regions; inserts remained bonded and SU-8/SUEX features remained attached to the reusable mold. Casts were classified by inspection, not by measuring their dimensions.</w:t>
            </w:r>
          </w:p>
        </w:tc>
      </w:tr>
      <w:tr w:rsidR="006C5731" w:rsidRPr="001C2B3F" w14:paraId="5F9CB246" w14:textId="77777777" w:rsidTr="006C5731">
        <w:trPr>
          <w:cantSplit/>
        </w:trPr>
        <w:tc>
          <w:tcPr>
            <w:tcW w:w="2376" w:type="dxa"/>
          </w:tcPr>
          <w:p w14:paraId="6E6F90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 use duration</w:t>
            </w:r>
          </w:p>
        </w:tc>
        <w:tc>
          <w:tcPr>
            <w:tcW w:w="3168" w:type="dxa"/>
          </w:tcPr>
          <w:p w14:paraId="490A7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8 months</w:t>
            </w:r>
          </w:p>
        </w:tc>
        <w:tc>
          <w:tcPr>
            <w:tcW w:w="2376" w:type="dxa"/>
          </w:tcPr>
          <w:p w14:paraId="32C8E2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most recent molds remained active for more than 8 months and retained their visible condition at the time of manuscript preparation.</w:t>
            </w:r>
          </w:p>
        </w:tc>
      </w:tr>
    </w:tbl>
    <w:p w14:paraId="19701F64"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1" w:name="Xd7cf6f9c4d2df68b8de03bd5530e15f77ea3623"/>
      <w:bookmarkEnd w:id="20"/>
      <w:r w:rsidRPr="001C2B3F">
        <w:rPr>
          <w:rFonts w:ascii="Times New Roman" w:hAnsi="Times New Roman" w:cs="Times New Roman"/>
          <w:sz w:val="24"/>
          <w:szCs w:val="24"/>
        </w:rPr>
        <w:t>Supplementary Table S6. HIPS frame-printing settings</w:t>
      </w:r>
    </w:p>
    <w:p w14:paraId="7D7111B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These settings were used to print the frame generated by OpenMFD. The complete Creality Print 6.0.4 configuration is embedded in the distributed G-code file </w:t>
      </w:r>
      <w:r w:rsidRPr="001C2B3F">
        <w:rPr>
          <w:rStyle w:val="VerbatimChar"/>
          <w:rFonts w:ascii="Times New Roman" w:hAnsi="Times New Roman" w:cs="Times New Roman"/>
          <w:sz w:val="24"/>
        </w:rPr>
        <w:t>UPGRADE_96_well_plate_reservoirs_print_hips_2_chamfered_v2_HIPS_3h36m.gcode</w:t>
      </w:r>
      <w:r w:rsidRPr="001C2B3F">
        <w:rPr>
          <w:rFonts w:ascii="Times New Roman" w:hAnsi="Times New Roman" w:cs="Times New Roman"/>
        </w:rPr>
        <w:t>. When using other printers, slicers, or materials, check for warping, correct fit, an unbroken adhesive groove, and a leak-tight seal around the device.</w:t>
      </w:r>
    </w:p>
    <w:tbl>
      <w:tblPr>
        <w:tblStyle w:val="Table"/>
        <w:tblW w:w="0" w:type="auto"/>
        <w:tblLook w:val="0020" w:firstRow="1" w:lastRow="0" w:firstColumn="0" w:lastColumn="0" w:noHBand="0" w:noVBand="0"/>
      </w:tblPr>
      <w:tblGrid>
        <w:gridCol w:w="3782"/>
        <w:gridCol w:w="3563"/>
      </w:tblGrid>
      <w:tr w:rsidR="006C5731" w:rsidRPr="001C2B3F" w14:paraId="20FD2D50"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5C2C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4C101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88F45BA" w14:textId="77777777" w:rsidTr="006C5731">
        <w:trPr>
          <w:cantSplit/>
        </w:trPr>
        <w:tc>
          <w:tcPr>
            <w:tcW w:w="0" w:type="auto"/>
          </w:tcPr>
          <w:p w14:paraId="2BC028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05CCB0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K1C, enclosed</w:t>
            </w:r>
          </w:p>
        </w:tc>
      </w:tr>
      <w:tr w:rsidR="006C5731" w:rsidRPr="001C2B3F" w14:paraId="058680B0" w14:textId="77777777" w:rsidTr="006C5731">
        <w:trPr>
          <w:cantSplit/>
        </w:trPr>
        <w:tc>
          <w:tcPr>
            <w:tcW w:w="0" w:type="auto"/>
          </w:tcPr>
          <w:p w14:paraId="4B72BD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w:t>
            </w:r>
          </w:p>
        </w:tc>
        <w:tc>
          <w:tcPr>
            <w:tcW w:w="0" w:type="auto"/>
          </w:tcPr>
          <w:p w14:paraId="0BE905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Print 6.0.4.1795</w:t>
            </w:r>
          </w:p>
        </w:tc>
      </w:tr>
      <w:tr w:rsidR="006C5731" w:rsidRPr="001C2B3F" w14:paraId="3C888BEE" w14:textId="77777777" w:rsidTr="006C5731">
        <w:trPr>
          <w:cantSplit/>
        </w:trPr>
        <w:tc>
          <w:tcPr>
            <w:tcW w:w="0" w:type="auto"/>
          </w:tcPr>
          <w:p w14:paraId="1403959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Filament</w:t>
            </w:r>
          </w:p>
        </w:tc>
        <w:tc>
          <w:tcPr>
            <w:tcW w:w="0" w:type="auto"/>
          </w:tcPr>
          <w:p w14:paraId="688E7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Generic HIPS, 1.75 mm diameter</w:t>
            </w:r>
          </w:p>
        </w:tc>
      </w:tr>
      <w:tr w:rsidR="006C5731" w:rsidRPr="001C2B3F" w14:paraId="548EDA6C" w14:textId="77777777" w:rsidTr="006C5731">
        <w:trPr>
          <w:cantSplit/>
        </w:trPr>
        <w:tc>
          <w:tcPr>
            <w:tcW w:w="0" w:type="auto"/>
          </w:tcPr>
          <w:p w14:paraId="5D6D02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Nozzle</w:t>
            </w:r>
          </w:p>
        </w:tc>
        <w:tc>
          <w:tcPr>
            <w:tcW w:w="0" w:type="auto"/>
          </w:tcPr>
          <w:p w14:paraId="3A07B3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0.4 mm brass</w:t>
            </w:r>
          </w:p>
        </w:tc>
      </w:tr>
      <w:tr w:rsidR="006C5731" w:rsidRPr="001C2B3F" w14:paraId="610BF239" w14:textId="77777777" w:rsidTr="006C5731">
        <w:trPr>
          <w:cantSplit/>
        </w:trPr>
        <w:tc>
          <w:tcPr>
            <w:tcW w:w="0" w:type="auto"/>
          </w:tcPr>
          <w:p w14:paraId="075E52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487F91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F86D5E0" w14:textId="77777777" w:rsidTr="006C5731">
        <w:trPr>
          <w:cantSplit/>
        </w:trPr>
        <w:tc>
          <w:tcPr>
            <w:tcW w:w="0" w:type="auto"/>
          </w:tcPr>
          <w:p w14:paraId="225869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First-layer height</w:t>
            </w:r>
          </w:p>
        </w:tc>
        <w:tc>
          <w:tcPr>
            <w:tcW w:w="0" w:type="auto"/>
          </w:tcPr>
          <w:p w14:paraId="34C974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028874F" w14:textId="77777777" w:rsidTr="006C5731">
        <w:trPr>
          <w:cantSplit/>
        </w:trPr>
        <w:tc>
          <w:tcPr>
            <w:tcW w:w="0" w:type="auto"/>
          </w:tcPr>
          <w:p w14:paraId="62C7AC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Nozzle temperature</w:t>
            </w:r>
          </w:p>
        </w:tc>
        <w:tc>
          <w:tcPr>
            <w:tcW w:w="0" w:type="auto"/>
          </w:tcPr>
          <w:p w14:paraId="213242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220°C, first and subsequent layers</w:t>
            </w:r>
          </w:p>
        </w:tc>
      </w:tr>
      <w:tr w:rsidR="006C5731" w:rsidRPr="001C2B3F" w14:paraId="2DB5DA80" w14:textId="77777777" w:rsidTr="006C5731">
        <w:trPr>
          <w:cantSplit/>
        </w:trPr>
        <w:tc>
          <w:tcPr>
            <w:tcW w:w="0" w:type="auto"/>
          </w:tcPr>
          <w:p w14:paraId="4DDBAAE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temperature</w:t>
            </w:r>
          </w:p>
        </w:tc>
        <w:tc>
          <w:tcPr>
            <w:tcW w:w="0" w:type="auto"/>
          </w:tcPr>
          <w:p w14:paraId="7F384B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100°C, first and subsequent layers</w:t>
            </w:r>
          </w:p>
        </w:tc>
      </w:tr>
      <w:tr w:rsidR="006C5731" w:rsidRPr="001C2B3F" w14:paraId="76E6506C" w14:textId="77777777" w:rsidTr="006C5731">
        <w:trPr>
          <w:cantSplit/>
        </w:trPr>
        <w:tc>
          <w:tcPr>
            <w:tcW w:w="0" w:type="auto"/>
          </w:tcPr>
          <w:p w14:paraId="348C28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Part cooling</w:t>
            </w:r>
          </w:p>
        </w:tc>
        <w:tc>
          <w:tcPr>
            <w:tcW w:w="0" w:type="auto"/>
          </w:tcPr>
          <w:p w14:paraId="7FF50C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4A926BD6" w14:textId="77777777" w:rsidTr="006C5731">
        <w:trPr>
          <w:cantSplit/>
        </w:trPr>
        <w:tc>
          <w:tcPr>
            <w:tcW w:w="0" w:type="auto"/>
          </w:tcPr>
          <w:p w14:paraId="7CA826B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Wall loops</w:t>
            </w:r>
          </w:p>
        </w:tc>
        <w:tc>
          <w:tcPr>
            <w:tcW w:w="0" w:type="auto"/>
          </w:tcPr>
          <w:p w14:paraId="59E1E8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17EFD837" w14:textId="77777777" w:rsidTr="006C5731">
        <w:trPr>
          <w:cantSplit/>
        </w:trPr>
        <w:tc>
          <w:tcPr>
            <w:tcW w:w="0" w:type="auto"/>
          </w:tcPr>
          <w:p w14:paraId="6E3FDF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 layers</w:t>
            </w:r>
          </w:p>
        </w:tc>
        <w:tc>
          <w:tcPr>
            <w:tcW w:w="0" w:type="auto"/>
          </w:tcPr>
          <w:p w14:paraId="237343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(0.8 mm)</w:t>
            </w:r>
          </w:p>
        </w:tc>
      </w:tr>
      <w:tr w:rsidR="006C5731" w:rsidRPr="001C2B3F" w14:paraId="4901ADDC" w14:textId="77777777" w:rsidTr="006C5731">
        <w:trPr>
          <w:cantSplit/>
        </w:trPr>
        <w:tc>
          <w:tcPr>
            <w:tcW w:w="0" w:type="auto"/>
          </w:tcPr>
          <w:p w14:paraId="674681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layers</w:t>
            </w:r>
          </w:p>
        </w:tc>
        <w:tc>
          <w:tcPr>
            <w:tcW w:w="0" w:type="auto"/>
          </w:tcPr>
          <w:p w14:paraId="16DD75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r>
      <w:tr w:rsidR="006C5731" w:rsidRPr="001C2B3F" w14:paraId="48F0E17A" w14:textId="77777777" w:rsidTr="006C5731">
        <w:trPr>
          <w:cantSplit/>
        </w:trPr>
        <w:tc>
          <w:tcPr>
            <w:tcW w:w="0" w:type="auto"/>
          </w:tcPr>
          <w:p w14:paraId="6077A3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 infill</w:t>
            </w:r>
          </w:p>
        </w:tc>
        <w:tc>
          <w:tcPr>
            <w:tcW w:w="0" w:type="auto"/>
          </w:tcPr>
          <w:p w14:paraId="68CAD8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 grid</w:t>
            </w:r>
          </w:p>
        </w:tc>
      </w:tr>
      <w:tr w:rsidR="006C5731" w:rsidRPr="001C2B3F" w14:paraId="7ABD2883" w14:textId="77777777" w:rsidTr="006C5731">
        <w:trPr>
          <w:cantSplit/>
        </w:trPr>
        <w:tc>
          <w:tcPr>
            <w:tcW w:w="0" w:type="auto"/>
          </w:tcPr>
          <w:p w14:paraId="5C06D5F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Supports</w:t>
            </w:r>
          </w:p>
        </w:tc>
        <w:tc>
          <w:tcPr>
            <w:tcW w:w="0" w:type="auto"/>
          </w:tcPr>
          <w:p w14:paraId="0D4A697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69596457" w14:textId="77777777" w:rsidTr="006C5731">
        <w:trPr>
          <w:cantSplit/>
        </w:trPr>
        <w:tc>
          <w:tcPr>
            <w:tcW w:w="0" w:type="auto"/>
          </w:tcPr>
          <w:p w14:paraId="45C816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adhesion</w:t>
            </w:r>
          </w:p>
        </w:tc>
        <w:tc>
          <w:tcPr>
            <w:tcW w:w="0" w:type="auto"/>
          </w:tcPr>
          <w:p w14:paraId="281283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 outer brim, 0 mm object gap</w:t>
            </w:r>
          </w:p>
        </w:tc>
      </w:tr>
      <w:tr w:rsidR="006C5731" w:rsidRPr="001C2B3F" w14:paraId="78E72371" w14:textId="77777777" w:rsidTr="006C5731">
        <w:trPr>
          <w:cantSplit/>
        </w:trPr>
        <w:tc>
          <w:tcPr>
            <w:tcW w:w="0" w:type="auto"/>
          </w:tcPr>
          <w:p w14:paraId="256B3A2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Outer-wall speed</w:t>
            </w:r>
          </w:p>
        </w:tc>
        <w:tc>
          <w:tcPr>
            <w:tcW w:w="0" w:type="auto"/>
          </w:tcPr>
          <w:p w14:paraId="1DA25D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0E336A2E" w14:textId="77777777" w:rsidTr="006C5731">
        <w:trPr>
          <w:cantSplit/>
        </w:trPr>
        <w:tc>
          <w:tcPr>
            <w:tcW w:w="0" w:type="auto"/>
          </w:tcPr>
          <w:p w14:paraId="5647A8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Inner-wall speed</w:t>
            </w:r>
          </w:p>
        </w:tc>
        <w:tc>
          <w:tcPr>
            <w:tcW w:w="0" w:type="auto"/>
          </w:tcPr>
          <w:p w14:paraId="1609BA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 mm/s</w:t>
            </w:r>
          </w:p>
        </w:tc>
      </w:tr>
      <w:tr w:rsidR="006C5731" w:rsidRPr="001C2B3F" w14:paraId="6EF323D7" w14:textId="77777777" w:rsidTr="006C5731">
        <w:trPr>
          <w:cantSplit/>
        </w:trPr>
        <w:tc>
          <w:tcPr>
            <w:tcW w:w="0" w:type="auto"/>
          </w:tcPr>
          <w:p w14:paraId="657D17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Sparse-infill speed</w:t>
            </w:r>
          </w:p>
        </w:tc>
        <w:tc>
          <w:tcPr>
            <w:tcW w:w="0" w:type="auto"/>
          </w:tcPr>
          <w:p w14:paraId="0B0C38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270 mm/s</w:t>
            </w:r>
          </w:p>
        </w:tc>
      </w:tr>
      <w:tr w:rsidR="006C5731" w:rsidRPr="001C2B3F" w14:paraId="320C9C40" w14:textId="77777777" w:rsidTr="006C5731">
        <w:trPr>
          <w:cantSplit/>
        </w:trPr>
        <w:tc>
          <w:tcPr>
            <w:tcW w:w="0" w:type="auto"/>
          </w:tcPr>
          <w:p w14:paraId="00B2D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Top-surface speed</w:t>
            </w:r>
          </w:p>
        </w:tc>
        <w:tc>
          <w:tcPr>
            <w:tcW w:w="0" w:type="auto"/>
          </w:tcPr>
          <w:p w14:paraId="6826C2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47B317F3" w14:textId="77777777" w:rsidTr="006C5731">
        <w:trPr>
          <w:cantSplit/>
        </w:trPr>
        <w:tc>
          <w:tcPr>
            <w:tcW w:w="0" w:type="auto"/>
          </w:tcPr>
          <w:p w14:paraId="28D31D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Initial-layer speed</w:t>
            </w:r>
          </w:p>
        </w:tc>
        <w:tc>
          <w:tcPr>
            <w:tcW w:w="0" w:type="auto"/>
          </w:tcPr>
          <w:p w14:paraId="4629AB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60 mm/s</w:t>
            </w:r>
          </w:p>
        </w:tc>
      </w:tr>
      <w:tr w:rsidR="006C5731" w:rsidRPr="001C2B3F" w14:paraId="5A652174" w14:textId="77777777" w:rsidTr="006C5731">
        <w:trPr>
          <w:cantSplit/>
        </w:trPr>
        <w:tc>
          <w:tcPr>
            <w:tcW w:w="0" w:type="auto"/>
          </w:tcPr>
          <w:p w14:paraId="3CAA96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Travel speed</w:t>
            </w:r>
          </w:p>
        </w:tc>
        <w:tc>
          <w:tcPr>
            <w:tcW w:w="0" w:type="auto"/>
          </w:tcPr>
          <w:p w14:paraId="776AE1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 mm/s</w:t>
            </w:r>
          </w:p>
        </w:tc>
      </w:tr>
      <w:tr w:rsidR="006C5731" w:rsidRPr="001C2B3F" w14:paraId="6AE4F5F5" w14:textId="77777777" w:rsidTr="006C5731">
        <w:trPr>
          <w:cantSplit/>
        </w:trPr>
        <w:tc>
          <w:tcPr>
            <w:tcW w:w="0" w:type="auto"/>
          </w:tcPr>
          <w:p w14:paraId="74C150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Maximum filament volumetric speed</w:t>
            </w:r>
          </w:p>
        </w:tc>
        <w:tc>
          <w:tcPr>
            <w:tcW w:w="0" w:type="auto"/>
          </w:tcPr>
          <w:p w14:paraId="374B9D7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mm³/s</w:t>
            </w:r>
          </w:p>
        </w:tc>
      </w:tr>
      <w:tr w:rsidR="006C5731" w:rsidRPr="001C2B3F" w14:paraId="4F83AB83" w14:textId="77777777" w:rsidTr="006C5731">
        <w:trPr>
          <w:cantSplit/>
        </w:trPr>
        <w:tc>
          <w:tcPr>
            <w:tcW w:w="0" w:type="auto"/>
          </w:tcPr>
          <w:p w14:paraId="6CBCB16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height / layer count</w:t>
            </w:r>
          </w:p>
        </w:tc>
        <w:tc>
          <w:tcPr>
            <w:tcW w:w="0" w:type="auto"/>
          </w:tcPr>
          <w:p w14:paraId="1DEE06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17.0 mm / 85 layers</w:t>
            </w:r>
          </w:p>
        </w:tc>
      </w:tr>
    </w:tbl>
    <w:p w14:paraId="09579A0F"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2" w:name="Xd30ece0d053aaa6d90bf9da9de4b3bef4a5bd4f"/>
      <w:bookmarkEnd w:id="21"/>
      <w:r w:rsidRPr="001C2B3F">
        <w:rPr>
          <w:rFonts w:ascii="Times New Roman" w:hAnsi="Times New Roman" w:cs="Times New Roman"/>
          <w:sz w:val="24"/>
          <w:szCs w:val="24"/>
        </w:rPr>
        <w:t>Supplementary Note S1. LP360 long-pass filter improves SUEX K200 top-surface flatness</w:t>
      </w:r>
    </w:p>
    <w:p w14:paraId="00BDE04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14:paraId="0F51F1CA"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Exposure through an LP360 long-pass filter substantially reduced the ridges and produced a flatter bonding surface.</w:t>
      </w:r>
    </w:p>
    <w:p w14:paraId="55B59EBC"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0C547279" wp14:editId="1EB84DBF">
            <wp:extent cx="5334000" cy="1934945"/>
            <wp:effectExtent l="0" t="0" r="0" b="0"/>
            <wp:docPr id="60" name="Picture"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 xmlns:a="http://schemas.openxmlformats.org/drawingml/2006/main">
              <a:graphicData uri="http://schemas.openxmlformats.org/drawingml/2006/picture">
                <pic:pic xmlns:pic="http://schemas.openxmlformats.org/drawingml/2006/picture">
                  <pic:nvPicPr>
                    <pic:cNvPr id="61" name="Picture" descr="/home/ts/wt/mfd-pi-legend-discussion-20261002/papers/mfd_platform/build/run-20261002T185834-e0b45325/support/papers/mfd_platform/figures/rendered_docx/supp_fig_s1_no_lp360.png"/>
                    <pic:cNvPicPr>
                      <a:picLocks noChangeAspect="1" noChangeArrowheads="1"/>
                    </pic:cNvPicPr>
                  </pic:nvPicPr>
                  <pic:blipFill>
                    <a:blip r:embed="rId17"/>
                    <a:stretch>
                      <a:fillRect/>
                    </a:stretch>
                  </pic:blipFill>
                  <pic:spPr bwMode="auto">
                    <a:xfrm>
                      <a:off x="0" y="0"/>
                      <a:ext cx="5334000" cy="1934945"/>
                    </a:xfrm>
                    <a:prstGeom prst="rect">
                      <a:avLst/>
                    </a:prstGeom>
                    <a:noFill/>
                    <a:ln w="9525">
                      <a:noFill/>
                      <a:headEnd/>
                      <a:tailEnd/>
                    </a:ln>
                  </pic:spPr>
                </pic:pic>
              </a:graphicData>
            </a:graphic>
          </wp:inline>
        </w:drawing>
      </w:r>
    </w:p>
    <w:p w14:paraId="33977B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14:paraId="555CA27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3" w:name="X85076aeda86a6a87ea89cee0c84642a74a8cf4e"/>
      <w:bookmarkEnd w:id="22"/>
      <w:r w:rsidRPr="001C2B3F">
        <w:rPr>
          <w:rFonts w:ascii="Times New Roman" w:hAnsi="Times New Roman" w:cs="Times New Roman"/>
          <w:sz w:val="24"/>
          <w:szCs w:val="24"/>
        </w:rPr>
        <w:t>Supplementary Note S2. SU-8 base-layer adhesion and pre-SUEX hard bake</w:t>
      </w:r>
    </w:p>
    <w:p w14:paraId="5DD2AA5E"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SU-8 microchannels patterned directly on bare silicon at a target thickness of 5 µm delaminated during development or subsequent processing.</w:t>
      </w:r>
    </w:p>
    <w:p w14:paraId="75DEB5E1"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A 5 µm flood-exposed SU-8 2005 base layer was therefore added before the patterned microchannel layer. The base layer is exposed without a mask and is not developed. It provides sufficient adhesion without a dehydration bake or HMDS treatment.</w:t>
      </w:r>
    </w:p>
    <w:p w14:paraId="7BF481DB"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14:paraId="6E2697D5"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drawing>
          <wp:inline distT="0" distB="0" distL="0" distR="0" wp14:anchorId="1F8B5E4C" wp14:editId="40AD4F25">
            <wp:extent cx="5334000" cy="1934945"/>
            <wp:effectExtent l="0" t="0" r="0" b="0"/>
            <wp:docPr id="64" name="Picture" descr="Supplementary Figure S2. Representative optical micrographs of SU-8 microchannel delamination when features were patterned directly on bare silicon without the flood-exposed base layer. Scale bars: 100 µm (left) and 200 µm (right)."/>
            <wp:cNvGraphicFramePr/>
            <a:graphic xmlns:a="http://schemas.openxmlformats.org/drawingml/2006/main">
              <a:graphicData uri="http://schemas.openxmlformats.org/drawingml/2006/picture">
                <pic:pic xmlns:pic="http://schemas.openxmlformats.org/drawingml/2006/picture">
                  <pic:nvPicPr>
                    <pic:cNvPr id="65" name="Picture" descr="/home/ts/wt/mfd-pi-legend-discussion-20261002/papers/mfd_platform/build/run-20261002T185834-e0b45325/support/papers/mfd_platform/figures/rendered_docx/supp_fig_s2_delamination.png"/>
                    <pic:cNvPicPr>
                      <a:picLocks noChangeAspect="1" noChangeArrowheads="1"/>
                    </pic:cNvPicPr>
                  </pic:nvPicPr>
                  <pic:blipFill>
                    <a:blip r:embed="rId18"/>
                    <a:stretch>
                      <a:fillRect/>
                    </a:stretch>
                  </pic:blipFill>
                  <pic:spPr bwMode="auto">
                    <a:xfrm>
                      <a:off x="0" y="0"/>
                      <a:ext cx="5334000" cy="1934945"/>
                    </a:xfrm>
                    <a:prstGeom prst="rect">
                      <a:avLst/>
                    </a:prstGeom>
                    <a:noFill/>
                    <a:ln w="9525">
                      <a:noFill/>
                      <a:headEnd/>
                      <a:tailEnd/>
                    </a:ln>
                  </pic:spPr>
                </pic:pic>
              </a:graphicData>
            </a:graphic>
          </wp:inline>
        </w:drawing>
      </w:r>
    </w:p>
    <w:p w14:paraId="599BA8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S2. Representative optical micrographs of SU-8 microchannel delamination when features were patterned directly on bare silicon without the flood-exposed base layer. Scale bars: 100 µm (left) and 200 µm (right).</w:t>
      </w:r>
    </w:p>
    <w:p w14:paraId="438F086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4" w:name="X22d626b50006bf4a29d128ca99e25fdb6610848"/>
      <w:bookmarkEnd w:id="23"/>
      <w:r w:rsidRPr="001C2B3F">
        <w:rPr>
          <w:rFonts w:ascii="Times New Roman" w:hAnsi="Times New Roman" w:cs="Times New Roman"/>
          <w:sz w:val="24"/>
          <w:szCs w:val="24"/>
        </w:rPr>
        <w:lastRenderedPageBreak/>
        <w:t>Supplementary Protocol S1. Post-mold device assembly, primary cortical neuron culture, and CTβ retrograde axon tracing</w:t>
      </w:r>
    </w:p>
    <w:p w14:paraId="6141691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5" w:name="scope"/>
      <w:r w:rsidRPr="001C2B3F">
        <w:rPr>
          <w:rFonts w:ascii="Times New Roman" w:hAnsi="Times New Roman" w:cs="Times New Roman"/>
          <w:sz w:val="24"/>
          <w:szCs w:val="24"/>
        </w:rPr>
        <w:t>Scope</w:t>
      </w:r>
    </w:p>
    <w:p w14:paraId="256ABC1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covers PDMS casting from the parylene-coated hybrid mold, plate assembly, neuronal culture, and imaging. The assays measure tracer movement between compartments and count CTβ-positive neuronal cell bodies in each device.</w:t>
      </w:r>
    </w:p>
    <w:p w14:paraId="0ABE21BD"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p>
    <w:bookmarkEnd w:id="25"/>
    <w:p w14:paraId="3B20F44D"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Materials and equipment</w:t>
      </w:r>
    </w:p>
    <w:p w14:paraId="7A4900FD"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Completed parylene-coated hybrid mold (Supplementary Protocol S2).</w:t>
      </w:r>
    </w:p>
    <w:p w14:paraId="5DB7F40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Sylgard 184 PDMS base and curing agent.</w:t>
      </w:r>
    </w:p>
    <w:p w14:paraId="75189B3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Vacuum desiccator and 100°C oven.</w:t>
      </w:r>
    </w:p>
    <w:p w14:paraId="4C07401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Industrial paper guillotine and clean razor blades.</w:t>
      </w:r>
    </w:p>
    <w:p w14:paraId="4D323AD2"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Coverslip glass, 110 × 74 × 0.17 mm.</w:t>
      </w:r>
    </w:p>
    <w:p w14:paraId="1B077849"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Harrick PDC-001 plasma cleaner or equivalent.</w:t>
      </w:r>
    </w:p>
    <w:p w14:paraId="089E54E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Dry-air supply for plasma treatment.</w:t>
      </w:r>
    </w:p>
    <w:p w14:paraId="3D2ACC5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Sterilization pouches and autoclave operated at 121°C for 15 min.</w:t>
      </w:r>
    </w:p>
    <w:p w14:paraId="2DEF3ECA"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OpenMFD-generated HIPS frame printed on an enclosed FDM printer.</w:t>
      </w:r>
    </w:p>
    <w:p w14:paraId="4E48A2E6"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12-channel pipette fitted with eight tips.</w:t>
      </w:r>
    </w:p>
    <w:p w14:paraId="539E3163"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70% ethanol.</w:t>
      </w:r>
    </w:p>
    <w:p w14:paraId="76D98904"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Henkel LOCTITE SI 5140 one-part alkoxy-cure room-temperature-vulcanizing silicone sealant (3 oz tube, IDH 135264), 3 mL Luer-lock syringe, and 18 gauge dispensing needle.</w:t>
      </w:r>
    </w:p>
    <w:p w14:paraId="126A476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dPGA (DendroTEK Biosciences) surface-coating reagent.</w:t>
      </w:r>
    </w:p>
    <w:p w14:paraId="12430CD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DMEM with 10% fetal bovine serum.</w:t>
      </w:r>
    </w:p>
    <w:p w14:paraId="31518C8C"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Neurobasal Plus medium supplemented with 1% N2, 2% B27, and 1% glutamine.</w:t>
      </w:r>
    </w:p>
    <w:p w14:paraId="20899FE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Primary E18 Sprague Dawley rat cortical neurons.</w:t>
      </w:r>
    </w:p>
    <w:p w14:paraId="5AC8B1A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CTβ-647.</w:t>
      </w:r>
    </w:p>
    <w:p w14:paraId="6054C8E8"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Alexa Fluor 488- and Alexa Fluor 568-conjugated secondary antibodies.</w:t>
      </w:r>
    </w:p>
    <w:p w14:paraId="2FAC59A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PerkinElmer Opera Phenix Plus high-content imaging system with a 10×/0.30 NA objective.</w:t>
      </w:r>
    </w:p>
    <w:p w14:paraId="01F9232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6" w:name="adhesive-selection-and-substitution"/>
      <w:r w:rsidRPr="001C2B3F">
        <w:rPr>
          <w:rFonts w:ascii="Times New Roman" w:hAnsi="Times New Roman" w:cs="Times New Roman"/>
          <w:sz w:val="24"/>
          <w:szCs w:val="24"/>
        </w:rPr>
        <w:lastRenderedPageBreak/>
        <w:t>Adhesive selection and substitution</w:t>
      </w:r>
    </w:p>
    <w:p w14:paraId="4DC773A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14:paraId="77AD97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7" w:name="X07e76f8797acc84bdd648d4f07bab25851241d6"/>
      <w:bookmarkEnd w:id="26"/>
      <w:r w:rsidRPr="001C2B3F">
        <w:rPr>
          <w:rFonts w:ascii="Times New Roman" w:hAnsi="Times New Roman" w:cs="Times New Roman"/>
          <w:sz w:val="24"/>
          <w:szCs w:val="24"/>
        </w:rPr>
        <w:t>Control without a frame or frame adhesive</w:t>
      </w:r>
    </w:p>
    <w:p w14:paraId="598BB151"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14:paraId="5F1E52A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8" w:name="a.-cast-and-demold-the-pdms-device"/>
      <w:bookmarkEnd w:id="27"/>
      <w:r w:rsidRPr="001C2B3F">
        <w:rPr>
          <w:rFonts w:ascii="Times New Roman" w:hAnsi="Times New Roman" w:cs="Times New Roman"/>
          <w:sz w:val="24"/>
          <w:szCs w:val="24"/>
        </w:rPr>
        <w:t>A. Cast and demold the PDMS device</w:t>
      </w:r>
    </w:p>
    <w:p w14:paraId="2955D5E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Form a leak-tight aluminum-foil reservoir around the parylene-coated wafer mold.</w:t>
      </w:r>
    </w:p>
    <w:p w14:paraId="5CFB640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Mix Sylgard 184 at a 10:1 base:curing-agent ratio. Approximately 35 mL total mixture is sufficient for one wafer mold.</w:t>
      </w:r>
    </w:p>
    <w:p w14:paraId="3338E5A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Pour approximately 30 mL PDMS over the mold.</w:t>
      </w:r>
    </w:p>
    <w:p w14:paraId="28CE858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Load the filled molds into the six-shelf metal wafer rack and place the rack in the cylindrical vacuum chamber. Degas until visible bubbles are removed (typically 10–30 min; approximately −15 inHg in this setup).</w:t>
      </w:r>
    </w:p>
    <w:p w14:paraId="15E5EB7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Transfer the loaded rack to the oven. Cure for 1 h at 100°C and allow the mold to return to room temperature.</w:t>
      </w:r>
    </w:p>
    <w:p w14:paraId="30879A30"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Remove the aluminum foil and release the PDMS around the mold perimeter.</w:t>
      </w:r>
    </w:p>
    <w:p w14:paraId="5D32E85F"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Support the wafer on a flat surface. Start peeling at the corners and progress toward the center while pulling the PDMS upward and backward to reduce stress on the wafer.</w:t>
      </w:r>
    </w:p>
    <w:p w14:paraId="0509628D"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Inspect the demolded cast. Wells must be open, microchannel regions must be intact, and no insert or SU-8/SUEX feature may have detached from the mold.</w:t>
      </w:r>
    </w:p>
    <w:p w14:paraId="54166D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9" w:name="b.-trim-and-bond-the-device-to-glass"/>
      <w:bookmarkEnd w:id="28"/>
      <w:r w:rsidRPr="001C2B3F">
        <w:rPr>
          <w:rFonts w:ascii="Times New Roman" w:hAnsi="Times New Roman" w:cs="Times New Roman"/>
          <w:sz w:val="24"/>
          <w:szCs w:val="24"/>
        </w:rPr>
        <w:t>B. Trim and bond the device to glass</w:t>
      </w:r>
    </w:p>
    <w:p w14:paraId="7B653D6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demolded PDMS feature-side up on a clean sheet of paper on the industrial paper-guillotine bed.</w:t>
      </w:r>
    </w:p>
    <w:p w14:paraId="75F1EEB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Apply clean low-residue tape along the inner edge of each molded cutting wall. Overlap the wall and extend each strip beyond the circular cast onto the paper so that the cast is held flat. Align the molded cutting guide with the guillotine blade.</w:t>
      </w:r>
    </w:p>
    <w:p w14:paraId="5D5FA8D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Trim the device to the generated 108 × 72 mm outline and cut a small 45° chamfer at each corner for frame alignment.</w:t>
      </w:r>
    </w:p>
    <w:p w14:paraId="39DD092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Remove particles from the bonding surface with repeated application of clean tape. Keep the final protective layer in place until plasma treatment.</w:t>
      </w:r>
    </w:p>
    <w:p w14:paraId="6FB5478D"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PDMS and a clean 110 × 74 × 0.17 mm coverslip-glass sheet in the plasma cleaner with the bonding surfaces exposed.</w:t>
      </w:r>
    </w:p>
    <w:p w14:paraId="1886EE60"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Treat with dry-air plasma for 1 min at 200–600 mTorr in a Harrick PDC-001, or use locally validated equivalent conditions, to activate both surfaces for PDMS-glass bonding.</w:t>
      </w:r>
    </w:p>
    <w:p w14:paraId="0B739FFC"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Bring the activated surfaces into contact while maintaining a uniform glass margin around the PDMS. Apply gentle pressure from the center outward.</w:t>
      </w:r>
    </w:p>
    <w:p w14:paraId="6DCD487B"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Heat the bonded assembly at 100°C for at least 1 min while applying uniform pressure.</w:t>
      </w:r>
    </w:p>
    <w:p w14:paraId="776290E3"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Autoclave the bonded PDMS-on-glass assembly in a sterilization pouch at 121°C for 15 min.</w:t>
      </w:r>
    </w:p>
    <w:p w14:paraId="1B5D5E8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0" w:name="c.-assemble-the-framed-plate"/>
      <w:bookmarkEnd w:id="29"/>
      <w:r w:rsidRPr="001C2B3F">
        <w:rPr>
          <w:rFonts w:ascii="Times New Roman" w:hAnsi="Times New Roman" w:cs="Times New Roman"/>
          <w:sz w:val="24"/>
          <w:szCs w:val="24"/>
        </w:rPr>
        <w:t>C. Assemble the framed plate</w:t>
      </w:r>
    </w:p>
    <w:p w14:paraId="680164CB"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Decontaminate the HIPS frame with 70% ethanol, allow it to dry, and invert it so that the adhesive groove surrounding the device opening faces upward.</w:t>
      </w:r>
    </w:p>
    <w:p w14:paraId="1884BF94"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Dispense 0.5–1 mL LOCTITE SI 5140 into the upward-facing frame groove using an 18 gauge dispensing needle.</w:t>
      </w:r>
    </w:p>
    <w:p w14:paraId="37B63F99"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Invert the bonded PDMS-on-glass assembly so that the glass faces upward. Align the PDMS with the frame recess and lower the assembly into the frame.</w:t>
      </w:r>
    </w:p>
    <w:p w14:paraId="65B2983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Inspect the adhesive joint for visible gaps.</w:t>
      </w:r>
    </w:p>
    <w:p w14:paraId="0F86425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Cure at room temperature for 3 days, turn the framed device upright, and trim excess cured adhesive with a clean razor blade.</w:t>
      </w:r>
    </w:p>
    <w:p w14:paraId="2CAB943E"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Before coating or culture, plasma-treat the assembled device with dry air at high power (30 W) for 10 min at approximately 400 mTorr to decontaminate the surface and make it hydrophilic. Begin aqueous coating within 15 min of plasma treatment.</w:t>
      </w:r>
    </w:p>
    <w:p w14:paraId="4D62CE7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1" w:name="d.-perform-the-fluorescent-tracer-assay"/>
      <w:bookmarkEnd w:id="30"/>
      <w:r w:rsidRPr="001C2B3F">
        <w:rPr>
          <w:rFonts w:ascii="Times New Roman" w:hAnsi="Times New Roman" w:cs="Times New Roman"/>
          <w:sz w:val="24"/>
          <w:szCs w:val="24"/>
        </w:rPr>
        <w:t>D. Perform the fluorescent tracer assay</w:t>
      </w:r>
    </w:p>
    <w:p w14:paraId="6296763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Reserve 24 assembled two-compartment devices for the fluorescent tracer assay.</w:t>
      </w:r>
    </w:p>
    <w:p w14:paraId="414188B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 xml:space="preserve">Prepare Alexa Fluor 488- and Alexa Fluor 568-conjugated secondary antibodies, each at a 1:1000 dilution in PBS.</w:t>
      </w:r>
    </w:p>
    <w:p w14:paraId="0A27074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25 µL Alexa Fluor 568 solution to the left compartment of each device.</w:t>
      </w:r>
    </w:p>
    <w:p w14:paraId="164E57F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50 µL Alexa Fluor 488 solution to the right compartment.</w:t>
      </w:r>
    </w:p>
    <w:p w14:paraId="5690F17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Image the complete device set immediately after loading (Hour 0).</w:t>
      </w:r>
    </w:p>
    <w:p w14:paraId="118C93E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Keep the devices in a cell-culture incubator for 72 h without replenishing either compartment or adjusting the volumes, then image the same devices.</w:t>
      </w:r>
    </w:p>
    <w:p w14:paraId="591238A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Acquire images in widefield mode using the same 10×/0.30 NA objective, 2 × 2 camera binning, and 100 ms fluorescence exposure used for the CTβ imaging, with green and red channels suited to the two fluorophores.</w:t>
      </w:r>
    </w:p>
    <w:p w14:paraId="2B13C8DE"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Compare green fluorescence in the initially lower-volume left compartment between Hour 0 and 72 h. The readout is qualitative tracer redistribution from the higher-volume right compartment.</w:t>
      </w:r>
    </w:p>
    <w:p w14:paraId="310DA5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2" w:name="Xb74ece0a97507635528c7a6376f270dd81e6cf4"/>
      <w:bookmarkEnd w:id="31"/>
      <w:r w:rsidRPr="001C2B3F">
        <w:rPr>
          <w:rFonts w:ascii="Times New Roman" w:hAnsi="Times New Roman" w:cs="Times New Roman"/>
          <w:sz w:val="24"/>
          <w:szCs w:val="24"/>
        </w:rPr>
        <w:lastRenderedPageBreak/>
        <w:t>E. Coat and seed primary cortical neurons</w:t>
      </w:r>
    </w:p>
    <w:p w14:paraId="739693DA"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Isolate cortical neurons from one embryonic day 18 (E18) Sprague Dawley rat embryo following the procedure described by Harris et al. (2007), under the laboratory’s approved animal-use procedure.</w:t>
      </w:r>
    </w:p>
    <w:p w14:paraId="72B31804"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Distribute neurons from that embryo across three separately assembled plates. Because the neurons all come from the same embryo, the plates are technical replicates, not independent biological samples.</w:t>
      </w:r>
    </w:p>
    <w:p w14:paraId="5BAD3B07"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 xml:space="preserve">Add 30 µL of 10 µg/mL dPGA to each culture well, incubate for 10 min, and wash once with sterile water. dPGA was selected as the neuronal culture substrate based on Clément et al. (2022; PMID: 35023760).</w:t>
      </w:r>
    </w:p>
    <w:p w14:paraId="1FBE52D6"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Add 50 µL supplemented Neurobasal Plus medium to the axon compartment.</w:t>
      </w:r>
    </w:p>
    <w:p w14:paraId="637CA6AB"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Seed 5,000–10,000 neurons in 50 µL DMEM with 10% fetal bovine serum in the cell-body (soma) compartment.</w:t>
      </w:r>
    </w:p>
    <w:p w14:paraId="4012E08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Allow cells to attach for at least 30 min, then replace the soma-compartment medium with 50 µL supplemented Neurobasal Plus medium.</w:t>
      </w:r>
    </w:p>
    <w:p w14:paraId="2F3CCF9F"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Remove 25 µL from the axon compartment. Maintain 50 µL in the soma compartment and 25 µL in the axon compartment to create a small pressure difference that directs fluid from the soma compartment toward the axon compartment.</w:t>
      </w:r>
    </w:p>
    <w:p w14:paraId="4AF5D72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 xml:space="preserve">Maintain cultures for 11 DIV following the procedure of Harris et al. (2007; PMID: 18989412), with the medium formulation and compartment volumes specified above applied across all three plates.</w:t>
      </w:r>
    </w:p>
    <w:p w14:paraId="544C15E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3" w:name="X80368d3736010fd776091cc7046b277662e25ef"/>
      <w:bookmarkEnd w:id="32"/>
      <w:r w:rsidRPr="001C2B3F">
        <w:rPr>
          <w:rFonts w:ascii="Times New Roman" w:hAnsi="Times New Roman" w:cs="Times New Roman"/>
          <w:sz w:val="24"/>
          <w:szCs w:val="24"/>
        </w:rPr>
        <w:t>F. Perform CTβ retrograde axon tracing and imaging</w:t>
      </w:r>
    </w:p>
    <w:p w14:paraId="05F17991"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DIV10, add CTβ-647 to the 25 µL axon compartment at a final concentration of 1 µg/mL.</w:t>
      </w:r>
    </w:p>
    <w:p w14:paraId="1BD17510"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After adding CTβ, keep 50 µL in the soma compartment and 25 µL in the axon compartment.</w:t>
      </w:r>
    </w:p>
    <w:p w14:paraId="4D84A1EE"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Incubate for 24 h.</w:t>
      </w:r>
    </w:p>
    <w:p w14:paraId="74450D5C"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14:paraId="181E83D3"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14:paraId="65B403CD"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14:paraId="4602BA9F"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Identify and count CTβ-positive neuronal cell bodies using the same cell segmentation settings and criteria for CTβ labeling in every cropped image. Record one CTβ-positive cell-body count for each cropped device.</w:t>
      </w:r>
    </w:p>
    <w:p w14:paraId="71BE35DB"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4" w:name="Xc04f423daeb6f07159848f3cd0a154359ddd66e"/>
      <w:bookmarkEnd w:id="33"/>
      <w:r w:rsidRPr="001C2B3F">
        <w:rPr>
          <w:rFonts w:ascii="Times New Roman" w:hAnsi="Times New Roman" w:cs="Times New Roman"/>
          <w:sz w:val="24"/>
          <w:szCs w:val="24"/>
        </w:rPr>
        <w:t>G. Analysis set and descriptive statistics</w:t>
      </w:r>
    </w:p>
    <w:p w14:paraId="2925196E"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cells were counted before axotomy in the February 2026 three-plate DMSO-only experiment.</w:t>
      </w:r>
    </w:p>
    <w:p w14:paraId="0F4D6901"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Analysis was restricted to the 24 interior devices per plate because culture conditions differed at the plate perimeter. Images from 72 interior devices across three plates were checked for contamination and technical failures.</w:t>
      </w:r>
    </w:p>
    <w:p w14:paraId="27C20F40"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Devices were excluded only when late-stage microbial contamination or an observable technical failure in culture or imaging prevented cell counting. Every usable count was included, whether high or low.</w:t>
      </w:r>
    </w:p>
    <w:p w14:paraId="5ACFD374"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All neurons came from one embryo. The three separately assembled plates and the devices within each plate are technical replicates, not samples from different embryos.</w:t>
      </w:r>
    </w:p>
    <w:p w14:paraId="71EFF4BC"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In this experiment, 69 of the 72 interior devices had images suitable for cell counting. Three devices had late-stage contamination or a technical failure that prevented cell counting in the final image.</w:t>
      </w:r>
    </w:p>
    <w:p w14:paraId="1D8CCA35"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counts are summarized descriptively as the mean and standard deviation across analyzed interior devices within each plate, representing variation among devices containing neurons from the same embryo.</w:t>
      </w:r>
    </w:p>
    <w:p w14:paraId="3D361B1C"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35" w:name="X8ea217fee6dccb4b0881d9f5f7419e0bbf5c51d"/>
      <w:bookmarkEnd w:id="24"/>
      <w:bookmarkEnd w:id="34"/>
      <w:r w:rsidRPr="001C2B3F">
        <w:rPr>
          <w:rFonts w:ascii="Times New Roman" w:hAnsi="Times New Roman" w:cs="Times New Roman"/>
          <w:sz w:val="24"/>
          <w:szCs w:val="24"/>
        </w:rPr>
        <w:t>Supplementary Protocol S2. One-time hybrid SU-8/SUEX/resin mold fabrication</w:t>
      </w:r>
    </w:p>
    <w:p w14:paraId="5FBAE26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14:paraId="1F8D66F6"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14:paraId="0EB3AC6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6" w:name="required-design-files"/>
      <w:r w:rsidRPr="001C2B3F">
        <w:rPr>
          <w:rFonts w:ascii="Times New Roman" w:hAnsi="Times New Roman" w:cs="Times New Roman"/>
          <w:sz w:val="24"/>
          <w:szCs w:val="24"/>
        </w:rPr>
        <w:t>Required design files</w:t>
      </w:r>
    </w:p>
    <w:p w14:paraId="1DE9DEBC"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channel-layer photomask.</w:t>
      </w:r>
    </w:p>
    <w:p w14:paraId="30129AAE"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SUEX well-layer and insert-alignment photomask.</w:t>
      </w:r>
    </w:p>
    <w:p w14:paraId="54C4CA8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resin insert STL array.</w:t>
      </w:r>
    </w:p>
    <w:p w14:paraId="1C9A2AD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wafer, cutting, and plate-frame outlines.</w:t>
      </w:r>
    </w:p>
    <w:p w14:paraId="6169F10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7" w:name="materials-and-equipment"/>
      <w:bookmarkEnd w:id="36"/>
      <w:r w:rsidRPr="001C2B3F">
        <w:rPr>
          <w:rFonts w:ascii="Times New Roman" w:hAnsi="Times New Roman" w:cs="Times New Roman"/>
          <w:sz w:val="24"/>
          <w:szCs w:val="24"/>
        </w:rPr>
        <w:t>Materials and equipment</w:t>
      </w:r>
    </w:p>
    <w:p w14:paraId="3850E7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6-inch silicon wafer (UniversityWafer ID857 was used here).</w:t>
      </w:r>
    </w:p>
    <w:p w14:paraId="12C6203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SU-8 2005 negative photoresist (Kayaku Advanced Materials).</w:t>
      </w:r>
    </w:p>
    <w:p w14:paraId="55CE63AD"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SUEX K200 dry film.</w:t>
      </w:r>
    </w:p>
    <w:p w14:paraId="69D2B63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PGMEA developer.</w:t>
      </w:r>
    </w:p>
    <w:p w14:paraId="53A4678B"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LP360 long-pass filter for SUEX exposure.</w:t>
      </w:r>
    </w:p>
    <w:p w14:paraId="65250EFE"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Laurell WS-650-8B spin coater or equivalent.</w:t>
      </w:r>
    </w:p>
    <w:p w14:paraId="59BD1BC2"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SK 335R6 laminator or equivalent dry-film laminator.</w:t>
      </w:r>
    </w:p>
    <w:p w14:paraId="46DEDA7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EVG620 mask aligner or equivalent photolithography aligner.</w:t>
      </w:r>
    </w:p>
    <w:p w14:paraId="6E70AE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Elegoo Mars 3 Pro resin printer or locally validated equivalent.</w:t>
      </w:r>
    </w:p>
    <w:p w14:paraId="73DB7EF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 or locally validated equivalent.</w:t>
      </w:r>
    </w:p>
    <w:p w14:paraId="46A3809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Detachable magnetic resin-printer build plate or equivalent transfer fixture.</w:t>
      </w:r>
    </w:p>
    <w:p w14:paraId="0989AC47"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Larger bonding plate compatible with the full wafer.</w:t>
      </w:r>
    </w:p>
    <w:p w14:paraId="01A2DDD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EPDM rubber sheet, 0.03125 inch thickness, 60A durometer.</w:t>
      </w:r>
    </w:p>
    <w:p w14:paraId="60251D80"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EPO-TEK 301-2 epoxy.</w:t>
      </w:r>
    </w:p>
    <w:p w14:paraId="0AE9B1A3"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Acetone baths and dry air gun.</w:t>
      </w:r>
    </w:p>
    <w:p w14:paraId="42507C0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Specialty Coating Systems SCS 200 parylene coater or equivalent parylene C coating service.</w:t>
      </w:r>
    </w:p>
    <w:p w14:paraId="24B1F84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8" w:name="a.-generate-and-review-fabrication-files"/>
      <w:bookmarkEnd w:id="37"/>
      <w:r w:rsidRPr="001C2B3F">
        <w:rPr>
          <w:rFonts w:ascii="Times New Roman" w:hAnsi="Times New Roman" w:cs="Times New Roman"/>
          <w:sz w:val="24"/>
          <w:szCs w:val="24"/>
        </w:rPr>
        <w:t>A. Generate and review fabrication files</w:t>
      </w:r>
    </w:p>
    <w:p w14:paraId="5A8E5AF6"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Generate matched photomask, insert, wafer, and frame files from the same OpenMFD preset.</w:t>
      </w:r>
    </w:p>
    <w:p w14:paraId="22447ECA"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Confirm that the channel layer, SUEX well and alignment-hole layer, insert pins, insert skirts, taper allowances, and cutting/frame outlines share the same coordinate system.</w:t>
      </w:r>
    </w:p>
    <w:p w14:paraId="38C0C2AE"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Apply the demonstrated horizontal PDMS shrinkage compensation factor of 1.0226 (2.26% enlargement) for the 100°C cure consistently to matching mask and insert outputs (Supplementary Table S3). Do not add an independent slicer scale correction.</w:t>
      </w:r>
    </w:p>
    <w:p w14:paraId="55F968FF"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Before fabrication, inspect the single-device and wafer-scale DXF outputs and the single and arrayed insert STL outputs.</w:t>
      </w:r>
    </w:p>
    <w:p w14:paraId="5C3DEC0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9" w:name="b.-pattern-the-su-8suex-wafer"/>
      <w:bookmarkEnd w:id="38"/>
      <w:r w:rsidRPr="001C2B3F">
        <w:rPr>
          <w:rFonts w:ascii="Times New Roman" w:hAnsi="Times New Roman" w:cs="Times New Roman"/>
          <w:sz w:val="24"/>
          <w:szCs w:val="24"/>
        </w:rPr>
        <w:t>B. Pattern the SU-8/SUEX wafer</w:t>
      </w:r>
    </w:p>
    <w:p w14:paraId="4E94D03D"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Start with a clean 6-inch silicon wafer.</w:t>
      </w:r>
    </w:p>
    <w:p w14:paraId="3E058C20"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SU-8 2005 for a 5 µm target thickness.</w:t>
      </w:r>
    </w:p>
    <w:p w14:paraId="75DD8AE7"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Flood expose the first SU-8 2005 layer without a mask. Do not develop this layer. This layer functions as an adhesion base for the microchannel layer.</w:t>
      </w:r>
    </w:p>
    <w:p w14:paraId="4F26B39B"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a second SU-8 2005 layer for a 5 µm target thickness.</w:t>
      </w:r>
    </w:p>
    <w:p w14:paraId="1AC52C8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Align and expose the second SU-8 layer through the microchannel photomask.</w:t>
      </w:r>
    </w:p>
    <w:p w14:paraId="194A347A"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Bake and develop the patterned SU-8 layer according to the manufacturer’s SU-8 2005 process for a 5 µm target thickness.</w:t>
      </w:r>
    </w:p>
    <w:p w14:paraId="4ECBE258"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Hard bake the developed two-layer SU-8 stack for 10 min at 150°C before SUEX lamination. Place the approximately 10 µm stack directly in the heated oven and remove it after 10 min; no controlled heating ramp or cooldown is required.</w:t>
      </w:r>
    </w:p>
    <w:p w14:paraId="7EB72261"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Laminate SUEX K200 dry film onto the wafer.</w:t>
      </w:r>
    </w:p>
    <w:p w14:paraId="52AEF054"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Expose the SUEX layer through the well and insert-alignment photomask using an LP360 long-pass filter at 2800 mJ/cm².</w:t>
      </w:r>
    </w:p>
    <w:p w14:paraId="1C46A18E"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Post-exposure bake by ramping from room temperature to 50°C at 1°C/min, holding at 50°C for at least 12 h overnight, then shutting off the oven and allowing it to cool.</w:t>
      </w:r>
    </w:p>
    <w:p w14:paraId="5CB092A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Develop the SUEX layer in PGMEA for 20 min with mixing, exchanging developer at 15 min.</w:t>
      </w:r>
    </w:p>
    <w:p w14:paraId="7CF74192"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Hard bake by ramping from room temperature to 120°C at 3°C/min, holding for 30 min, and ramping down by powering off the oven.</w:t>
      </w:r>
    </w:p>
    <w:p w14:paraId="349B789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photolithography:</w:t>
      </w:r>
    </w:p>
    <w:p w14:paraId="4B6F4BE5"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5 µm SU-8 microchannel features remain attached.</w:t>
      </w:r>
    </w:p>
    <w:p w14:paraId="07BF6BC2"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well features and insert-alignment holes are visibly intact.</w:t>
      </w:r>
    </w:p>
    <w:p w14:paraId="5595A39A"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top surfaces are sufficiently flat for a continuous insert-wafer epoxy seal.</w:t>
      </w:r>
    </w:p>
    <w:p w14:paraId="68B238A3"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0" w:name="c.-print-and-prepare-resin-inserts"/>
      <w:bookmarkEnd w:id="39"/>
      <w:r w:rsidRPr="001C2B3F">
        <w:rPr>
          <w:rFonts w:ascii="Times New Roman" w:hAnsi="Times New Roman" w:cs="Times New Roman"/>
          <w:sz w:val="24"/>
          <w:szCs w:val="24"/>
        </w:rPr>
        <w:t>C. Print and prepare resin inserts</w:t>
      </w:r>
    </w:p>
    <w:p w14:paraId="1833C26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Print the OpenMFD-generated insert array. This work used Siraya Tech Sculpt Clear resin on an Elegoo Mars 3 Pro printer with the settings in Supplementary Table S4. Test settings for other printers and resins before printing the full array.</w:t>
      </w:r>
    </w:p>
    <w:p w14:paraId="14B670B8"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Record resin, layer height, exposure, lift/retract, washing, and post-cure settings with the local printer profile. These settings apply to the local printer and resin, independently of the device dimensions in OpenMFD.</w:t>
      </w:r>
    </w:p>
    <w:p w14:paraId="360F0143"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Clean the printed inserts by spraying with acetone and blow drying with compressed nitrogen. Repeat until pin features are free of residual resin; this work used 6–8 acetone/nitrogen cycles.</w:t>
      </w:r>
    </w:p>
    <w:p w14:paraId="78B02694"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build plate from the printer platform and post-cure the print in an Elegoo Mercury X rotating UV cure station for 15 min.</w:t>
      </w:r>
    </w:p>
    <w:p w14:paraId="18C4E14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Keep the inserts in their printed relative positions on the detachable flexible metal build plate or equivalent transfer fixture.</w:t>
      </w:r>
    </w:p>
    <w:p w14:paraId="5403D8E1"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Measure each printed pin individually with a micrometer before bonding. In one 8 × 12 array of 96 pins, the tallest and shortest pins differed by 116 µm (Supplementary Table S1).</w:t>
      </w:r>
    </w:p>
    <w:p w14:paraId="32A41963"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before bonding:</w:t>
      </w:r>
    </w:p>
    <w:p w14:paraId="5C6EC926"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inserts remain in their intended array positions.</w:t>
      </w:r>
    </w:p>
    <w:p w14:paraId="21279D02"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pins are intact and free of resin debris.</w:t>
      </w:r>
    </w:p>
    <w:p w14:paraId="07BF2647"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Confirm that the compressible clamping layers allow all pins to seat despite the measured differences in height.</w:t>
      </w:r>
    </w:p>
    <w:p w14:paraId="4B2C2F6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1" w:name="d.-bond-inserts-to-the-su-8suex-wafer"/>
      <w:bookmarkEnd w:id="40"/>
      <w:r w:rsidRPr="001C2B3F">
        <w:rPr>
          <w:rFonts w:ascii="Times New Roman" w:hAnsi="Times New Roman" w:cs="Times New Roman"/>
          <w:sz w:val="24"/>
          <w:szCs w:val="24"/>
        </w:rPr>
        <w:t>D. Bond inserts to the SU-8/SUEX wafer</w:t>
      </w:r>
    </w:p>
    <w:p w14:paraId="7922A84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the insert array from the resin-printer build plate to a bonding plate suitable for clamping against the full wafer.</w:t>
      </w:r>
    </w:p>
    <w:p w14:paraId="419E984A"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0.03125-inch-thick, 60A EPDM rubber sheet between the fixed magnet on the clamping build plate and the flexible metal build plate carrying the inserts.</w:t>
      </w:r>
    </w:p>
    <w:p w14:paraId="7C45295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Apply EPO-TEK 301-2 epoxy in excess to the underside cavity on the pin side of each insert.</w:t>
      </w:r>
    </w:p>
    <w:p w14:paraId="044F11D9"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the wafer with SU-8/SUEX features facing the insert pins.</w:t>
      </w:r>
    </w:p>
    <w:p w14:paraId="686C6A40"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Align the wafer until all insert pins seat into their corresponding SUEX alignment holes.</w:t>
      </w:r>
    </w:p>
    <w:p w14:paraId="223510D6"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second flat plate above the wafer and clamp the stack to spread epoxy at the insert-wafer interface.</w:t>
      </w:r>
    </w:p>
    <w:p w14:paraId="68D3B7AF"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Submerge the clamped assembly in acetone for 1 min.</w:t>
      </w:r>
    </w:p>
    <w:p w14:paraId="1D3A9B8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to a fresh acetone bath for a second 1 min wash.</w:t>
      </w:r>
    </w:p>
    <w:p w14:paraId="6C6D538C"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Blow-dry the assembly thoroughly with dry air until the joints and nearby mold features are as dry and visibly clear as possible.</w:t>
      </w:r>
    </w:p>
    <w:p w14:paraId="392B02F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Cure the clamped assembly at room temperature for 48 h.</w:t>
      </w:r>
    </w:p>
    <w:p w14:paraId="421DA72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After cure, sonicate the bonded insert-wafer assembly in acetone for 10 min to remove residual material.</w:t>
      </w:r>
    </w:p>
    <w:p w14:paraId="06A272D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Release the bonded insert array from the transfer fixture by flexing the flexible metal build plate while preserving the insert-wafer bond.</w:t>
      </w:r>
    </w:p>
    <w:p w14:paraId="211B61C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bonding:</w:t>
      </w:r>
    </w:p>
    <w:p w14:paraId="32826BA1"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inserts remain bonded.</w:t>
      </w:r>
    </w:p>
    <w:p w14:paraId="5067C7A5"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pins are visibly seated in their alignment holes across the array.</w:t>
      </w:r>
    </w:p>
    <w:p w14:paraId="3862DBB6"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the wafer remains intact after release from the bonding stack.</w:t>
      </w:r>
    </w:p>
    <w:p w14:paraId="439395A1"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2" w:name="e.-parylene-coat-the-hybrid-mold"/>
      <w:bookmarkEnd w:id="41"/>
      <w:r w:rsidRPr="001C2B3F">
        <w:rPr>
          <w:rFonts w:ascii="Times New Roman" w:hAnsi="Times New Roman" w:cs="Times New Roman"/>
          <w:sz w:val="24"/>
          <w:szCs w:val="24"/>
        </w:rPr>
        <w:t>E. Parylene coat the hybrid mold</w:t>
      </w:r>
    </w:p>
    <w:p w14:paraId="0FE02A64"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Coat the bonded hybrid mold with 1 µm parylene C.</w:t>
      </w:r>
    </w:p>
    <w:p w14:paraId="25C6FD32"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Use a local parylene coater or send the completed hybrid mold to an external university core or commercial coating service.</w:t>
      </w:r>
    </w:p>
    <w:p w14:paraId="5DEC29D9"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After coating, store and handle the mold as a reusable wafer-scale mold for PDMS casting.</w:t>
      </w:r>
    </w:p>
    <w:p w14:paraId="480E5CF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during the first casting cycle:</w:t>
      </w:r>
    </w:p>
    <w:p w14:paraId="6A128371"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parylene-coated mold releases PDMS.</w:t>
      </w:r>
    </w:p>
    <w:p w14:paraId="634979F7"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wells are open after demolding.</w:t>
      </w:r>
    </w:p>
    <w:p w14:paraId="14D8D27F"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retains the intended well features.</w:t>
      </w:r>
    </w:p>
    <w:p w14:paraId="5D101CD7"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lastRenderedPageBreak/>
        <w:t>Microscopy confirmed open channels after coating and casting. Specified microchannel dimensions in the manuscript and design tables refer to the design dimensions before parylene coating.</w:t>
      </w:r>
      <w:bookmarkEnd w:id="35"/>
      <w:bookmarkEnd w:id="42"/>
    </w:p>
    <w:sectPr w:rsidR="006C5731" w:rsidRPr="001C2B3F">
      <w:footerReference w:type="even" r:id="rId19"/>
      <w:footerReference w:type="default" r:id="rId20"/>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Alyson Fournier" w:date="2026-10-13T14:40:00Z" w:initials="AF">
    <w:p w14:paraId="4E735BBC" w14:textId="77777777" w:rsidR="00C20783" w:rsidRDefault="00C20783" w:rsidP="00C20783">
      <w:r>
        <w:rPr>
          <w:rStyle w:val="CommentReference"/>
        </w:rPr>
        <w:annotationRef/>
      </w:r>
      <w:r>
        <w:rPr>
          <w:sz w:val="20"/>
          <w:szCs w:val="20"/>
        </w:rPr>
        <w:t>define all acronyms at first use and only at first use</w:t>
      </w:r>
    </w:p>
  </w:comment>
  <w:comment w:id="5" w:author="Alyson Fournier" w:date="2026-10-13T14:54:00Z" w:initials="AF">
    <w:p w14:paraId="3F9BD90B" w14:textId="77777777" w:rsidR="00FF79FD" w:rsidRDefault="00FF79FD" w:rsidP="00FF79FD">
      <w:r>
        <w:rPr>
          <w:rStyle w:val="CommentReference"/>
        </w:rP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735BBC" w15:done="0"/>
  <w15:commentEx w15:paraId="3F9B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28D18AC" w16cex:dateUtc="2026-10-13T18:40:00Z"/>
  <w16cex:commentExtensible w16cex:durableId="0D6BB93D" w16cex:dateUtc="2026-10-13T1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735BBC" w16cid:durableId="528D18AC"/>
  <w16cid:commentId w16cid:paraId="3F9BD90B" w16cid:durableId="0D6BB9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6ECC4A" w14:textId="77777777" w:rsidR="00240AF5" w:rsidRDefault="00240AF5" w:rsidP="001C2B3F">
      <w:pPr>
        <w:spacing w:after="0"/>
      </w:pPr>
      <w:r>
        <w:separator/>
      </w:r>
    </w:p>
  </w:endnote>
  <w:endnote w:type="continuationSeparator" w:id="0">
    <w:p w14:paraId="71C6C7D7" w14:textId="77777777" w:rsidR="00240AF5" w:rsidRDefault="00240AF5" w:rsidP="001C2B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146490109"/>
      <w:docPartObj>
        <w:docPartGallery w:val="Page Numbers (Bottom of Page)"/>
        <w:docPartUnique/>
      </w:docPartObj>
    </w:sdtPr>
    <w:sdtContent>
      <w:p w14:paraId="19105464" w14:textId="7C7F6429"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115C57" w14:textId="77777777" w:rsidR="001C2B3F" w:rsidRDefault="001C2B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77841915"/>
      <w:docPartObj>
        <w:docPartGallery w:val="Page Numbers (Bottom of Page)"/>
        <w:docPartUnique/>
      </w:docPartObj>
    </w:sdtPr>
    <w:sdtContent>
      <w:p w14:paraId="3B74311D" w14:textId="2EFDD206"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B21FA1" w14:textId="77777777" w:rsidR="001C2B3F" w:rsidRDefault="001C2B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878457" w14:textId="77777777" w:rsidR="00240AF5" w:rsidRDefault="00240AF5" w:rsidP="001C2B3F">
      <w:pPr>
        <w:spacing w:after="0"/>
      </w:pPr>
      <w:r>
        <w:separator/>
      </w:r>
    </w:p>
  </w:footnote>
  <w:footnote w:type="continuationSeparator" w:id="0">
    <w:p w14:paraId="34BCF689" w14:textId="77777777" w:rsidR="00240AF5" w:rsidRDefault="00240AF5" w:rsidP="001C2B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1DA84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F347A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01209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1C3490D"/>
    <w:multiLevelType w:val="hybridMultilevel"/>
    <w:tmpl w:val="98AA3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412876">
    <w:abstractNumId w:val="0"/>
  </w:num>
  <w:num w:numId="2" w16cid:durableId="24253861">
    <w:abstractNumId w:val="1"/>
  </w:num>
  <w:num w:numId="3" w16cid:durableId="144468911">
    <w:abstractNumId w:val="1"/>
  </w:num>
  <w:num w:numId="4" w16cid:durableId="9167468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1399850">
    <w:abstractNumId w:val="1"/>
  </w:num>
  <w:num w:numId="6" w16cid:durableId="19284235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115833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6900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70287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3681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625249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81240727">
    <w:abstractNumId w:val="1"/>
  </w:num>
  <w:num w:numId="13" w16cid:durableId="663053078">
    <w:abstractNumId w:val="1"/>
  </w:num>
  <w:num w:numId="14" w16cid:durableId="1936009640">
    <w:abstractNumId w:val="1"/>
  </w:num>
  <w:num w:numId="15" w16cid:durableId="823082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5738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46843748">
    <w:abstractNumId w:val="1"/>
  </w:num>
  <w:num w:numId="18" w16cid:durableId="960265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96854009">
    <w:abstractNumId w:val="1"/>
  </w:num>
  <w:num w:numId="20" w16cid:durableId="310804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76202760">
    <w:abstractNumId w:val="1"/>
  </w:num>
  <w:num w:numId="22" w16cid:durableId="975717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98781142">
    <w:abstractNumId w:val="1"/>
  </w:num>
  <w:num w:numId="24" w16cid:durableId="102486622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yson Fournier">
    <w15:presenceInfo w15:providerId="AD" w15:userId="S::alyson.fournier@mcgill.ca::a16301f2-9b46-4e66-8222-26af4dcc01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731"/>
    <w:rsid w:val="001C2B3F"/>
    <w:rsid w:val="00240AF5"/>
    <w:rsid w:val="00393B68"/>
    <w:rsid w:val="003E17E9"/>
    <w:rsid w:val="006C5731"/>
    <w:rsid w:val="007123AE"/>
    <w:rsid w:val="007E1359"/>
    <w:rsid w:val="007E2238"/>
    <w:rsid w:val="00AA0C35"/>
    <w:rsid w:val="00B81166"/>
    <w:rsid w:val="00C20783"/>
    <w:rsid w:val="00CF477A"/>
    <w:rsid w:val="00D12770"/>
    <w:rsid w:val="00D3119A"/>
    <w:rsid w:val="00DC1364"/>
    <w:rsid w:val="00FD41C8"/>
    <w:rsid w:val="00FF79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56C49E"/>
  <w15:docId w15:val="{D1741D42-D2B7-EB4F-8BBF-72C7BC51B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1C2B3F"/>
    <w:pPr>
      <w:tabs>
        <w:tab w:val="center" w:pos="4680"/>
        <w:tab w:val="right" w:pos="9360"/>
      </w:tabs>
      <w:spacing w:after="0"/>
    </w:pPr>
  </w:style>
  <w:style w:type="character" w:customStyle="1" w:styleId="FooterChar">
    <w:name w:val="Footer Char"/>
    <w:basedOn w:val="DefaultParagraphFont"/>
    <w:link w:val="Footer"/>
    <w:rsid w:val="001C2B3F"/>
  </w:style>
  <w:style w:type="character" w:styleId="PageNumber">
    <w:name w:val="page number"/>
    <w:basedOn w:val="DefaultParagraphFont"/>
    <w:rsid w:val="001C2B3F"/>
  </w:style>
  <w:style w:type="paragraph" w:styleId="ListParagraph">
    <w:name w:val="List Paragraph"/>
    <w:basedOn w:val="Normal"/>
    <w:uiPriority w:val="34"/>
    <w:qFormat/>
    <w:rsid w:val="001C2B3F"/>
    <w:pPr>
      <w:spacing w:after="0"/>
      <w:ind w:left="720"/>
      <w:contextualSpacing/>
    </w:pPr>
    <w:rPr>
      <w:kern w:val="2"/>
      <w14:ligatures w14:val="standardContextual"/>
    </w:rPr>
  </w:style>
  <w:style w:type="character" w:customStyle="1" w:styleId="apple-converted-space">
    <w:name w:val="apple-converted-space"/>
    <w:basedOn w:val="DefaultParagraphFont"/>
    <w:rsid w:val="001C2B3F"/>
  </w:style>
  <w:style w:type="paragraph" w:styleId="Revision">
    <w:name w:val="Revision"/>
    <w:hidden/>
    <w:rsid w:val="001C2B3F"/>
    <w:pPr>
      <w:spacing w:after="0"/>
    </w:pPr>
  </w:style>
  <w:style w:type="character" w:styleId="CommentReference">
    <w:name w:val="annotation reference"/>
    <w:basedOn w:val="DefaultParagraphFont"/>
    <w:rsid w:val="001C2B3F"/>
    <w:rPr>
      <w:sz w:val="16"/>
      <w:szCs w:val="16"/>
    </w:rPr>
  </w:style>
  <w:style w:type="paragraph" w:styleId="CommentText">
    <w:name w:val="annotation text"/>
    <w:basedOn w:val="Normal"/>
    <w:link w:val="CommentTextChar"/>
    <w:rsid w:val="001C2B3F"/>
    <w:rPr>
      <w:sz w:val="20"/>
      <w:szCs w:val="20"/>
    </w:rPr>
  </w:style>
  <w:style w:type="character" w:customStyle="1" w:styleId="CommentTextChar">
    <w:name w:val="Comment Text Char"/>
    <w:basedOn w:val="DefaultParagraphFont"/>
    <w:link w:val="CommentText"/>
    <w:rsid w:val="001C2B3F"/>
    <w:rPr>
      <w:sz w:val="20"/>
      <w:szCs w:val="20"/>
    </w:rPr>
  </w:style>
  <w:style w:type="paragraph" w:styleId="CommentSubject">
    <w:name w:val="annotation subject"/>
    <w:basedOn w:val="CommentText"/>
    <w:next w:val="CommentText"/>
    <w:link w:val="CommentSubjectChar"/>
    <w:rsid w:val="001C2B3F"/>
    <w:rPr>
      <w:b/>
      <w:bCs/>
    </w:rPr>
  </w:style>
  <w:style w:type="character" w:customStyle="1" w:styleId="CommentSubjectChar">
    <w:name w:val="Comment Subject Char"/>
    <w:basedOn w:val="CommentTextChar"/>
    <w:link w:val="CommentSubject"/>
    <w:rsid w:val="001C2B3F"/>
    <w:rPr>
      <w:b/>
      <w:bCs/>
      <w:sz w:val="20"/>
      <w:szCs w:val="20"/>
    </w:rPr>
  </w:style>
  <w:style w:type="paragraph" w:styleId="NormalWeb">
    <w:name w:val="Normal (Web)"/>
    <w:basedOn w:val="Normal"/>
    <w:uiPriority w:val="99"/>
    <w:unhideWhenUsed/>
    <w:rsid w:val="00DC1364"/>
    <w:pPr>
      <w:spacing w:before="100" w:beforeAutospacing="1" w:after="100" w:afterAutospacing="1"/>
    </w:pPr>
    <w:rPr>
      <w:rFonts w:ascii="Times New Roman" w:eastAsia="Times New Roman" w:hAnsi="Times New Roman" w:cs="Times New Roman"/>
      <w:lang w:val="en-CA" w:eastAsia="en-US"/>
    </w:rPr>
  </w:style>
  <w:style w:type="paragraph" w:customStyle="1" w:styleId="MethodsHeading">
    <w:name w:val="Methods Heading"/>
    <w:basedOn w:val="Normal"/>
    <w:rsid w:val="00393B68"/>
    <w:pPr>
      <w:keepNext/>
      <w:spacing w:before="200" w:after="0"/>
    </w:pPr>
    <w:rPr>
      <w:rFonts w:ascii="Times New Roman" w:hAnsi="Times New Roman"/>
      <w:b/>
      <w:color w:val="000000"/>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trissim/OpenMFD"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42</Pages>
  <Words>13005</Words>
  <Characters>74135</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Alyson Fournier</dc:creator>
  <cp:keywords/>
  <cp:lastModifiedBy>Alyson Fournier</cp:lastModifiedBy>
  <cp:revision>8</cp:revision>
  <dcterms:created xsi:type="dcterms:W3CDTF">2026-10-13T17:55:00Z</dcterms:created>
  <dcterms:modified xsi:type="dcterms:W3CDTF">2026-10-13T20:02:00Z</dcterms:modified>
</cp:coreProperties>
</file>