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C3E74" w14:textId="77777777" w:rsidR="00496A90" w:rsidRDefault="00000000">
      <w:pPr>
        <w:jc w:val="center"/>
      </w:pPr>
      <w:r>
        <w:rPr>
          <w:b/>
          <w:sz w:val="30"/>
        </w:rPr>
        <w:t>SUMMARY OF COMMENTS AND SUGGESTIONS</w:t>
      </w:r>
    </w:p>
    <w:p w14:paraId="7554BC95" w14:textId="77777777" w:rsidR="00496A90" w:rsidRDefault="00000000">
      <w:pPr>
        <w:jc w:val="center"/>
      </w:pPr>
      <w:r>
        <w:rPr>
          <w:i/>
        </w:rPr>
        <w:t>Capstone Paper: A Centralized Scholarship Management and Tracking System for Bulacan State University – Bustos Campus</w:t>
      </w:r>
    </w:p>
    <w:p w14:paraId="4ED3952B" w14:textId="77777777" w:rsidR="00496A90" w:rsidRDefault="00000000">
      <w:r>
        <w:t>Overall recommendation: The manuscript may proceed toward final defense preparation, but major revisions are recommended before final submission, particularly to verify the technical implementation and provide supporting testing evidence.</w:t>
      </w:r>
    </w:p>
    <w:tbl>
      <w:tblPr>
        <w:tblStyle w:val="TableGrid"/>
        <w:tblW w:w="0" w:type="auto"/>
        <w:tblLayout w:type="fixed"/>
        <w:tblLook w:val="04A0" w:firstRow="1" w:lastRow="0" w:firstColumn="1" w:lastColumn="0" w:noHBand="0" w:noVBand="1"/>
      </w:tblPr>
      <w:tblGrid>
        <w:gridCol w:w="504"/>
        <w:gridCol w:w="2520"/>
        <w:gridCol w:w="6624"/>
        <w:gridCol w:w="1080"/>
      </w:tblGrid>
      <w:tr w:rsidR="00496A90" w14:paraId="39888D60" w14:textId="77777777">
        <w:tc>
          <w:tcPr>
            <w:tcW w:w="504" w:type="dxa"/>
            <w:shd w:val="clear" w:color="auto" w:fill="D9EAF7"/>
          </w:tcPr>
          <w:p w14:paraId="260E61F9" w14:textId="77777777" w:rsidR="00496A90" w:rsidRDefault="00000000">
            <w:r>
              <w:rPr>
                <w:b/>
                <w:sz w:val="16"/>
              </w:rPr>
              <w:t>No.</w:t>
            </w:r>
          </w:p>
        </w:tc>
        <w:tc>
          <w:tcPr>
            <w:tcW w:w="2520" w:type="dxa"/>
            <w:shd w:val="clear" w:color="auto" w:fill="D9EAF7"/>
          </w:tcPr>
          <w:p w14:paraId="10D14EA6" w14:textId="77777777" w:rsidR="00496A90" w:rsidRDefault="00000000">
            <w:r>
              <w:rPr>
                <w:b/>
                <w:sz w:val="16"/>
              </w:rPr>
              <w:t>Specific Location</w:t>
            </w:r>
          </w:p>
        </w:tc>
        <w:tc>
          <w:tcPr>
            <w:tcW w:w="6624" w:type="dxa"/>
            <w:shd w:val="clear" w:color="auto" w:fill="D9EAF7"/>
          </w:tcPr>
          <w:p w14:paraId="48C2EAD4" w14:textId="77777777" w:rsidR="00496A90" w:rsidRDefault="00000000">
            <w:r>
              <w:rPr>
                <w:b/>
                <w:sz w:val="16"/>
              </w:rPr>
              <w:t>Summary of Comments / Suggestions</w:t>
            </w:r>
          </w:p>
        </w:tc>
        <w:tc>
          <w:tcPr>
            <w:tcW w:w="1080" w:type="dxa"/>
            <w:shd w:val="clear" w:color="auto" w:fill="D9EAF7"/>
          </w:tcPr>
          <w:p w14:paraId="78B7AD84" w14:textId="77777777" w:rsidR="00496A90" w:rsidRDefault="00000000">
            <w:r>
              <w:rPr>
                <w:b/>
                <w:sz w:val="16"/>
              </w:rPr>
              <w:t>Priority</w:t>
            </w:r>
          </w:p>
        </w:tc>
      </w:tr>
      <w:tr w:rsidR="00496A90" w14:paraId="058E5F1C" w14:textId="77777777">
        <w:tc>
          <w:tcPr>
            <w:tcW w:w="504" w:type="dxa"/>
          </w:tcPr>
          <w:p w14:paraId="46A46F6C" w14:textId="77777777" w:rsidR="00496A90" w:rsidRDefault="00000000">
            <w:pPr>
              <w:spacing w:before="20" w:after="20"/>
              <w:jc w:val="center"/>
            </w:pPr>
            <w:r>
              <w:rPr>
                <w:sz w:val="15"/>
              </w:rPr>
              <w:t>1</w:t>
            </w:r>
          </w:p>
        </w:tc>
        <w:tc>
          <w:tcPr>
            <w:tcW w:w="2520" w:type="dxa"/>
          </w:tcPr>
          <w:p w14:paraId="2D534A04" w14:textId="77777777" w:rsidR="00496A90" w:rsidRDefault="00000000">
            <w:pPr>
              <w:spacing w:before="20" w:after="20"/>
            </w:pPr>
            <w:r>
              <w:rPr>
                <w:sz w:val="15"/>
              </w:rPr>
              <w:t>Chapter I – Background of the Study, pp. 5–7</w:t>
            </w:r>
          </w:p>
        </w:tc>
        <w:tc>
          <w:tcPr>
            <w:tcW w:w="6624" w:type="dxa"/>
          </w:tcPr>
          <w:p w14:paraId="6F4B55BD" w14:textId="77777777" w:rsidR="00496A90" w:rsidRDefault="00000000">
            <w:pPr>
              <w:spacing w:before="20" w:after="20"/>
            </w:pPr>
            <w:r>
              <w:rPr>
                <w:sz w:val="15"/>
              </w:rPr>
              <w:t>Strengthen the problem background with campus-based evidence or stakeholder findings about current scholarship processes and record-management concerns.</w:t>
            </w:r>
          </w:p>
        </w:tc>
        <w:tc>
          <w:tcPr>
            <w:tcW w:w="1080" w:type="dxa"/>
          </w:tcPr>
          <w:p w14:paraId="38252F25" w14:textId="77777777" w:rsidR="00496A90" w:rsidRDefault="00000000">
            <w:pPr>
              <w:spacing w:before="20" w:after="20"/>
            </w:pPr>
            <w:r>
              <w:rPr>
                <w:sz w:val="15"/>
              </w:rPr>
              <w:t>High</w:t>
            </w:r>
          </w:p>
        </w:tc>
      </w:tr>
      <w:tr w:rsidR="00496A90" w14:paraId="254E5F2C" w14:textId="77777777">
        <w:tc>
          <w:tcPr>
            <w:tcW w:w="504" w:type="dxa"/>
          </w:tcPr>
          <w:p w14:paraId="41E35F48" w14:textId="77777777" w:rsidR="00496A90" w:rsidRDefault="00000000">
            <w:pPr>
              <w:spacing w:before="20" w:after="20"/>
              <w:jc w:val="center"/>
            </w:pPr>
            <w:r>
              <w:rPr>
                <w:sz w:val="15"/>
              </w:rPr>
              <w:t>2</w:t>
            </w:r>
          </w:p>
        </w:tc>
        <w:tc>
          <w:tcPr>
            <w:tcW w:w="2520" w:type="dxa"/>
          </w:tcPr>
          <w:p w14:paraId="4ACB2A24" w14:textId="77777777" w:rsidR="00496A90" w:rsidRDefault="00000000">
            <w:pPr>
              <w:spacing w:before="20" w:after="20"/>
            </w:pPr>
            <w:r>
              <w:rPr>
                <w:sz w:val="15"/>
              </w:rPr>
              <w:t>Chapter I – Objectives, p. 8; Chapter V – Findings and Conclusions, pp. 79–82</w:t>
            </w:r>
          </w:p>
        </w:tc>
        <w:tc>
          <w:tcPr>
            <w:tcW w:w="6624" w:type="dxa"/>
          </w:tcPr>
          <w:p w14:paraId="6F1C90E0" w14:textId="77777777" w:rsidR="00496A90" w:rsidRDefault="00000000">
            <w:pPr>
              <w:spacing w:before="20" w:after="20"/>
            </w:pPr>
            <w:r>
              <w:rPr>
                <w:sz w:val="15"/>
              </w:rPr>
              <w:t>Align every specific objective with a corresponding finding and conclusion. Avoid claims that were not demonstrated or measured.</w:t>
            </w:r>
          </w:p>
        </w:tc>
        <w:tc>
          <w:tcPr>
            <w:tcW w:w="1080" w:type="dxa"/>
          </w:tcPr>
          <w:p w14:paraId="35EECD7F" w14:textId="77777777" w:rsidR="00496A90" w:rsidRDefault="00000000">
            <w:pPr>
              <w:spacing w:before="20" w:after="20"/>
            </w:pPr>
            <w:r>
              <w:rPr>
                <w:sz w:val="15"/>
              </w:rPr>
              <w:t>High</w:t>
            </w:r>
          </w:p>
        </w:tc>
      </w:tr>
      <w:tr w:rsidR="00496A90" w14:paraId="18006937" w14:textId="77777777">
        <w:tc>
          <w:tcPr>
            <w:tcW w:w="504" w:type="dxa"/>
          </w:tcPr>
          <w:p w14:paraId="4AA5F340" w14:textId="77777777" w:rsidR="00496A90" w:rsidRDefault="00000000">
            <w:pPr>
              <w:spacing w:before="20" w:after="20"/>
              <w:jc w:val="center"/>
            </w:pPr>
            <w:r>
              <w:rPr>
                <w:sz w:val="15"/>
              </w:rPr>
              <w:t>3</w:t>
            </w:r>
          </w:p>
        </w:tc>
        <w:tc>
          <w:tcPr>
            <w:tcW w:w="2520" w:type="dxa"/>
          </w:tcPr>
          <w:p w14:paraId="5B71B70A" w14:textId="77777777" w:rsidR="00496A90" w:rsidRDefault="00000000">
            <w:pPr>
              <w:spacing w:before="20" w:after="20"/>
            </w:pPr>
            <w:r>
              <w:rPr>
                <w:sz w:val="15"/>
              </w:rPr>
              <w:t>Chapter II – Technical Background, pp. 17–22; Chapter III – Recommendation Module, pp. 39–41</w:t>
            </w:r>
          </w:p>
        </w:tc>
        <w:tc>
          <w:tcPr>
            <w:tcW w:w="6624" w:type="dxa"/>
          </w:tcPr>
          <w:p w14:paraId="3487DDD7" w14:textId="77777777" w:rsidR="00496A90" w:rsidRDefault="00000000">
            <w:pPr>
              <w:spacing w:before="20" w:after="20"/>
            </w:pPr>
            <w:r>
              <w:rPr>
                <w:sz w:val="15"/>
              </w:rPr>
              <w:t>Explain how scholarship recommendations actually work: inputs, decision rules, and outputs. Clarify whether the system uses a trained Decision Tree model or predefined rule-based conditions.</w:t>
            </w:r>
          </w:p>
        </w:tc>
        <w:tc>
          <w:tcPr>
            <w:tcW w:w="1080" w:type="dxa"/>
          </w:tcPr>
          <w:p w14:paraId="5B564776" w14:textId="77777777" w:rsidR="00496A90" w:rsidRDefault="00000000">
            <w:pPr>
              <w:spacing w:before="20" w:after="20"/>
            </w:pPr>
            <w:r>
              <w:rPr>
                <w:sz w:val="15"/>
              </w:rPr>
              <w:t>Very High</w:t>
            </w:r>
          </w:p>
        </w:tc>
      </w:tr>
      <w:tr w:rsidR="00496A90" w14:paraId="57CD61B8" w14:textId="77777777">
        <w:tc>
          <w:tcPr>
            <w:tcW w:w="504" w:type="dxa"/>
          </w:tcPr>
          <w:p w14:paraId="62D1134F" w14:textId="77777777" w:rsidR="00496A90" w:rsidRDefault="00000000">
            <w:pPr>
              <w:spacing w:before="20" w:after="20"/>
              <w:jc w:val="center"/>
            </w:pPr>
            <w:r>
              <w:rPr>
                <w:sz w:val="15"/>
              </w:rPr>
              <w:t>4</w:t>
            </w:r>
          </w:p>
        </w:tc>
        <w:tc>
          <w:tcPr>
            <w:tcW w:w="2520" w:type="dxa"/>
          </w:tcPr>
          <w:p w14:paraId="09DE9D9C" w14:textId="77777777" w:rsidR="00496A90" w:rsidRDefault="00000000">
            <w:pPr>
              <w:spacing w:before="20" w:after="20"/>
            </w:pPr>
            <w:r>
              <w:rPr>
                <w:sz w:val="15"/>
              </w:rPr>
              <w:t>Chapter II, pp. 21–22; Chapter III – Testing, pp. 33–34 and Validation Module, pp. 40–41</w:t>
            </w:r>
          </w:p>
        </w:tc>
        <w:tc>
          <w:tcPr>
            <w:tcW w:w="6624" w:type="dxa"/>
          </w:tcPr>
          <w:p w14:paraId="3C513054" w14:textId="77777777" w:rsidR="00496A90" w:rsidRDefault="00000000">
            <w:pPr>
              <w:spacing w:before="20" w:after="20"/>
            </w:pPr>
            <w:r>
              <w:rPr>
                <w:sz w:val="15"/>
              </w:rPr>
              <w:t>Explain duplicate checking, including fields compared, similarity threshold (if used), and how possible matches are handled. Test exact matches, spelling variations, missing IDs, and active/inactive records. Do not claim all duplicates are prevented unless evidence supports it.</w:t>
            </w:r>
          </w:p>
        </w:tc>
        <w:tc>
          <w:tcPr>
            <w:tcW w:w="1080" w:type="dxa"/>
          </w:tcPr>
          <w:p w14:paraId="11B7EB5F" w14:textId="77777777" w:rsidR="00496A90" w:rsidRDefault="00000000">
            <w:pPr>
              <w:spacing w:before="20" w:after="20"/>
            </w:pPr>
            <w:r>
              <w:rPr>
                <w:sz w:val="15"/>
              </w:rPr>
              <w:t>Very High</w:t>
            </w:r>
          </w:p>
        </w:tc>
      </w:tr>
      <w:tr w:rsidR="00496A90" w14:paraId="7B89A1BA" w14:textId="77777777">
        <w:tc>
          <w:tcPr>
            <w:tcW w:w="504" w:type="dxa"/>
          </w:tcPr>
          <w:p w14:paraId="7D2AB13F" w14:textId="77777777" w:rsidR="00496A90" w:rsidRDefault="00000000">
            <w:pPr>
              <w:spacing w:before="20" w:after="20"/>
              <w:jc w:val="center"/>
            </w:pPr>
            <w:r>
              <w:rPr>
                <w:sz w:val="15"/>
              </w:rPr>
              <w:t>5</w:t>
            </w:r>
          </w:p>
        </w:tc>
        <w:tc>
          <w:tcPr>
            <w:tcW w:w="2520" w:type="dxa"/>
          </w:tcPr>
          <w:p w14:paraId="69DEC32F" w14:textId="77777777" w:rsidR="00496A90" w:rsidRDefault="00000000">
            <w:pPr>
              <w:spacing w:before="20" w:after="20"/>
            </w:pPr>
            <w:r>
              <w:rPr>
                <w:sz w:val="15"/>
              </w:rPr>
              <w:t>Chapter III – Testing, pp. 33–34; Implementation Plan, pp. 49–53</w:t>
            </w:r>
          </w:p>
        </w:tc>
        <w:tc>
          <w:tcPr>
            <w:tcW w:w="6624" w:type="dxa"/>
          </w:tcPr>
          <w:p w14:paraId="21F2C14F" w14:textId="77777777" w:rsidR="00496A90" w:rsidRDefault="00000000">
            <w:pPr>
              <w:spacing w:before="20" w:after="20"/>
            </w:pPr>
            <w:r>
              <w:rPr>
                <w:sz w:val="15"/>
              </w:rPr>
              <w:t>Provide a test-case table with scenario, expected result, actual result, and pass/fail status for key functions. Include performance or security measurements only if they were actually recorded.</w:t>
            </w:r>
          </w:p>
        </w:tc>
        <w:tc>
          <w:tcPr>
            <w:tcW w:w="1080" w:type="dxa"/>
          </w:tcPr>
          <w:p w14:paraId="78EEC85D" w14:textId="77777777" w:rsidR="00496A90" w:rsidRDefault="00000000">
            <w:pPr>
              <w:spacing w:before="20" w:after="20"/>
            </w:pPr>
            <w:r>
              <w:rPr>
                <w:sz w:val="15"/>
              </w:rPr>
              <w:t>Very High</w:t>
            </w:r>
          </w:p>
        </w:tc>
      </w:tr>
      <w:tr w:rsidR="00496A90" w14:paraId="202C97B7" w14:textId="77777777">
        <w:tc>
          <w:tcPr>
            <w:tcW w:w="504" w:type="dxa"/>
          </w:tcPr>
          <w:p w14:paraId="6A0E45D8" w14:textId="77777777" w:rsidR="00496A90" w:rsidRDefault="00000000">
            <w:pPr>
              <w:spacing w:before="20" w:after="20"/>
              <w:jc w:val="center"/>
            </w:pPr>
            <w:r>
              <w:rPr>
                <w:sz w:val="15"/>
              </w:rPr>
              <w:t>6</w:t>
            </w:r>
          </w:p>
        </w:tc>
        <w:tc>
          <w:tcPr>
            <w:tcW w:w="2520" w:type="dxa"/>
          </w:tcPr>
          <w:p w14:paraId="409A5140" w14:textId="77777777" w:rsidR="00496A90" w:rsidRDefault="00000000">
            <w:pPr>
              <w:spacing w:before="20" w:after="20"/>
            </w:pPr>
            <w:r>
              <w:rPr>
                <w:sz w:val="15"/>
              </w:rPr>
              <w:t>Chapter III – Respondents, pp. 35–37; Chapter IV, pp. 74–79; Chapter V, pp. 80–81</w:t>
            </w:r>
          </w:p>
        </w:tc>
        <w:tc>
          <w:tcPr>
            <w:tcW w:w="6624" w:type="dxa"/>
          </w:tcPr>
          <w:p w14:paraId="7B2BDFA9" w14:textId="77777777" w:rsidR="00496A90" w:rsidRDefault="00000000">
            <w:pPr>
              <w:spacing w:before="20" w:after="20"/>
            </w:pPr>
            <w:r>
              <w:rPr>
                <w:sz w:val="15"/>
              </w:rPr>
              <w:t>Clarify the respondent counts: 52 total participants; 47 TAM respondents (44 students, 2 grantors, 1 ISPS coordinator); and 5 IT professionals for ISO/IEC 25010. Keep counts consistent in text and tables.</w:t>
            </w:r>
          </w:p>
        </w:tc>
        <w:tc>
          <w:tcPr>
            <w:tcW w:w="1080" w:type="dxa"/>
          </w:tcPr>
          <w:p w14:paraId="5D30474F" w14:textId="77777777" w:rsidR="00496A90" w:rsidRDefault="00000000">
            <w:pPr>
              <w:spacing w:before="20" w:after="20"/>
            </w:pPr>
            <w:r>
              <w:rPr>
                <w:sz w:val="15"/>
              </w:rPr>
              <w:t>Very High</w:t>
            </w:r>
          </w:p>
        </w:tc>
      </w:tr>
      <w:tr w:rsidR="00496A90" w14:paraId="2941F096" w14:textId="77777777">
        <w:tc>
          <w:tcPr>
            <w:tcW w:w="504" w:type="dxa"/>
          </w:tcPr>
          <w:p w14:paraId="69C4FE2D" w14:textId="77777777" w:rsidR="00496A90" w:rsidRDefault="00000000">
            <w:pPr>
              <w:spacing w:before="20" w:after="20"/>
              <w:jc w:val="center"/>
            </w:pPr>
            <w:r>
              <w:rPr>
                <w:sz w:val="15"/>
              </w:rPr>
              <w:t>7</w:t>
            </w:r>
          </w:p>
        </w:tc>
        <w:tc>
          <w:tcPr>
            <w:tcW w:w="2520" w:type="dxa"/>
          </w:tcPr>
          <w:p w14:paraId="4557F51D" w14:textId="77777777" w:rsidR="00496A90" w:rsidRDefault="00000000">
            <w:pPr>
              <w:spacing w:before="20" w:after="20"/>
            </w:pPr>
            <w:r>
              <w:rPr>
                <w:sz w:val="15"/>
              </w:rPr>
              <w:t>Chapter III – Data Privacy and Ethical Considerations, pp. 37–38; Chapter IV – System Presentation</w:t>
            </w:r>
          </w:p>
        </w:tc>
        <w:tc>
          <w:tcPr>
            <w:tcW w:w="6624" w:type="dxa"/>
          </w:tcPr>
          <w:p w14:paraId="5A634189" w14:textId="77777777" w:rsidR="00496A90" w:rsidRDefault="00000000">
            <w:pPr>
              <w:spacing w:before="20" w:after="20"/>
            </w:pPr>
            <w:r>
              <w:rPr>
                <w:sz w:val="15"/>
              </w:rPr>
              <w:t>Describe the safeguards that are actually implemented for role permissions, authentication, sensitive records, uploaded documents, backups, and logs. Identify unimplemented safeguards as limitations or future work.</w:t>
            </w:r>
          </w:p>
        </w:tc>
        <w:tc>
          <w:tcPr>
            <w:tcW w:w="1080" w:type="dxa"/>
          </w:tcPr>
          <w:p w14:paraId="2CD6031B" w14:textId="77777777" w:rsidR="00496A90" w:rsidRDefault="00000000">
            <w:pPr>
              <w:spacing w:before="20" w:after="20"/>
            </w:pPr>
            <w:r>
              <w:rPr>
                <w:sz w:val="15"/>
              </w:rPr>
              <w:t>High</w:t>
            </w:r>
          </w:p>
        </w:tc>
      </w:tr>
      <w:tr w:rsidR="00496A90" w14:paraId="5B80AEBF" w14:textId="77777777">
        <w:tc>
          <w:tcPr>
            <w:tcW w:w="504" w:type="dxa"/>
          </w:tcPr>
          <w:p w14:paraId="61B772CC" w14:textId="77777777" w:rsidR="00496A90" w:rsidRDefault="00000000">
            <w:pPr>
              <w:spacing w:before="20" w:after="20"/>
              <w:jc w:val="center"/>
            </w:pPr>
            <w:r>
              <w:rPr>
                <w:sz w:val="15"/>
              </w:rPr>
              <w:t>8</w:t>
            </w:r>
          </w:p>
        </w:tc>
        <w:tc>
          <w:tcPr>
            <w:tcW w:w="2520" w:type="dxa"/>
          </w:tcPr>
          <w:p w14:paraId="55BBE0D0" w14:textId="77777777" w:rsidR="00496A90" w:rsidRDefault="00000000">
            <w:pPr>
              <w:spacing w:before="20" w:after="20"/>
            </w:pPr>
            <w:r>
              <w:rPr>
                <w:sz w:val="15"/>
              </w:rPr>
              <w:t>Chapter IV – Evaluation Results, pp. 74–79</w:t>
            </w:r>
          </w:p>
        </w:tc>
        <w:tc>
          <w:tcPr>
            <w:tcW w:w="6624" w:type="dxa"/>
          </w:tcPr>
          <w:p w14:paraId="23AC6A33" w14:textId="77777777" w:rsidR="00496A90" w:rsidRDefault="00000000">
            <w:pPr>
              <w:spacing w:before="20" w:after="20"/>
            </w:pPr>
            <w:r>
              <w:rPr>
                <w:sz w:val="15"/>
              </w:rPr>
              <w:t>Verify the reported means and scale interpretations. Discuss the comparatively lower Security (4.10) and Maintainability (4.00) ratings as areas for improvement. Explain that survey ratings alone do not prove measured security or performance.</w:t>
            </w:r>
          </w:p>
        </w:tc>
        <w:tc>
          <w:tcPr>
            <w:tcW w:w="1080" w:type="dxa"/>
          </w:tcPr>
          <w:p w14:paraId="2872E9D1" w14:textId="77777777" w:rsidR="00496A90" w:rsidRDefault="00000000">
            <w:pPr>
              <w:spacing w:before="20" w:after="20"/>
            </w:pPr>
            <w:r>
              <w:rPr>
                <w:sz w:val="15"/>
              </w:rPr>
              <w:t>Very High</w:t>
            </w:r>
          </w:p>
        </w:tc>
      </w:tr>
      <w:tr w:rsidR="00496A90" w14:paraId="5F10ECD3" w14:textId="77777777">
        <w:tc>
          <w:tcPr>
            <w:tcW w:w="504" w:type="dxa"/>
          </w:tcPr>
          <w:p w14:paraId="72BCBB96" w14:textId="77777777" w:rsidR="00496A90" w:rsidRDefault="00000000">
            <w:pPr>
              <w:spacing w:before="20" w:after="20"/>
              <w:jc w:val="center"/>
            </w:pPr>
            <w:r>
              <w:rPr>
                <w:sz w:val="15"/>
              </w:rPr>
              <w:t>9</w:t>
            </w:r>
          </w:p>
        </w:tc>
        <w:tc>
          <w:tcPr>
            <w:tcW w:w="2520" w:type="dxa"/>
          </w:tcPr>
          <w:p w14:paraId="4D756067" w14:textId="77777777" w:rsidR="00496A90" w:rsidRDefault="00000000">
            <w:pPr>
              <w:spacing w:before="20" w:after="20"/>
            </w:pPr>
            <w:r>
              <w:rPr>
                <w:sz w:val="15"/>
              </w:rPr>
              <w:t>Chapter I – Scope and Limitations, pp. 12–13; Chapter IV; Chapter V – Recommendations</w:t>
            </w:r>
          </w:p>
        </w:tc>
        <w:tc>
          <w:tcPr>
            <w:tcW w:w="6624" w:type="dxa"/>
          </w:tcPr>
          <w:p w14:paraId="2B003373" w14:textId="77777777" w:rsidR="00496A90" w:rsidRDefault="00000000">
            <w:pPr>
              <w:spacing w:before="20" w:after="20"/>
            </w:pPr>
            <w:r>
              <w:rPr>
                <w:sz w:val="15"/>
              </w:rPr>
              <w:t>State system limitations clearly, including whether external scholarship records require manual encoding or have live integration. Explain how this affects record completeness and duplicate checking.</w:t>
            </w:r>
          </w:p>
        </w:tc>
        <w:tc>
          <w:tcPr>
            <w:tcW w:w="1080" w:type="dxa"/>
          </w:tcPr>
          <w:p w14:paraId="41C2890F" w14:textId="77777777" w:rsidR="00496A90" w:rsidRDefault="00000000">
            <w:pPr>
              <w:spacing w:before="20" w:after="20"/>
            </w:pPr>
            <w:r>
              <w:rPr>
                <w:sz w:val="15"/>
              </w:rPr>
              <w:t>High</w:t>
            </w:r>
          </w:p>
        </w:tc>
      </w:tr>
      <w:tr w:rsidR="00496A90" w14:paraId="0102CB5E" w14:textId="77777777">
        <w:tc>
          <w:tcPr>
            <w:tcW w:w="504" w:type="dxa"/>
          </w:tcPr>
          <w:p w14:paraId="275A3578" w14:textId="77777777" w:rsidR="00496A90" w:rsidRDefault="00000000">
            <w:pPr>
              <w:spacing w:before="20" w:after="20"/>
              <w:jc w:val="center"/>
            </w:pPr>
            <w:r>
              <w:rPr>
                <w:sz w:val="15"/>
              </w:rPr>
              <w:t>10</w:t>
            </w:r>
          </w:p>
        </w:tc>
        <w:tc>
          <w:tcPr>
            <w:tcW w:w="2520" w:type="dxa"/>
          </w:tcPr>
          <w:p w14:paraId="4AC1F5C4" w14:textId="77777777" w:rsidR="00496A90" w:rsidRDefault="00000000">
            <w:pPr>
              <w:spacing w:before="20" w:after="20"/>
            </w:pPr>
            <w:r>
              <w:rPr>
                <w:sz w:val="15"/>
              </w:rPr>
              <w:t>Chapter IV – System Presentation, pp. 58–73; Chapter V – Recommendations</w:t>
            </w:r>
          </w:p>
        </w:tc>
        <w:tc>
          <w:tcPr>
            <w:tcW w:w="6624" w:type="dxa"/>
          </w:tcPr>
          <w:p w14:paraId="0DFE2A63" w14:textId="77777777" w:rsidR="00496A90" w:rsidRDefault="00000000">
            <w:pPr>
              <w:spacing w:before="20" w:after="20"/>
            </w:pPr>
            <w:r>
              <w:rPr>
                <w:sz w:val="15"/>
              </w:rPr>
              <w:t>Prepare a complete demonstration from scholarship posting and student application through recommendation, validation, approval, monitoring, renewal, notification, and reports, using sample data and appropriate user roles.</w:t>
            </w:r>
          </w:p>
        </w:tc>
        <w:tc>
          <w:tcPr>
            <w:tcW w:w="1080" w:type="dxa"/>
          </w:tcPr>
          <w:p w14:paraId="6AACC4B2" w14:textId="77777777" w:rsidR="00496A90" w:rsidRDefault="00000000">
            <w:pPr>
              <w:spacing w:before="20" w:after="20"/>
            </w:pPr>
            <w:r>
              <w:rPr>
                <w:sz w:val="15"/>
              </w:rPr>
              <w:t>High</w:t>
            </w:r>
          </w:p>
        </w:tc>
      </w:tr>
      <w:tr w:rsidR="00496A90" w14:paraId="5C7D71A6" w14:textId="77777777">
        <w:tc>
          <w:tcPr>
            <w:tcW w:w="504" w:type="dxa"/>
          </w:tcPr>
          <w:p w14:paraId="63407B6F" w14:textId="77777777" w:rsidR="00496A90" w:rsidRDefault="00000000">
            <w:pPr>
              <w:spacing w:before="20" w:after="20"/>
              <w:jc w:val="center"/>
            </w:pPr>
            <w:r>
              <w:rPr>
                <w:sz w:val="15"/>
              </w:rPr>
              <w:t>11</w:t>
            </w:r>
          </w:p>
        </w:tc>
        <w:tc>
          <w:tcPr>
            <w:tcW w:w="2520" w:type="dxa"/>
          </w:tcPr>
          <w:p w14:paraId="3BCC4A8F" w14:textId="77777777" w:rsidR="00496A90" w:rsidRDefault="00000000">
            <w:pPr>
              <w:spacing w:before="20" w:after="20"/>
            </w:pPr>
            <w:r>
              <w:rPr>
                <w:sz w:val="15"/>
              </w:rPr>
              <w:t>Chapter II – Synthesis, p. 29; Chapter IV – Discussion, pp. 55–79</w:t>
            </w:r>
          </w:p>
        </w:tc>
        <w:tc>
          <w:tcPr>
            <w:tcW w:w="6624" w:type="dxa"/>
          </w:tcPr>
          <w:p w14:paraId="27553135" w14:textId="77777777" w:rsidR="00496A90" w:rsidRDefault="00000000">
            <w:pPr>
              <w:spacing w:before="20" w:after="20"/>
            </w:pPr>
            <w:r>
              <w:rPr>
                <w:sz w:val="15"/>
              </w:rPr>
              <w:t>Clarify the research gap and explain how the system addresses it, connecting literature to actual features and findings rather than repeating summaries.</w:t>
            </w:r>
          </w:p>
        </w:tc>
        <w:tc>
          <w:tcPr>
            <w:tcW w:w="1080" w:type="dxa"/>
          </w:tcPr>
          <w:p w14:paraId="0A4D8F41" w14:textId="77777777" w:rsidR="00496A90" w:rsidRDefault="00000000">
            <w:pPr>
              <w:spacing w:before="20" w:after="20"/>
            </w:pPr>
            <w:r>
              <w:rPr>
                <w:sz w:val="15"/>
              </w:rPr>
              <w:t>Medium</w:t>
            </w:r>
          </w:p>
        </w:tc>
      </w:tr>
      <w:tr w:rsidR="00496A90" w14:paraId="21E1D05E" w14:textId="77777777">
        <w:tc>
          <w:tcPr>
            <w:tcW w:w="504" w:type="dxa"/>
          </w:tcPr>
          <w:p w14:paraId="537DE09E" w14:textId="77777777" w:rsidR="00496A90" w:rsidRDefault="00000000">
            <w:pPr>
              <w:spacing w:before="20" w:after="20"/>
              <w:jc w:val="center"/>
            </w:pPr>
            <w:r>
              <w:rPr>
                <w:sz w:val="15"/>
              </w:rPr>
              <w:t>12</w:t>
            </w:r>
          </w:p>
        </w:tc>
        <w:tc>
          <w:tcPr>
            <w:tcW w:w="2520" w:type="dxa"/>
          </w:tcPr>
          <w:p w14:paraId="1F1EFC25" w14:textId="77777777" w:rsidR="00496A90" w:rsidRDefault="00000000">
            <w:pPr>
              <w:spacing w:before="20" w:after="20"/>
            </w:pPr>
            <w:r>
              <w:rPr>
                <w:sz w:val="15"/>
              </w:rPr>
              <w:t>Entire manuscript; Chapter IV tables and Chapter V, pp. 74–82; References, p. 85 onward</w:t>
            </w:r>
          </w:p>
        </w:tc>
        <w:tc>
          <w:tcPr>
            <w:tcW w:w="6624" w:type="dxa"/>
          </w:tcPr>
          <w:p w14:paraId="02BBDCC1" w14:textId="77777777" w:rsidR="00496A90" w:rsidRDefault="00000000">
            <w:pPr>
              <w:spacing w:before="20" w:after="20"/>
            </w:pPr>
            <w:r>
              <w:rPr>
                <w:sz w:val="15"/>
              </w:rPr>
              <w:t>Proofread grammar and formatting; check table/figure numbering, terminology, citations, and references; ensure conclusions match the reported findings.</w:t>
            </w:r>
          </w:p>
        </w:tc>
        <w:tc>
          <w:tcPr>
            <w:tcW w:w="1080" w:type="dxa"/>
          </w:tcPr>
          <w:p w14:paraId="7C108C43" w14:textId="77777777" w:rsidR="00496A90" w:rsidRDefault="00000000">
            <w:pPr>
              <w:spacing w:before="20" w:after="20"/>
            </w:pPr>
            <w:r>
              <w:rPr>
                <w:sz w:val="15"/>
              </w:rPr>
              <w:t>Medium</w:t>
            </w:r>
          </w:p>
        </w:tc>
      </w:tr>
    </w:tbl>
    <w:p w14:paraId="6F037173" w14:textId="77777777" w:rsidR="00496A90" w:rsidRPr="00415FE3" w:rsidRDefault="00000000">
      <w:pPr>
        <w:pStyle w:val="Heading1"/>
        <w:rPr>
          <w:color w:val="000000" w:themeColor="text1"/>
        </w:rPr>
      </w:pPr>
      <w:r w:rsidRPr="00415FE3">
        <w:rPr>
          <w:color w:val="000000" w:themeColor="text1"/>
        </w:rPr>
        <w:t>Priority Revisions Before Final Defense</w:t>
      </w:r>
    </w:p>
    <w:p w14:paraId="722437AB" w14:textId="77777777" w:rsidR="00496A90" w:rsidRDefault="00000000">
      <w:pPr>
        <w:pStyle w:val="ListNumber"/>
      </w:pPr>
      <w:r>
        <w:t>Verify and demonstrate the Decision Tree recommendation and duplicate-detection mechanisms.</w:t>
      </w:r>
    </w:p>
    <w:p w14:paraId="727894BA" w14:textId="77777777" w:rsidR="00496A90" w:rsidRDefault="00000000">
      <w:pPr>
        <w:pStyle w:val="ListNumber"/>
      </w:pPr>
      <w:r>
        <w:t>Prepare documented test cases and results for core system functions.</w:t>
      </w:r>
    </w:p>
    <w:p w14:paraId="16EE9C48" w14:textId="77777777" w:rsidR="00496A90" w:rsidRDefault="00000000">
      <w:pPr>
        <w:pStyle w:val="ListNumber"/>
      </w:pPr>
      <w:r>
        <w:t>Reconcile respondent counts and verify all evaluation calculations.</w:t>
      </w:r>
    </w:p>
    <w:p w14:paraId="5AEE419C" w14:textId="77777777" w:rsidR="00496A90" w:rsidRDefault="00000000">
      <w:pPr>
        <w:pStyle w:val="ListNumber"/>
      </w:pPr>
      <w:r>
        <w:t>Discuss lower security and maintainability ratings and clarify actual privacy safeguards.</w:t>
      </w:r>
    </w:p>
    <w:p w14:paraId="0157D425" w14:textId="77777777" w:rsidR="00496A90" w:rsidRDefault="00000000">
      <w:pPr>
        <w:pStyle w:val="ListNumber"/>
      </w:pPr>
      <w:r>
        <w:t>Align the objectives, findings, conclusions, recommendations, and final system demonstration.</w:t>
      </w:r>
    </w:p>
    <w:p w14:paraId="21723415" w14:textId="77777777" w:rsidR="00496A90" w:rsidRDefault="00000000">
      <w:r>
        <w:t>Final assessment: The paper is relevant and has a clear practical purpose. Its readiness for final defense will be stronger once the technical claims are verified, test results are documented, and the manuscript is made consistent.</w:t>
      </w:r>
    </w:p>
    <w:sectPr w:rsidR="00496A90"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544844">
    <w:abstractNumId w:val="8"/>
  </w:num>
  <w:num w:numId="2" w16cid:durableId="1477214126">
    <w:abstractNumId w:val="6"/>
  </w:num>
  <w:num w:numId="3" w16cid:durableId="3477246">
    <w:abstractNumId w:val="5"/>
  </w:num>
  <w:num w:numId="4" w16cid:durableId="1221944169">
    <w:abstractNumId w:val="4"/>
  </w:num>
  <w:num w:numId="5" w16cid:durableId="584001446">
    <w:abstractNumId w:val="7"/>
  </w:num>
  <w:num w:numId="6" w16cid:durableId="1042049514">
    <w:abstractNumId w:val="3"/>
  </w:num>
  <w:num w:numId="7" w16cid:durableId="827787147">
    <w:abstractNumId w:val="2"/>
  </w:num>
  <w:num w:numId="8" w16cid:durableId="2121486388">
    <w:abstractNumId w:val="1"/>
  </w:num>
  <w:num w:numId="9" w16cid:durableId="416639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E02A9"/>
    <w:rsid w:val="00326F90"/>
    <w:rsid w:val="00415FE3"/>
    <w:rsid w:val="00496A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775B1"/>
  <w14:defaultImageDpi w14:val="300"/>
  <w15:docId w15:val="{8B61200C-2321-4E26-80CA-8C142EEF80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674</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Teresita Dela Cruz</cp:lastModifiedBy>
  <cp:revision>2</cp:revision>
  <dcterms:created xsi:type="dcterms:W3CDTF">2026-10-19T08:55:00Z</dcterms:created>
  <dcterms:modified xsi:type="dcterms:W3CDTF">2026-10-19T08:55:00Z</dcterms:modified>
  <cp:category/>
</cp:coreProperties>
</file>