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Otter单向同步配置文档</w:t>
      </w:r>
    </w:p>
    <w:p>
      <w:pPr>
        <w:jc w:val="center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5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背景</w:t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两个Mysql数据库不高于5.7版本，数据库地址，账号，密码，读写权限</w:t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主库开启binlog日志row模式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Otter配置方法</w:t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配置canal</w:t>
      </w:r>
    </w:p>
    <w:p>
      <w:pPr>
        <w:numPr>
          <w:ilvl w:val="2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每一个Pipeline通道 都需要单独配置canal</w:t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69230" cy="2268220"/>
            <wp:effectExtent l="0" t="0" r="762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</w:pPr>
    </w:p>
    <w:p>
      <w:pPr>
        <w:numPr>
          <w:ilvl w:val="2"/>
          <w:numId w:val="1"/>
        </w:numPr>
        <w:ind w:left="0" w:leftChars="0" w:firstLine="420" w:firstLineChars="0"/>
        <w:jc w:val="both"/>
      </w:pPr>
      <w:r>
        <w:rPr>
          <w:rFonts w:hint="eastAsia"/>
          <w:lang w:eastAsia="zh-CN"/>
        </w:rPr>
        <w:t>配置位点信息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位点信息为</w:t>
      </w:r>
      <w:r>
        <w:rPr>
          <w:rFonts w:hint="eastAsia"/>
          <w:lang w:val="en-US" w:eastAsia="zh-CN"/>
        </w:rPr>
        <w:t>otter</w:t>
      </w:r>
      <w:r>
        <w:rPr>
          <w:rFonts w:hint="eastAsia"/>
          <w:lang w:eastAsia="zh-CN"/>
        </w:rPr>
        <w:t>确认开始同步数据的位点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请保证此位点下两边数据库数据的一致性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示例：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{"journalName":"mysql-bin.000001","position":4232,"timestamp":1551855259};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</w:pPr>
      <w:r>
        <w:t>查看当前正在写入的binlog文件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show master status\G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</w:pPr>
      <w:r>
        <w:t>获取当前时间戳</w:t>
      </w:r>
      <w:r>
        <w:br w:type="textWrapping"/>
      </w:r>
      <w:r>
        <w:rPr>
          <w:rFonts w:hint="eastAsia"/>
          <w:lang w:val="en-US" w:eastAsia="zh-CN"/>
        </w:rPr>
        <w:tab/>
      </w:r>
      <w:r>
        <w:t>SELECT unix_timestamp(now());</w:t>
      </w:r>
    </w:p>
    <w:p>
      <w:pPr>
        <w:pStyle w:val="2"/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420" w:firstLineChars="0"/>
      </w:pPr>
      <w:r>
        <w:rPr>
          <w:rFonts w:hint="eastAsia"/>
          <w:lang w:eastAsia="zh-CN"/>
        </w:rPr>
        <w:t>填入数据库信息，其他保持默认</w:t>
      </w:r>
    </w:p>
    <w:p>
      <w:pPr>
        <w:numPr>
          <w:numId w:val="0"/>
        </w:numPr>
        <w:ind w:left="420" w:leftChars="0"/>
        <w:jc w:val="both"/>
      </w:pPr>
    </w:p>
    <w:p>
      <w:pPr>
        <w:numPr>
          <w:numId w:val="0"/>
        </w:numPr>
        <w:ind w:left="420" w:leftChars="0"/>
        <w:jc w:val="both"/>
      </w:pPr>
    </w:p>
    <w:p>
      <w:pPr>
        <w:numPr>
          <w:numId w:val="0"/>
        </w:numPr>
        <w:ind w:left="420" w:leftChars="0"/>
        <w:jc w:val="both"/>
      </w:pP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48246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8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配置数据源</w:t>
      </w:r>
    </w:p>
    <w:p>
      <w:pPr>
        <w:numPr>
          <w:ilvl w:val="2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要为每一个数据库配置一个数据源，命名要见名知意，避免混淆</w:t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64150" cy="1750060"/>
            <wp:effectExtent l="0" t="0" r="1270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5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71135" cy="268668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配置数据表</w:t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64785" cy="1744345"/>
            <wp:effectExtent l="0" t="0" r="1206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4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hint="eastAsia" w:eastAsiaTheme="minorEastAsia"/>
          <w:lang w:eastAsia="zh-CN"/>
        </w:rPr>
      </w:pP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73675" cy="2941955"/>
            <wp:effectExtent l="0" t="0" r="317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暂未发现可以一次支持指定的多个表配置，有待研究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如果不是</w:t>
      </w:r>
      <w:r>
        <w:rPr>
          <w:rFonts w:hint="eastAsia"/>
          <w:lang w:val="en-US" w:eastAsia="zh-CN"/>
        </w:rPr>
        <w:t>schema下所有表都是相同的请不要配置.* 否者会报错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如果schema名称不相同无法进行DDL</w:t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配置channel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配置channel名字即可</w:t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73040" cy="2366645"/>
            <wp:effectExtent l="0" t="0" r="381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73040" cy="2141220"/>
            <wp:effectExtent l="0" t="0" r="381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jc w:val="both"/>
      </w:pPr>
      <w:r>
        <w:rPr>
          <w:rFonts w:hint="eastAsia"/>
          <w:lang w:eastAsia="zh-CN"/>
        </w:rPr>
        <w:t>配置Pipeline</w:t>
      </w:r>
    </w:p>
    <w:p>
      <w:pPr>
        <w:numPr>
          <w:ilvl w:val="2"/>
          <w:numId w:val="1"/>
        </w:numPr>
        <w:ind w:left="0" w:leftChars="0" w:firstLine="420" w:firstLineChars="0"/>
        <w:jc w:val="both"/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channel名称进入到pipeline配置</w:t>
      </w:r>
    </w:p>
    <w:p>
      <w:pPr>
        <w:numPr>
          <w:numId w:val="0"/>
        </w:numPr>
        <w:ind w:left="420" w:leftChars="0"/>
        <w:jc w:val="both"/>
        <w:rPr>
          <w:lang w:val="en-US"/>
        </w:rPr>
      </w:pPr>
      <w:r>
        <w:rPr>
          <w:rFonts w:hint="eastAsia"/>
          <w:lang w:val="en-US" w:eastAsia="zh-CN"/>
        </w:rPr>
        <w:t>暂时请使用246_node1节点较为稳定</w:t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69230" cy="843280"/>
            <wp:effectExtent l="0" t="0" r="762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66055" cy="4493895"/>
            <wp:effectExtent l="0" t="0" r="1079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49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如果不需要支持</w:t>
      </w:r>
      <w:r>
        <w:rPr>
          <w:rFonts w:hint="eastAsia"/>
          <w:lang w:val="en-US" w:eastAsia="zh-CN"/>
        </w:rPr>
        <w:t>ddl语句请修改配置</w:t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3315970" cy="5733415"/>
            <wp:effectExtent l="0" t="0" r="1778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573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配置映射关系</w:t>
      </w:r>
    </w:p>
    <w:p>
      <w:pPr>
        <w:numPr>
          <w:numId w:val="0"/>
        </w:numPr>
        <w:ind w:left="420" w:leftChars="0"/>
        <w:jc w:val="both"/>
      </w:pPr>
      <w:r>
        <w:rPr>
          <w:rFonts w:hint="eastAsia"/>
          <w:lang w:eastAsia="zh-CN"/>
        </w:rPr>
        <w:t>点击Pipeline进入</w:t>
      </w:r>
    </w:p>
    <w:p>
      <w:pPr>
        <w:numPr>
          <w:numId w:val="0"/>
        </w:numPr>
        <w:ind w:left="420"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注意主从关系不要配置反，其他配置默认</w:t>
      </w:r>
    </w:p>
    <w:p>
      <w:pPr>
        <w:numPr>
          <w:numId w:val="0"/>
        </w:numPr>
        <w:ind w:left="420"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此处可以指定配置映射字段</w:t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66055" cy="2528570"/>
            <wp:effectExtent l="0" t="0" r="1079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b/>
          <w:bCs/>
        </w:rPr>
      </w:pPr>
      <w:r>
        <w:drawing>
          <wp:inline distT="0" distB="0" distL="114300" distR="114300">
            <wp:extent cx="5274310" cy="2858770"/>
            <wp:effectExtent l="0" t="0" r="2540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67325" cy="2838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</w:pPr>
    </w:p>
    <w:p>
      <w:pPr>
        <w:numPr>
          <w:ilvl w:val="1"/>
          <w:numId w:val="1"/>
        </w:numPr>
        <w:ind w:left="0" w:leftChars="0" w:firstLine="420" w:firstLineChars="0"/>
        <w:jc w:val="both"/>
      </w:pPr>
      <w:r>
        <w:rPr>
          <w:rFonts w:hint="eastAsia"/>
          <w:lang w:eastAsia="zh-CN"/>
        </w:rPr>
        <w:t>开启监控</w:t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62880" cy="837565"/>
            <wp:effectExtent l="0" t="0" r="139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62245" cy="1265555"/>
            <wp:effectExtent l="0" t="0" r="14605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numId w:val="0"/>
        </w:numPr>
        <w:ind w:left="420"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点击启用，启动成功后会在运行状态显示运行</w:t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74310" cy="21653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查看异常日志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如果正常运行不会打印</w:t>
      </w:r>
      <w:bookmarkStart w:id="0" w:name="_GoBack"/>
      <w:bookmarkEnd w:id="0"/>
      <w:r>
        <w:rPr>
          <w:rFonts w:hint="eastAsia"/>
          <w:lang w:eastAsia="zh-CN"/>
        </w:rPr>
        <w:t>日志，可以根据日志查看异常原因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931670"/>
            <wp:effectExtent l="0" t="0" r="7620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BA2F2"/>
    <w:multiLevelType w:val="multilevel"/>
    <w:tmpl w:val="6BEBA2F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A410A"/>
    <w:rsid w:val="09F3632C"/>
    <w:rsid w:val="551F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CHEER</cp:lastModifiedBy>
  <dcterms:modified xsi:type="dcterms:W3CDTF">2019-03-06T11:20:21Z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