
<file path=[Content_Types].xml><?xml version="1.0" encoding="utf-8"?>
<Types xmlns="http://schemas.openxmlformats.org/package/2006/content-types">
  <Default Extension="xml" ContentType="application/xml"/>
  <Default Extension="xls" ContentType="application/vnd.ms-exce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F6441">
      <w:pPr>
        <w:jc w:val="center"/>
        <w:rPr>
          <w:rFonts w:hint="eastAsia" w:ascii="华文楷体" w:hAnsi="华文楷体" w:eastAsia="华文楷体" w:cs="华文楷体"/>
          <w:b/>
          <w:bCs/>
          <w:sz w:val="28"/>
          <w:szCs w:val="36"/>
        </w:rPr>
      </w:pPr>
      <w:r>
        <w:rPr>
          <w:rFonts w:ascii="华文楷体" w:hAnsi="华文楷体" w:eastAsia="华文楷体" w:cs="华文楷体"/>
          <w:b/>
          <w:bCs/>
          <w:sz w:val="28"/>
          <w:szCs w:val="36"/>
        </w:rPr>
        <w:t>交通看</w:t>
      </w:r>
      <w:bookmarkStart w:id="0" w:name="OLE_LINK255"/>
      <w:r>
        <w:rPr>
          <w:rFonts w:hint="eastAsia" w:ascii="华文楷体" w:hAnsi="华文楷体" w:eastAsia="华文楷体" w:cs="华文楷体"/>
          <w:b/>
          <w:bCs/>
          <w:sz w:val="28"/>
          <w:szCs w:val="36"/>
        </w:rPr>
        <w:t>·</w:t>
      </w:r>
      <w:bookmarkEnd w:id="0"/>
      <w:r>
        <w:rPr>
          <w:rFonts w:ascii="华文楷体" w:hAnsi="华文楷体" w:eastAsia="华文楷体" w:cs="华文楷体"/>
          <w:b/>
          <w:bCs/>
          <w:sz w:val="28"/>
          <w:szCs w:val="36"/>
        </w:rPr>
        <w:t>区域经济2025</w:t>
      </w:r>
    </w:p>
    <w:p w14:paraId="7155C529">
      <w:pPr>
        <w:rPr>
          <w:rFonts w:hint="eastAsia" w:ascii="华文楷体" w:hAnsi="华文楷体" w:eastAsia="华文楷体" w:cs="华文楷体"/>
          <w:sz w:val="28"/>
          <w:szCs w:val="36"/>
        </w:rPr>
      </w:pPr>
    </w:p>
    <w:p w14:paraId="0279B4E7">
      <w:pPr>
        <w:pStyle w:val="2"/>
        <w:adjustRightInd w:val="0"/>
        <w:snapToGrid w:val="0"/>
        <w:spacing w:line="288" w:lineRule="auto"/>
        <w:jc w:val="center"/>
        <w:rPr>
          <w:rFonts w:hint="eastAsia" w:ascii="华文楷体" w:hAnsi="华文楷体" w:eastAsia="华文楷体"/>
          <w:b/>
          <w:bCs/>
          <w:color w:val="auto"/>
          <w:sz w:val="28"/>
          <w:szCs w:val="28"/>
        </w:rPr>
      </w:pPr>
      <w:r>
        <w:rPr>
          <w:rFonts w:hint="eastAsia" w:ascii="华文楷体" w:hAnsi="华文楷体" w:eastAsia="华文楷体"/>
          <w:b/>
          <w:bCs/>
          <w:color w:val="auto"/>
          <w:sz w:val="28"/>
          <w:szCs w:val="28"/>
        </w:rPr>
        <w:t>摘要</w:t>
      </w:r>
    </w:p>
    <w:p w14:paraId="55CB686A">
      <w:pPr>
        <w:ind w:firstLine="480" w:firstLineChars="200"/>
        <w:jc w:val="both"/>
        <w:rPr>
          <w:rFonts w:hint="eastAsia" w:ascii="华文楷体" w:hAnsi="华文楷体" w:eastAsia="华文楷体"/>
          <w:sz w:val="24"/>
        </w:rPr>
      </w:pPr>
      <w:bookmarkStart w:id="1" w:name="OLE_LINK147"/>
      <w:r>
        <w:rPr>
          <w:rFonts w:hint="eastAsia" w:ascii="华文楷体" w:hAnsi="华文楷体" w:eastAsia="华文楷体"/>
          <w:sz w:val="24"/>
        </w:rPr>
        <w:t>“</w:t>
      </w:r>
      <w:bookmarkStart w:id="2" w:name="OLE_LINK146"/>
      <w:r>
        <w:rPr>
          <w:rFonts w:ascii="华文楷体" w:hAnsi="华文楷体" w:eastAsia="华文楷体"/>
          <w:sz w:val="24"/>
        </w:rPr>
        <w:t>交通看·区域经济</w:t>
      </w:r>
      <w:r>
        <w:rPr>
          <w:rFonts w:hint="eastAsia" w:ascii="华文楷体" w:hAnsi="华文楷体" w:eastAsia="华文楷体"/>
          <w:sz w:val="24"/>
        </w:rPr>
        <w:t>2025</w:t>
      </w:r>
      <w:bookmarkEnd w:id="2"/>
      <w:r>
        <w:rPr>
          <w:rFonts w:hint="eastAsia" w:ascii="华文楷体" w:hAnsi="华文楷体" w:eastAsia="华文楷体"/>
          <w:sz w:val="24"/>
        </w:rPr>
        <w:t>”</w:t>
      </w:r>
      <w:r>
        <w:rPr>
          <w:rFonts w:ascii="华文楷体" w:hAnsi="华文楷体" w:eastAsia="华文楷体"/>
          <w:sz w:val="24"/>
        </w:rPr>
        <w:t>是以高速公路车流数据为核心的高价值区域经济</w:t>
      </w:r>
      <w:r>
        <w:rPr>
          <w:rFonts w:hint="eastAsia" w:ascii="华文楷体" w:hAnsi="华文楷体" w:eastAsia="华文楷体"/>
          <w:sz w:val="24"/>
        </w:rPr>
        <w:t>研究报告</w:t>
      </w:r>
      <w:r>
        <w:rPr>
          <w:rFonts w:ascii="华文楷体" w:hAnsi="华文楷体" w:eastAsia="华文楷体"/>
          <w:sz w:val="24"/>
        </w:rPr>
        <w:t>。</w:t>
      </w:r>
      <w:r>
        <w:rPr>
          <w:rFonts w:hint="eastAsia" w:ascii="华文楷体" w:hAnsi="华文楷体" w:eastAsia="华文楷体"/>
          <w:sz w:val="24"/>
        </w:rPr>
        <w:t>报告</w:t>
      </w:r>
      <w:r>
        <w:rPr>
          <w:rFonts w:ascii="华文楷体" w:hAnsi="华文楷体" w:eastAsia="华文楷体"/>
          <w:sz w:val="24"/>
        </w:rPr>
        <w:t>突破高速公路数据</w:t>
      </w:r>
      <w:r>
        <w:rPr>
          <w:rFonts w:hint="eastAsia" w:ascii="华文楷体" w:hAnsi="华文楷体" w:eastAsia="华文楷体"/>
          <w:sz w:val="24"/>
        </w:rPr>
        <w:t>“</w:t>
      </w:r>
      <w:r>
        <w:rPr>
          <w:rFonts w:ascii="华文楷体" w:hAnsi="华文楷体" w:eastAsia="华文楷体"/>
          <w:sz w:val="24"/>
        </w:rPr>
        <w:t>内循环</w:t>
      </w:r>
      <w:r>
        <w:rPr>
          <w:rFonts w:hint="eastAsia" w:ascii="华文楷体" w:hAnsi="华文楷体" w:eastAsia="华文楷体"/>
          <w:sz w:val="24"/>
        </w:rPr>
        <w:t>”</w:t>
      </w:r>
      <w:r>
        <w:rPr>
          <w:rFonts w:ascii="华文楷体" w:hAnsi="华文楷体" w:eastAsia="华文楷体"/>
          <w:sz w:val="24"/>
        </w:rPr>
        <w:t>局限，</w:t>
      </w:r>
      <w:r>
        <w:rPr>
          <w:rFonts w:hint="eastAsia" w:ascii="华文楷体" w:hAnsi="华文楷体" w:eastAsia="华文楷体"/>
          <w:sz w:val="24"/>
        </w:rPr>
        <w:t>关联交通动态与经济脉搏，衔接</w:t>
      </w:r>
      <w:r>
        <w:rPr>
          <w:rFonts w:ascii="华文楷体" w:hAnsi="华文楷体" w:eastAsia="华文楷体"/>
          <w:sz w:val="24"/>
        </w:rPr>
        <w:t>高速公路</w:t>
      </w:r>
      <w:r>
        <w:rPr>
          <w:rFonts w:hint="eastAsia" w:ascii="华文楷体" w:hAnsi="华文楷体" w:eastAsia="华文楷体"/>
          <w:sz w:val="24"/>
        </w:rPr>
        <w:t>车、路、通行</w:t>
      </w:r>
      <w:r>
        <w:rPr>
          <w:rFonts w:ascii="华文楷体" w:hAnsi="华文楷体" w:eastAsia="华文楷体"/>
          <w:sz w:val="24"/>
        </w:rPr>
        <w:t>数据</w:t>
      </w:r>
      <w:r>
        <w:rPr>
          <w:rFonts w:hint="eastAsia" w:ascii="华文楷体" w:hAnsi="华文楷体" w:eastAsia="华文楷体"/>
          <w:sz w:val="24"/>
        </w:rPr>
        <w:t>与</w:t>
      </w:r>
      <w:r>
        <w:rPr>
          <w:rFonts w:ascii="华文楷体" w:hAnsi="华文楷体" w:eastAsia="华文楷体"/>
          <w:sz w:val="24"/>
        </w:rPr>
        <w:t>经济运行指标，通过</w:t>
      </w:r>
      <w:r>
        <w:rPr>
          <w:rFonts w:hint="eastAsia" w:ascii="华文楷体" w:hAnsi="华文楷体" w:eastAsia="华文楷体"/>
          <w:sz w:val="24"/>
        </w:rPr>
        <w:t>数据</w:t>
      </w:r>
      <w:r>
        <w:rPr>
          <w:rFonts w:ascii="华文楷体" w:hAnsi="华文楷体" w:eastAsia="华文楷体"/>
          <w:sz w:val="24"/>
        </w:rPr>
        <w:t>建模</w:t>
      </w:r>
      <w:r>
        <w:rPr>
          <w:rFonts w:hint="eastAsia" w:ascii="华文楷体" w:hAnsi="华文楷体" w:eastAsia="华文楷体"/>
          <w:sz w:val="24"/>
        </w:rPr>
        <w:t>分析提供深入洞察，</w:t>
      </w:r>
      <w:r>
        <w:rPr>
          <w:rFonts w:ascii="华文楷体" w:hAnsi="华文楷体" w:eastAsia="华文楷体"/>
          <w:sz w:val="24"/>
        </w:rPr>
        <w:t>为政府、企业及金融机构提供决策支持。</w:t>
      </w:r>
    </w:p>
    <w:bookmarkEnd w:id="1"/>
    <w:p w14:paraId="5CA97111">
      <w:pPr>
        <w:ind w:firstLine="480" w:firstLineChars="200"/>
        <w:jc w:val="both"/>
        <w:rPr>
          <w:rFonts w:hint="eastAsia" w:ascii="华文楷体" w:hAnsi="华文楷体" w:eastAsia="华文楷体"/>
          <w:sz w:val="24"/>
        </w:rPr>
      </w:pPr>
      <w:r>
        <w:rPr>
          <w:rFonts w:hint="eastAsia" w:ascii="华文楷体" w:hAnsi="华文楷体" w:eastAsia="华文楷体"/>
          <w:sz w:val="24"/>
        </w:rPr>
        <w:t>报告</w:t>
      </w:r>
      <w:r>
        <w:rPr>
          <w:rFonts w:ascii="华文楷体" w:hAnsi="华文楷体" w:eastAsia="华文楷体"/>
          <w:sz w:val="24"/>
        </w:rPr>
        <w:t>围绕区域经济活力、城际</w:t>
      </w:r>
      <w:r>
        <w:rPr>
          <w:rFonts w:hint="eastAsia" w:ascii="华文楷体" w:hAnsi="华文楷体" w:eastAsia="华文楷体"/>
          <w:sz w:val="24"/>
        </w:rPr>
        <w:t>经济</w:t>
      </w:r>
      <w:r>
        <w:rPr>
          <w:rFonts w:ascii="华文楷体" w:hAnsi="华文楷体" w:eastAsia="华文楷体"/>
          <w:sz w:val="24"/>
        </w:rPr>
        <w:t>连接度、</w:t>
      </w:r>
      <w:r>
        <w:rPr>
          <w:rFonts w:hint="eastAsia" w:ascii="华文楷体" w:hAnsi="华文楷体" w:eastAsia="华文楷体"/>
          <w:sz w:val="24"/>
        </w:rPr>
        <w:t>区域</w:t>
      </w:r>
      <w:r>
        <w:rPr>
          <w:rFonts w:ascii="华文楷体" w:hAnsi="华文楷体" w:eastAsia="华文楷体"/>
          <w:sz w:val="24"/>
        </w:rPr>
        <w:t>物流</w:t>
      </w:r>
      <w:r>
        <w:rPr>
          <w:rFonts w:hint="eastAsia" w:ascii="华文楷体" w:hAnsi="华文楷体" w:eastAsia="华文楷体"/>
          <w:sz w:val="24"/>
        </w:rPr>
        <w:t>活力</w:t>
      </w:r>
      <w:r>
        <w:rPr>
          <w:rFonts w:ascii="华文楷体" w:hAnsi="华文楷体" w:eastAsia="华文楷体"/>
          <w:sz w:val="24"/>
        </w:rPr>
        <w:t>、经济走廊车流特征及</w:t>
      </w:r>
      <w:r>
        <w:rPr>
          <w:rFonts w:hint="eastAsia" w:ascii="华文楷体" w:hAnsi="华文楷体" w:eastAsia="华文楷体"/>
          <w:sz w:val="24"/>
        </w:rPr>
        <w:t>产业链聚集度等</w:t>
      </w:r>
      <w:r>
        <w:rPr>
          <w:rFonts w:ascii="华文楷体" w:hAnsi="华文楷体" w:eastAsia="华文楷体"/>
          <w:sz w:val="24"/>
        </w:rPr>
        <w:t>核心分析</w:t>
      </w:r>
      <w:r>
        <w:rPr>
          <w:rFonts w:hint="eastAsia" w:ascii="华文楷体" w:hAnsi="华文楷体" w:eastAsia="华文楷体"/>
          <w:sz w:val="24"/>
        </w:rPr>
        <w:t>模型，适</w:t>
      </w:r>
      <w:r>
        <w:rPr>
          <w:rFonts w:ascii="华文楷体" w:hAnsi="华文楷体" w:eastAsia="华文楷体"/>
          <w:sz w:val="24"/>
        </w:rPr>
        <w:t>用于政府宏观经济</w:t>
      </w:r>
      <w:r>
        <w:rPr>
          <w:rFonts w:hint="eastAsia" w:ascii="华文楷体" w:hAnsi="华文楷体" w:eastAsia="华文楷体"/>
          <w:sz w:val="24"/>
        </w:rPr>
        <w:t>分析</w:t>
      </w:r>
      <w:r>
        <w:rPr>
          <w:rFonts w:ascii="华文楷体" w:hAnsi="华文楷体" w:eastAsia="华文楷体"/>
          <w:sz w:val="24"/>
        </w:rPr>
        <w:t>、产业园区规划、产业链供应链优化、绿色交通评估等核心场景，可实现经济活力</w:t>
      </w:r>
      <w:r>
        <w:rPr>
          <w:rFonts w:hint="eastAsia" w:ascii="华文楷体" w:hAnsi="华文楷体" w:eastAsia="华文楷体"/>
          <w:sz w:val="24"/>
        </w:rPr>
        <w:t>分析</w:t>
      </w:r>
      <w:r>
        <w:rPr>
          <w:rFonts w:ascii="华文楷体" w:hAnsi="华文楷体" w:eastAsia="华文楷体"/>
          <w:sz w:val="24"/>
        </w:rPr>
        <w:t>、物流</w:t>
      </w:r>
      <w:r>
        <w:rPr>
          <w:rFonts w:hint="eastAsia" w:ascii="华文楷体" w:hAnsi="华文楷体" w:eastAsia="华文楷体"/>
          <w:sz w:val="24"/>
        </w:rPr>
        <w:t>活力</w:t>
      </w:r>
      <w:r>
        <w:rPr>
          <w:rFonts w:ascii="华文楷体" w:hAnsi="华文楷体" w:eastAsia="华文楷体"/>
          <w:sz w:val="24"/>
        </w:rPr>
        <w:t>精准评估、产业连接度量化分析、碳减排成效可量化等</w:t>
      </w:r>
      <w:r>
        <w:rPr>
          <w:rFonts w:hint="eastAsia" w:ascii="华文楷体" w:hAnsi="华文楷体" w:eastAsia="华文楷体"/>
          <w:sz w:val="24"/>
        </w:rPr>
        <w:t>内容</w:t>
      </w:r>
      <w:r>
        <w:rPr>
          <w:rFonts w:ascii="华文楷体" w:hAnsi="华文楷体" w:eastAsia="华文楷体"/>
          <w:sz w:val="24"/>
        </w:rPr>
        <w:t>。通过</w:t>
      </w:r>
      <w:r>
        <w:rPr>
          <w:rFonts w:hint="eastAsia" w:ascii="华文楷体" w:hAnsi="华文楷体" w:eastAsia="华文楷体"/>
          <w:sz w:val="24"/>
        </w:rPr>
        <w:t>高速公路</w:t>
      </w:r>
      <w:r>
        <w:rPr>
          <w:rFonts w:ascii="华文楷体" w:hAnsi="华文楷体" w:eastAsia="华文楷体"/>
          <w:sz w:val="24"/>
        </w:rPr>
        <w:t>数据支撑，</w:t>
      </w:r>
      <w:r>
        <w:rPr>
          <w:rFonts w:hint="eastAsia" w:ascii="华文楷体" w:hAnsi="华文楷体" w:eastAsia="华文楷体"/>
          <w:sz w:val="24"/>
        </w:rPr>
        <w:t>报告</w:t>
      </w:r>
      <w:r>
        <w:rPr>
          <w:rFonts w:ascii="华文楷体" w:hAnsi="华文楷体" w:eastAsia="华文楷体"/>
          <w:sz w:val="24"/>
        </w:rPr>
        <w:t>能缩短政策制定周期、提升招商精准度、降低物流成本、优化供应链稳定性，为区域经济高质量发展提供数据</w:t>
      </w:r>
      <w:r>
        <w:rPr>
          <w:rFonts w:hint="eastAsia" w:ascii="华文楷体" w:hAnsi="华文楷体" w:eastAsia="华文楷体"/>
          <w:sz w:val="24"/>
        </w:rPr>
        <w:t>支持</w:t>
      </w:r>
      <w:r>
        <w:rPr>
          <w:rFonts w:ascii="华文楷体" w:hAnsi="华文楷体" w:eastAsia="华文楷体"/>
          <w:sz w:val="24"/>
        </w:rPr>
        <w:t>。</w:t>
      </w:r>
    </w:p>
    <w:p w14:paraId="468EC00A">
      <w:pPr>
        <w:ind w:firstLine="480" w:firstLineChars="200"/>
        <w:jc w:val="both"/>
        <w:rPr>
          <w:rFonts w:hint="eastAsia" w:ascii="华文楷体" w:hAnsi="华文楷体" w:eastAsia="华文楷体"/>
          <w:sz w:val="24"/>
        </w:rPr>
      </w:pPr>
      <w:r>
        <w:rPr>
          <w:rFonts w:ascii="华文楷体" w:hAnsi="华文楷体" w:eastAsia="华文楷体"/>
          <w:sz w:val="24"/>
        </w:rPr>
        <w:t>未来，</w:t>
      </w:r>
      <w:r>
        <w:rPr>
          <w:rFonts w:hint="eastAsia" w:ascii="华文楷体" w:hAnsi="华文楷体" w:eastAsia="华文楷体"/>
          <w:sz w:val="24"/>
        </w:rPr>
        <w:t>报告</w:t>
      </w:r>
      <w:r>
        <w:rPr>
          <w:rFonts w:ascii="华文楷体" w:hAnsi="华文楷体" w:eastAsia="华文楷体"/>
          <w:sz w:val="24"/>
        </w:rPr>
        <w:t>将深化融合多源公共数据，构建</w:t>
      </w:r>
      <w:r>
        <w:rPr>
          <w:rFonts w:hint="eastAsia" w:ascii="华文楷体" w:hAnsi="华文楷体" w:eastAsia="华文楷体"/>
          <w:sz w:val="24"/>
        </w:rPr>
        <w:t>“</w:t>
      </w:r>
      <w:r>
        <w:rPr>
          <w:rFonts w:ascii="华文楷体" w:hAnsi="华文楷体" w:eastAsia="华文楷体"/>
          <w:sz w:val="24"/>
        </w:rPr>
        <w:t>车辆-货物-企业</w:t>
      </w:r>
      <w:r>
        <w:rPr>
          <w:rFonts w:hint="eastAsia" w:ascii="华文楷体" w:hAnsi="华文楷体" w:eastAsia="华文楷体"/>
          <w:sz w:val="24"/>
        </w:rPr>
        <w:t>”</w:t>
      </w:r>
      <w:r>
        <w:rPr>
          <w:rFonts w:ascii="华文楷体" w:hAnsi="华文楷体" w:eastAsia="华文楷体"/>
          <w:sz w:val="24"/>
        </w:rPr>
        <w:t>全链条分析体系，推动供应链路径优化与成本降低，为浙江省打造数字经济高地和实现</w:t>
      </w:r>
      <w:r>
        <w:rPr>
          <w:rFonts w:hint="eastAsia" w:ascii="华文楷体" w:hAnsi="华文楷体" w:eastAsia="华文楷体"/>
          <w:sz w:val="24"/>
        </w:rPr>
        <w:t>“</w:t>
      </w:r>
      <w:r>
        <w:rPr>
          <w:rFonts w:ascii="华文楷体" w:hAnsi="华文楷体" w:eastAsia="华文楷体"/>
          <w:sz w:val="24"/>
        </w:rPr>
        <w:t>双碳</w:t>
      </w:r>
      <w:r>
        <w:rPr>
          <w:rFonts w:hint="eastAsia" w:ascii="华文楷体" w:hAnsi="华文楷体" w:eastAsia="华文楷体"/>
          <w:sz w:val="24"/>
        </w:rPr>
        <w:t>”</w:t>
      </w:r>
      <w:r>
        <w:rPr>
          <w:rFonts w:ascii="华文楷体" w:hAnsi="华文楷体" w:eastAsia="华文楷体"/>
          <w:sz w:val="24"/>
        </w:rPr>
        <w:t>目标提供坚实数据支撑。</w:t>
      </w:r>
    </w:p>
    <w:p w14:paraId="342CC145">
      <w:pPr>
        <w:widowControl/>
        <w:rPr>
          <w:rFonts w:hint="eastAsia" w:ascii="华文楷体" w:hAnsi="华文楷体" w:eastAsia="华文楷体" w:cstheme="majorBidi"/>
          <w:b/>
          <w:bCs/>
          <w:sz w:val="28"/>
          <w:szCs w:val="28"/>
        </w:rPr>
      </w:pPr>
    </w:p>
    <w:p w14:paraId="64CFD58D">
      <w:pPr>
        <w:widowControl/>
        <w:spacing w:after="0" w:line="240" w:lineRule="auto"/>
        <w:rPr>
          <w:rFonts w:hint="eastAsia" w:ascii="华文楷体" w:hAnsi="华文楷体" w:eastAsia="华文楷体" w:cstheme="majorBidi"/>
          <w:b/>
          <w:bCs/>
          <w:sz w:val="28"/>
          <w:szCs w:val="28"/>
        </w:rPr>
      </w:pPr>
      <w:bookmarkStart w:id="3" w:name="OLE_LINK2"/>
      <w:r>
        <w:rPr>
          <w:rFonts w:hint="eastAsia" w:ascii="华文楷体" w:hAnsi="华文楷体" w:eastAsia="华文楷体"/>
          <w:b/>
          <w:bCs/>
          <w:sz w:val="28"/>
          <w:szCs w:val="28"/>
        </w:rPr>
        <w:br w:type="page"/>
      </w:r>
    </w:p>
    <w:p w14:paraId="6E0A6693">
      <w:pPr>
        <w:pStyle w:val="2"/>
        <w:adjustRightInd w:val="0"/>
        <w:snapToGrid w:val="0"/>
        <w:spacing w:line="288" w:lineRule="auto"/>
        <w:jc w:val="center"/>
        <w:rPr>
          <w:rFonts w:hint="eastAsia" w:ascii="华文楷体" w:hAnsi="华文楷体" w:eastAsia="华文楷体"/>
          <w:b/>
          <w:bCs/>
          <w:color w:val="auto"/>
          <w:sz w:val="28"/>
          <w:szCs w:val="28"/>
        </w:rPr>
      </w:pPr>
      <w:r>
        <w:rPr>
          <w:rFonts w:ascii="华文楷体" w:hAnsi="华文楷体" w:eastAsia="华文楷体"/>
          <w:b/>
          <w:bCs/>
          <w:color w:val="auto"/>
          <w:sz w:val="28"/>
          <w:szCs w:val="28"/>
        </w:rPr>
        <w:t>第一章 背景与意义</w:t>
      </w:r>
    </w:p>
    <w:bookmarkEnd w:id="3"/>
    <w:p w14:paraId="247FA8C7">
      <w:pPr>
        <w:pStyle w:val="3"/>
        <w:adjustRightInd w:val="0"/>
        <w:snapToGrid w:val="0"/>
        <w:spacing w:line="288" w:lineRule="auto"/>
        <w:rPr>
          <w:rFonts w:hint="eastAsia" w:ascii="华文楷体" w:hAnsi="华文楷体" w:eastAsia="华文楷体"/>
          <w:b/>
          <w:bCs/>
          <w:color w:val="auto"/>
          <w:sz w:val="24"/>
          <w:szCs w:val="24"/>
        </w:rPr>
      </w:pPr>
      <w:r>
        <w:rPr>
          <w:rFonts w:ascii="华文楷体" w:hAnsi="华文楷体" w:eastAsia="华文楷体"/>
          <w:b/>
          <w:bCs/>
          <w:color w:val="auto"/>
          <w:sz w:val="24"/>
          <w:szCs w:val="24"/>
        </w:rPr>
        <w:t>1.1 国家战略与数据要素发展</w:t>
      </w:r>
    </w:p>
    <w:p w14:paraId="7EA96AC7">
      <w:pPr>
        <w:ind w:firstLine="480" w:firstLineChars="200"/>
        <w:jc w:val="both"/>
        <w:rPr>
          <w:rFonts w:hint="eastAsia" w:ascii="华文楷体" w:hAnsi="华文楷体" w:eastAsia="华文楷体"/>
          <w:sz w:val="24"/>
        </w:rPr>
      </w:pPr>
      <w:r>
        <w:rPr>
          <w:rFonts w:ascii="华文楷体" w:hAnsi="华文楷体" w:eastAsia="华文楷体"/>
          <w:sz w:val="24"/>
        </w:rPr>
        <w:t>在国家</w:t>
      </w:r>
      <w:r>
        <w:rPr>
          <w:rFonts w:hint="eastAsia" w:ascii="华文楷体" w:hAnsi="华文楷体" w:eastAsia="华文楷体"/>
          <w:sz w:val="24"/>
        </w:rPr>
        <w:t>“</w:t>
      </w:r>
      <w:r>
        <w:rPr>
          <w:rFonts w:ascii="华文楷体" w:hAnsi="华文楷体" w:eastAsia="华文楷体"/>
          <w:sz w:val="24"/>
        </w:rPr>
        <w:t>数据要素×</w:t>
      </w:r>
      <w:r>
        <w:rPr>
          <w:rFonts w:hint="eastAsia" w:ascii="华文楷体" w:hAnsi="华文楷体" w:eastAsia="华文楷体"/>
          <w:sz w:val="24"/>
        </w:rPr>
        <w:t>”</w:t>
      </w:r>
      <w:r>
        <w:rPr>
          <w:rFonts w:ascii="华文楷体" w:hAnsi="华文楷体" w:eastAsia="华文楷体"/>
          <w:sz w:val="24"/>
        </w:rPr>
        <w:t>战略引领下，数据作为新型生产要素，正日益成为推动高质量发展的重要引擎。2023年，国家数据局等部门联合印发《</w:t>
      </w:r>
      <w:r>
        <w:rPr>
          <w:rFonts w:hint="eastAsia" w:ascii="华文楷体" w:hAnsi="华文楷体" w:eastAsia="华文楷体"/>
          <w:sz w:val="24"/>
        </w:rPr>
        <w:t>“</w:t>
      </w:r>
      <w:r>
        <w:rPr>
          <w:rFonts w:ascii="华文楷体" w:hAnsi="华文楷体" w:eastAsia="华文楷体"/>
          <w:sz w:val="24"/>
        </w:rPr>
        <w:t>数据要素×</w:t>
      </w:r>
      <w:r>
        <w:rPr>
          <w:rFonts w:hint="eastAsia" w:ascii="华文楷体" w:hAnsi="华文楷体" w:eastAsia="华文楷体"/>
          <w:sz w:val="24"/>
        </w:rPr>
        <w:t>”</w:t>
      </w:r>
      <w:r>
        <w:rPr>
          <w:rFonts w:ascii="华文楷体" w:hAnsi="华文楷体" w:eastAsia="华文楷体"/>
          <w:sz w:val="24"/>
        </w:rPr>
        <w:t>三年行动计划（2024—2026年）》</w:t>
      </w:r>
      <w:r>
        <w:rPr>
          <w:rStyle w:val="24"/>
          <w:rFonts w:hint="eastAsia" w:ascii="华文楷体" w:hAnsi="华文楷体" w:eastAsia="华文楷体"/>
          <w:sz w:val="24"/>
        </w:rPr>
        <w:footnoteReference w:id="0"/>
      </w:r>
      <w:r>
        <w:rPr>
          <w:rFonts w:ascii="华文楷体" w:hAnsi="华文楷体" w:eastAsia="华文楷体"/>
          <w:sz w:val="24"/>
        </w:rPr>
        <w:t>，明确提出推动数据要素协同优化、复用增效、融合创新，重点聚焦交通运输、工业制造、绿色低碳等12个领域，充分释放数据要素乘数效应。浙江省作为全国数字经济先行省，正加速推进数据要素与经济深度融合。</w:t>
      </w:r>
    </w:p>
    <w:p w14:paraId="2B8D027D">
      <w:pPr>
        <w:ind w:firstLine="480" w:firstLineChars="200"/>
        <w:jc w:val="both"/>
        <w:rPr>
          <w:rFonts w:hint="eastAsia" w:ascii="华文楷体" w:hAnsi="华文楷体" w:eastAsia="华文楷体"/>
          <w:sz w:val="24"/>
        </w:rPr>
      </w:pPr>
      <w:r>
        <w:rPr>
          <w:rFonts w:ascii="华文楷体" w:hAnsi="华文楷体" w:eastAsia="华文楷体"/>
          <w:sz w:val="24"/>
        </w:rPr>
        <w:t>浙江省作为全国数字经济先行省，</w:t>
      </w:r>
      <w:r>
        <w:rPr>
          <w:rFonts w:hint="eastAsia" w:ascii="华文楷体" w:hAnsi="华文楷体" w:eastAsia="华文楷体"/>
          <w:sz w:val="24"/>
        </w:rPr>
        <w:t>2023年上半年，浙江数字经济核心产业增加值占GDP比重达到12.4%</w:t>
      </w:r>
      <w:r>
        <w:rPr>
          <w:rStyle w:val="24"/>
          <w:rFonts w:hint="eastAsia" w:ascii="华文楷体" w:hAnsi="华文楷体" w:eastAsia="华文楷体"/>
          <w:sz w:val="24"/>
        </w:rPr>
        <w:footnoteReference w:id="1"/>
      </w:r>
      <w:r>
        <w:rPr>
          <w:rFonts w:ascii="华文楷体" w:hAnsi="华文楷体" w:eastAsia="华文楷体"/>
          <w:sz w:val="24"/>
        </w:rPr>
        <w:t>。</w:t>
      </w:r>
      <w:r>
        <w:rPr>
          <w:rFonts w:hint="eastAsia" w:ascii="华文楷体" w:hAnsi="华文楷体" w:eastAsia="华文楷体"/>
          <w:sz w:val="24"/>
        </w:rPr>
        <w:t>截至2023年年底，浙江累计完成880公里智慧高速公路建设改造，基本建成“三纵一横两环”智慧高速公路网</w:t>
      </w:r>
      <w:r>
        <w:rPr>
          <w:rStyle w:val="24"/>
          <w:rFonts w:hint="eastAsia" w:ascii="华文楷体" w:hAnsi="华文楷体" w:eastAsia="华文楷体"/>
          <w:sz w:val="24"/>
        </w:rPr>
        <w:footnoteReference w:id="2"/>
      </w:r>
      <w:r>
        <w:rPr>
          <w:rFonts w:ascii="华文楷体" w:hAnsi="华文楷体" w:eastAsia="华文楷体"/>
          <w:sz w:val="24"/>
        </w:rPr>
        <w:t>。</w:t>
      </w:r>
    </w:p>
    <w:p w14:paraId="6F0C5A6A">
      <w:pPr>
        <w:ind w:firstLine="480" w:firstLineChars="200"/>
        <w:jc w:val="both"/>
        <w:rPr>
          <w:rFonts w:hint="eastAsia" w:ascii="华文楷体" w:hAnsi="华文楷体" w:eastAsia="华文楷体"/>
          <w:sz w:val="24"/>
          <w:highlight w:val="yellow"/>
        </w:rPr>
      </w:pPr>
      <w:r>
        <w:rPr>
          <w:rFonts w:hint="eastAsia" w:ascii="华文楷体" w:hAnsi="华文楷体" w:eastAsia="华文楷体"/>
          <w:sz w:val="24"/>
        </w:rPr>
        <w:t>随着“数据要素×交通运输”行动的深入推进，高速公路数据的价值挖掘正从运营管理向经济分析、产业服务拓展。通过科学建模将车流数据转化为经济活力、城际连接度、产业链聚集度等核心指标，能够实现对区域经济运行进行判断，为政府宏观经济管理、产业园区规划、企业供应链优化、金融机构风险评估等提供量化决策支持。这一实践不仅符合国家数据要素市场化配置的改革方向，更是以数据驱动区域经济治理现代化的创新探索，助力构建以数据为关键要素的数字经济新生态，为浙江省打造数字经济高地和实现高质量发展注入新动能。</w:t>
      </w:r>
    </w:p>
    <w:p w14:paraId="598F6734">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1.2 区域经济发展需求与挑战</w:t>
      </w:r>
    </w:p>
    <w:p w14:paraId="600E5B5F">
      <w:pPr>
        <w:ind w:firstLine="480" w:firstLineChars="200"/>
        <w:jc w:val="both"/>
        <w:rPr>
          <w:rFonts w:hint="eastAsia" w:ascii="华文楷体" w:hAnsi="华文楷体" w:eastAsia="华文楷体"/>
          <w:sz w:val="24"/>
        </w:rPr>
      </w:pPr>
      <w:r>
        <w:rPr>
          <w:rFonts w:ascii="华文楷体" w:hAnsi="华文楷体" w:eastAsia="华文楷体"/>
          <w:sz w:val="24"/>
        </w:rPr>
        <w:t>区域经济作为国家经济体系的重要组成部分，是推动国家经济高质量发展的核心引擎。</w:t>
      </w:r>
      <w:r>
        <w:rPr>
          <w:rFonts w:hint="eastAsia" w:ascii="华文楷体" w:hAnsi="华文楷体" w:eastAsia="华文楷体"/>
          <w:sz w:val="24"/>
        </w:rPr>
        <w:t>在追踪监测区域经济发展动态的分析能力上，仍有进一步提升的空间</w:t>
      </w:r>
      <w:r>
        <w:rPr>
          <w:rFonts w:ascii="华文楷体" w:hAnsi="华文楷体" w:eastAsia="华文楷体"/>
          <w:sz w:val="24"/>
        </w:rPr>
        <w:t>：</w:t>
      </w:r>
      <w:r>
        <w:rPr>
          <w:rFonts w:hint="eastAsia" w:ascii="华文楷体" w:hAnsi="华文楷体" w:eastAsia="华文楷体"/>
          <w:sz w:val="24"/>
        </w:rPr>
        <w:t>一是</w:t>
      </w:r>
      <w:r>
        <w:rPr>
          <w:rFonts w:ascii="华文楷体" w:hAnsi="华文楷体" w:eastAsia="华文楷体"/>
          <w:sz w:val="24"/>
        </w:rPr>
        <w:t>监测手段</w:t>
      </w:r>
      <w:r>
        <w:rPr>
          <w:rFonts w:hint="eastAsia" w:ascii="华文楷体" w:hAnsi="华文楷体" w:eastAsia="华文楷体"/>
          <w:sz w:val="24"/>
        </w:rPr>
        <w:t>相对存在</w:t>
      </w:r>
      <w:r>
        <w:rPr>
          <w:rFonts w:ascii="华文楷体" w:hAnsi="华文楷体" w:eastAsia="华文楷体"/>
          <w:sz w:val="24"/>
        </w:rPr>
        <w:t>滞后</w:t>
      </w:r>
      <w:r>
        <w:rPr>
          <w:rFonts w:hint="eastAsia" w:ascii="华文楷体" w:hAnsi="华文楷体" w:eastAsia="华文楷体"/>
          <w:sz w:val="24"/>
        </w:rPr>
        <w:t>性，</w:t>
      </w:r>
      <w:r>
        <w:rPr>
          <w:rFonts w:ascii="华文楷体" w:hAnsi="华文楷体" w:eastAsia="华文楷体"/>
          <w:sz w:val="24"/>
        </w:rPr>
        <w:t>传统经济指标（GDP、工业增加值）具有季度</w:t>
      </w:r>
      <w:r>
        <w:rPr>
          <w:rFonts w:hint="eastAsia" w:ascii="华文楷体" w:hAnsi="华文楷体" w:eastAsia="华文楷体"/>
          <w:sz w:val="24"/>
        </w:rPr>
        <w:t>、</w:t>
      </w:r>
      <w:r>
        <w:rPr>
          <w:rFonts w:ascii="华文楷体" w:hAnsi="华文楷体" w:eastAsia="华文楷体"/>
          <w:sz w:val="24"/>
        </w:rPr>
        <w:t>月度滞后性，难以满足新时代精细化治理需求</w:t>
      </w:r>
      <w:r>
        <w:rPr>
          <w:rFonts w:hint="eastAsia" w:ascii="华文楷体" w:hAnsi="华文楷体" w:eastAsia="华文楷体"/>
          <w:sz w:val="24"/>
        </w:rPr>
        <w:t>；二是</w:t>
      </w:r>
      <w:r>
        <w:rPr>
          <w:rFonts w:ascii="华文楷体" w:hAnsi="华文楷体" w:eastAsia="华文楷体"/>
          <w:sz w:val="24"/>
        </w:rPr>
        <w:t>分析深度不足</w:t>
      </w:r>
      <w:r>
        <w:rPr>
          <w:rFonts w:hint="eastAsia" w:ascii="华文楷体" w:hAnsi="华文楷体" w:eastAsia="华文楷体"/>
          <w:sz w:val="24"/>
        </w:rPr>
        <w:t>，</w:t>
      </w:r>
      <w:r>
        <w:rPr>
          <w:rFonts w:ascii="华文楷体" w:hAnsi="华文楷体" w:eastAsia="华文楷体"/>
          <w:sz w:val="24"/>
        </w:rPr>
        <w:t>缺乏对经济活动的微观穿透能力，无法精准把握产业链运行状况</w:t>
      </w:r>
      <w:r>
        <w:rPr>
          <w:rFonts w:hint="eastAsia" w:ascii="华文楷体" w:hAnsi="华文楷体" w:eastAsia="华文楷体"/>
          <w:sz w:val="24"/>
        </w:rPr>
        <w:t>；三是</w:t>
      </w:r>
      <w:r>
        <w:rPr>
          <w:rFonts w:ascii="华文楷体" w:hAnsi="华文楷体" w:eastAsia="华文楷体"/>
          <w:sz w:val="24"/>
        </w:rPr>
        <w:t>决策依据不足</w:t>
      </w:r>
      <w:r>
        <w:rPr>
          <w:rFonts w:hint="eastAsia" w:ascii="华文楷体" w:hAnsi="华文楷体" w:eastAsia="华文楷体"/>
          <w:sz w:val="24"/>
        </w:rPr>
        <w:t>，政府</w:t>
      </w:r>
      <w:r>
        <w:rPr>
          <w:rFonts w:ascii="华文楷体" w:hAnsi="华文楷体" w:eastAsia="华文楷体"/>
          <w:sz w:val="24"/>
        </w:rPr>
        <w:t>在制定产业政策、优化交通设施时，缺乏客观、空间精细的数据支持。</w:t>
      </w:r>
    </w:p>
    <w:p w14:paraId="17A6A2EF">
      <w:pPr>
        <w:ind w:firstLine="480" w:firstLineChars="200"/>
        <w:jc w:val="both"/>
        <w:rPr>
          <w:rFonts w:hint="eastAsia" w:ascii="华文楷体" w:hAnsi="华文楷体" w:eastAsia="华文楷体"/>
          <w:sz w:val="24"/>
        </w:rPr>
      </w:pPr>
      <w:r>
        <w:rPr>
          <w:rFonts w:hint="eastAsia" w:ascii="华文楷体" w:hAnsi="华文楷体" w:eastAsia="华文楷体"/>
          <w:sz w:val="24"/>
        </w:rPr>
        <w:t>“</w:t>
      </w:r>
      <w:r>
        <w:rPr>
          <w:rFonts w:ascii="华文楷体" w:hAnsi="华文楷体" w:eastAsia="华文楷体"/>
          <w:sz w:val="24"/>
        </w:rPr>
        <w:t>交通看·区域经济</w:t>
      </w:r>
      <w:r>
        <w:rPr>
          <w:rFonts w:hint="eastAsia" w:ascii="华文楷体" w:hAnsi="华文楷体" w:eastAsia="华文楷体"/>
          <w:sz w:val="24"/>
        </w:rPr>
        <w:t>”产业研究报告将以高速公路交通数据为切入点，为突破上述分析的局限性提供一条创新路径，</w:t>
      </w:r>
      <w:r>
        <w:rPr>
          <w:rFonts w:ascii="华文楷体" w:hAnsi="华文楷体" w:eastAsia="华文楷体"/>
          <w:sz w:val="24"/>
        </w:rPr>
        <w:t>构建</w:t>
      </w:r>
      <w:r>
        <w:rPr>
          <w:rFonts w:hint="eastAsia" w:ascii="华文楷体" w:hAnsi="华文楷体" w:eastAsia="华文楷体"/>
          <w:sz w:val="24"/>
        </w:rPr>
        <w:t>基于交通数据的</w:t>
      </w:r>
      <w:r>
        <w:rPr>
          <w:rFonts w:ascii="华文楷体" w:hAnsi="华文楷体" w:eastAsia="华文楷体"/>
          <w:sz w:val="24"/>
        </w:rPr>
        <w:t>客观、</w:t>
      </w:r>
      <w:r>
        <w:rPr>
          <w:rFonts w:hint="eastAsia" w:ascii="华文楷体" w:hAnsi="华文楷体" w:eastAsia="华文楷体"/>
          <w:sz w:val="24"/>
        </w:rPr>
        <w:t>精细</w:t>
      </w:r>
      <w:r>
        <w:rPr>
          <w:rFonts w:ascii="华文楷体" w:hAnsi="华文楷体" w:eastAsia="华文楷体"/>
          <w:sz w:val="24"/>
        </w:rPr>
        <w:t>的区域经济</w:t>
      </w:r>
      <w:r>
        <w:rPr>
          <w:rFonts w:hint="eastAsia" w:ascii="华文楷体" w:hAnsi="华文楷体" w:eastAsia="华文楷体"/>
          <w:sz w:val="24"/>
        </w:rPr>
        <w:t>分析</w:t>
      </w:r>
      <w:r>
        <w:rPr>
          <w:rFonts w:ascii="华文楷体" w:hAnsi="华文楷体" w:eastAsia="华文楷体"/>
          <w:sz w:val="24"/>
        </w:rPr>
        <w:t>体系。</w:t>
      </w:r>
    </w:p>
    <w:p w14:paraId="0B0DD155">
      <w:pPr>
        <w:rPr>
          <w:rFonts w:hint="eastAsia" w:ascii="华文楷体" w:hAnsi="华文楷体" w:eastAsia="华文楷体"/>
          <w:sz w:val="24"/>
        </w:rPr>
      </w:pPr>
    </w:p>
    <w:p w14:paraId="048163E2">
      <w:pPr>
        <w:rPr>
          <w:rFonts w:hint="eastAsia"/>
        </w:rPr>
      </w:pPr>
    </w:p>
    <w:p w14:paraId="78869640">
      <w:pPr>
        <w:rPr>
          <w:rFonts w:hint="eastAsia"/>
        </w:rPr>
      </w:pPr>
    </w:p>
    <w:p w14:paraId="314A0160">
      <w:pPr>
        <w:widowControl/>
        <w:rPr>
          <w:rFonts w:hint="eastAsia"/>
        </w:rPr>
      </w:pPr>
      <w:r>
        <w:rPr>
          <w:rFonts w:hint="eastAsia"/>
        </w:rPr>
        <w:br w:type="page"/>
      </w:r>
    </w:p>
    <w:p w14:paraId="572167BE">
      <w:pPr>
        <w:pStyle w:val="2"/>
        <w:adjustRightInd w:val="0"/>
        <w:snapToGrid w:val="0"/>
        <w:spacing w:line="288" w:lineRule="auto"/>
        <w:jc w:val="center"/>
        <w:rPr>
          <w:rFonts w:hint="eastAsia" w:ascii="华文楷体" w:hAnsi="华文楷体" w:eastAsia="华文楷体"/>
          <w:b/>
          <w:bCs/>
          <w:color w:val="auto"/>
          <w:sz w:val="28"/>
          <w:szCs w:val="28"/>
        </w:rPr>
      </w:pPr>
      <w:bookmarkStart w:id="4" w:name="OLE_LINK17"/>
      <w:r>
        <w:rPr>
          <w:rFonts w:ascii="华文楷体" w:hAnsi="华文楷体" w:eastAsia="华文楷体"/>
          <w:b/>
          <w:bCs/>
          <w:color w:val="auto"/>
          <w:sz w:val="28"/>
          <w:szCs w:val="28"/>
        </w:rPr>
        <w:t xml:space="preserve">第二章 </w:t>
      </w:r>
      <w:bookmarkStart w:id="5" w:name="_Hlk213139355"/>
      <w:r>
        <w:rPr>
          <w:rFonts w:hint="eastAsia" w:ascii="华文楷体" w:hAnsi="华文楷体" w:eastAsia="华文楷体"/>
          <w:b/>
          <w:bCs/>
          <w:color w:val="auto"/>
          <w:sz w:val="28"/>
          <w:szCs w:val="28"/>
        </w:rPr>
        <w:t>报告</w:t>
      </w:r>
      <w:r>
        <w:rPr>
          <w:rFonts w:ascii="华文楷体" w:hAnsi="华文楷体" w:eastAsia="华文楷体"/>
          <w:b/>
          <w:bCs/>
          <w:color w:val="auto"/>
          <w:sz w:val="28"/>
          <w:szCs w:val="28"/>
        </w:rPr>
        <w:t>概述与</w:t>
      </w:r>
      <w:bookmarkEnd w:id="5"/>
      <w:r>
        <w:rPr>
          <w:rFonts w:hint="eastAsia" w:ascii="华文楷体" w:hAnsi="华文楷体" w:eastAsia="华文楷体"/>
          <w:b/>
          <w:bCs/>
          <w:color w:val="auto"/>
          <w:sz w:val="28"/>
          <w:szCs w:val="28"/>
        </w:rPr>
        <w:t>指标分析</w:t>
      </w:r>
    </w:p>
    <w:bookmarkEnd w:id="4"/>
    <w:p w14:paraId="331B8822">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2</w:t>
      </w:r>
      <w:r>
        <w:rPr>
          <w:rFonts w:ascii="华文楷体" w:hAnsi="华文楷体" w:eastAsia="华文楷体"/>
          <w:b/>
          <w:bCs/>
          <w:color w:val="auto"/>
          <w:sz w:val="24"/>
          <w:szCs w:val="24"/>
        </w:rPr>
        <w:t>.</w:t>
      </w:r>
      <w:r>
        <w:rPr>
          <w:rFonts w:hint="eastAsia" w:ascii="华文楷体" w:hAnsi="华文楷体" w:eastAsia="华文楷体"/>
          <w:b/>
          <w:bCs/>
          <w:color w:val="auto"/>
          <w:sz w:val="24"/>
          <w:szCs w:val="24"/>
        </w:rPr>
        <w:t>1</w:t>
      </w:r>
      <w:r>
        <w:rPr>
          <w:rFonts w:ascii="华文楷体" w:hAnsi="华文楷体" w:eastAsia="华文楷体"/>
          <w:b/>
          <w:bCs/>
          <w:color w:val="auto"/>
          <w:sz w:val="24"/>
          <w:szCs w:val="24"/>
        </w:rPr>
        <w:t xml:space="preserve"> </w:t>
      </w:r>
      <w:r>
        <w:rPr>
          <w:rFonts w:hint="eastAsia" w:ascii="华文楷体" w:hAnsi="华文楷体" w:eastAsia="华文楷体"/>
          <w:b/>
          <w:bCs/>
          <w:color w:val="auto"/>
          <w:sz w:val="24"/>
          <w:szCs w:val="24"/>
        </w:rPr>
        <w:t>报告</w:t>
      </w:r>
      <w:r>
        <w:rPr>
          <w:rFonts w:ascii="华文楷体" w:hAnsi="华文楷体" w:eastAsia="华文楷体"/>
          <w:b/>
          <w:bCs/>
          <w:color w:val="auto"/>
          <w:sz w:val="24"/>
          <w:szCs w:val="24"/>
        </w:rPr>
        <w:t>定位与战略价值</w:t>
      </w:r>
    </w:p>
    <w:p w14:paraId="18CED452">
      <w:pPr>
        <w:ind w:firstLine="480" w:firstLineChars="200"/>
        <w:jc w:val="both"/>
        <w:rPr>
          <w:rFonts w:hint="eastAsia" w:ascii="华文楷体" w:hAnsi="华文楷体" w:eastAsia="华文楷体"/>
          <w:sz w:val="24"/>
        </w:rPr>
      </w:pPr>
      <w:commentRangeStart w:id="0"/>
      <w:r>
        <w:rPr>
          <w:rFonts w:hint="eastAsia" w:ascii="华文楷体" w:hAnsi="华文楷体" w:eastAsia="华文楷体"/>
          <w:sz w:val="24"/>
        </w:rPr>
        <w:t>“交通看·区域经济”报告</w:t>
      </w:r>
      <w:r>
        <w:rPr>
          <w:rFonts w:ascii="华文楷体" w:hAnsi="华文楷体" w:eastAsia="华文楷体"/>
          <w:sz w:val="24"/>
        </w:rPr>
        <w:t>是面向政府宏观经济管理部门、区域经济研究机构、</w:t>
      </w:r>
      <w:bookmarkStart w:id="6" w:name="OLE_LINK207"/>
      <w:r>
        <w:rPr>
          <w:rFonts w:ascii="华文楷体" w:hAnsi="华文楷体" w:eastAsia="华文楷体"/>
          <w:sz w:val="24"/>
        </w:rPr>
        <w:t>重点产业链主企业</w:t>
      </w:r>
      <w:bookmarkEnd w:id="6"/>
      <w:r>
        <w:rPr>
          <w:rFonts w:ascii="华文楷体" w:hAnsi="华文楷体" w:eastAsia="华文楷体"/>
          <w:sz w:val="24"/>
        </w:rPr>
        <w:t>及金融机构的高价值产业研究报告。其核心定位是以高速公路车流数据为</w:t>
      </w:r>
      <w:r>
        <w:rPr>
          <w:rFonts w:hint="eastAsia" w:ascii="华文楷体" w:hAnsi="华文楷体" w:eastAsia="华文楷体"/>
          <w:sz w:val="24"/>
        </w:rPr>
        <w:t>“</w:t>
      </w:r>
      <w:r>
        <w:rPr>
          <w:rFonts w:ascii="华文楷体" w:hAnsi="华文楷体" w:eastAsia="华文楷体"/>
          <w:sz w:val="24"/>
        </w:rPr>
        <w:t>显微镜</w:t>
      </w:r>
      <w:r>
        <w:rPr>
          <w:rFonts w:hint="eastAsia" w:ascii="华文楷体" w:hAnsi="华文楷体" w:eastAsia="华文楷体"/>
          <w:sz w:val="24"/>
        </w:rPr>
        <w:t>”</w:t>
      </w:r>
      <w:r>
        <w:rPr>
          <w:rFonts w:ascii="华文楷体" w:hAnsi="华文楷体" w:eastAsia="华文楷体"/>
          <w:sz w:val="24"/>
        </w:rPr>
        <w:t>和</w:t>
      </w:r>
      <w:r>
        <w:rPr>
          <w:rFonts w:hint="eastAsia" w:ascii="华文楷体" w:hAnsi="华文楷体" w:eastAsia="华文楷体"/>
          <w:sz w:val="24"/>
        </w:rPr>
        <w:t>“</w:t>
      </w:r>
      <w:r>
        <w:rPr>
          <w:rFonts w:ascii="华文楷体" w:hAnsi="华文楷体" w:eastAsia="华文楷体"/>
          <w:sz w:val="24"/>
        </w:rPr>
        <w:t>望远镜</w:t>
      </w:r>
      <w:r>
        <w:rPr>
          <w:rFonts w:hint="eastAsia" w:ascii="华文楷体" w:hAnsi="华文楷体" w:eastAsia="华文楷体"/>
          <w:sz w:val="24"/>
        </w:rPr>
        <w:t>”</w:t>
      </w:r>
      <w:r>
        <w:rPr>
          <w:rFonts w:ascii="华文楷体" w:hAnsi="华文楷体" w:eastAsia="华文楷体"/>
          <w:sz w:val="24"/>
        </w:rPr>
        <w:t>，构建动态、可量化的区域经济运行监测与分析体系</w:t>
      </w:r>
      <w:r>
        <w:rPr>
          <w:rFonts w:hint="eastAsia" w:ascii="华文楷体" w:hAnsi="华文楷体" w:eastAsia="华文楷体"/>
          <w:sz w:val="24"/>
        </w:rPr>
        <w:t>，</w:t>
      </w:r>
      <w:r>
        <w:rPr>
          <w:rFonts w:ascii="华文楷体" w:hAnsi="华文楷体" w:eastAsia="华文楷体"/>
          <w:sz w:val="24"/>
        </w:rPr>
        <w:t>提供客观、颗粒度细的经济运行</w:t>
      </w:r>
      <w:r>
        <w:rPr>
          <w:rFonts w:hint="eastAsia" w:ascii="华文楷体" w:hAnsi="华文楷体" w:eastAsia="华文楷体"/>
          <w:sz w:val="24"/>
        </w:rPr>
        <w:t>“晴雨表”</w:t>
      </w:r>
      <w:r>
        <w:rPr>
          <w:rFonts w:ascii="华文楷体" w:hAnsi="华文楷体" w:eastAsia="华文楷体"/>
          <w:sz w:val="24"/>
        </w:rPr>
        <w:t>。高速公路数亿条通行记录，天然具备全域覆盖、真实发生等优势。</w:t>
      </w:r>
      <w:r>
        <w:rPr>
          <w:rFonts w:hint="eastAsia" w:ascii="华文楷体" w:hAnsi="华文楷体" w:eastAsia="华文楷体"/>
          <w:sz w:val="24"/>
        </w:rPr>
        <w:t>“</w:t>
      </w:r>
      <w:r>
        <w:rPr>
          <w:rFonts w:ascii="华文楷体" w:hAnsi="华文楷体" w:eastAsia="华文楷体"/>
          <w:sz w:val="24"/>
        </w:rPr>
        <w:t>交通看·区域经济</w:t>
      </w:r>
      <w:r>
        <w:rPr>
          <w:rFonts w:hint="eastAsia" w:ascii="华文楷体" w:hAnsi="华文楷体" w:eastAsia="华文楷体"/>
          <w:sz w:val="24"/>
        </w:rPr>
        <w:t>”报告</w:t>
      </w:r>
      <w:r>
        <w:rPr>
          <w:rFonts w:ascii="华文楷体" w:hAnsi="华文楷体" w:eastAsia="华文楷体"/>
          <w:sz w:val="24"/>
        </w:rPr>
        <w:t>通过科学建模，将这些原始车流数据转化为一系列</w:t>
      </w:r>
      <w:bookmarkStart w:id="7" w:name="OLE_LINK337"/>
      <w:r>
        <w:rPr>
          <w:rFonts w:ascii="华文楷体" w:hAnsi="华文楷体" w:eastAsia="华文楷体"/>
          <w:sz w:val="24"/>
        </w:rPr>
        <w:t>经济</w:t>
      </w:r>
      <w:bookmarkEnd w:id="7"/>
      <w:r>
        <w:rPr>
          <w:rFonts w:ascii="华文楷体" w:hAnsi="华文楷体" w:eastAsia="华文楷体"/>
          <w:sz w:val="24"/>
        </w:rPr>
        <w:t>活力、经济连接度、物流</w:t>
      </w:r>
      <w:r>
        <w:rPr>
          <w:rFonts w:hint="eastAsia" w:ascii="华文楷体" w:hAnsi="华文楷体" w:eastAsia="华文楷体"/>
          <w:sz w:val="24"/>
        </w:rPr>
        <w:t>活力</w:t>
      </w:r>
      <w:r>
        <w:rPr>
          <w:rFonts w:ascii="华文楷体" w:hAnsi="华文楷体" w:eastAsia="华文楷体"/>
          <w:sz w:val="24"/>
        </w:rPr>
        <w:t>等</w:t>
      </w:r>
      <w:r>
        <w:rPr>
          <w:rFonts w:hint="eastAsia" w:ascii="华文楷体" w:hAnsi="华文楷体" w:eastAsia="华文楷体"/>
          <w:sz w:val="24"/>
        </w:rPr>
        <w:t>指标</w:t>
      </w:r>
      <w:r>
        <w:rPr>
          <w:rFonts w:ascii="华文楷体" w:hAnsi="华文楷体" w:eastAsia="华文楷体"/>
          <w:sz w:val="24"/>
        </w:rPr>
        <w:t>，能够近乎实时地反映区域经济的冷暖变化，为政策制定提供</w:t>
      </w:r>
      <w:r>
        <w:rPr>
          <w:rFonts w:hint="eastAsia" w:ascii="华文楷体" w:hAnsi="华文楷体" w:eastAsia="华文楷体"/>
          <w:sz w:val="24"/>
        </w:rPr>
        <w:t>“早于统计、优于抽样”</w:t>
      </w:r>
      <w:r>
        <w:rPr>
          <w:rFonts w:ascii="华文楷体" w:hAnsi="华文楷体" w:eastAsia="华文楷体"/>
          <w:sz w:val="24"/>
        </w:rPr>
        <w:t>的决策依据。</w:t>
      </w:r>
      <w:r>
        <w:rPr>
          <w:rFonts w:hint="eastAsia" w:ascii="华文楷体" w:hAnsi="华文楷体" w:eastAsia="华文楷体"/>
          <w:sz w:val="24"/>
        </w:rPr>
        <w:t>研究报告构建区域经济全景视图，通过数据整合，构建区域经济运行的分析体系。</w:t>
      </w:r>
      <w:commentRangeEnd w:id="0"/>
      <w:r>
        <w:commentReference w:id="0"/>
      </w:r>
    </w:p>
    <w:p w14:paraId="6E407B8B">
      <w:pPr>
        <w:pStyle w:val="3"/>
        <w:adjustRightInd w:val="0"/>
        <w:snapToGrid w:val="0"/>
        <w:spacing w:line="288" w:lineRule="auto"/>
        <w:rPr>
          <w:rFonts w:hint="eastAsia" w:ascii="华文楷体" w:hAnsi="华文楷体" w:eastAsia="华文楷体"/>
          <w:b/>
          <w:bCs/>
          <w:color w:val="auto"/>
          <w:sz w:val="24"/>
          <w:szCs w:val="24"/>
        </w:rPr>
      </w:pPr>
      <w:bookmarkStart w:id="8" w:name="OLE_LINK157"/>
      <w:bookmarkStart w:id="9" w:name="OLE_LINK216"/>
      <w:r>
        <w:rPr>
          <w:rFonts w:ascii="华文楷体" w:hAnsi="华文楷体" w:eastAsia="华文楷体"/>
          <w:b/>
          <w:bCs/>
          <w:color w:val="auto"/>
          <w:sz w:val="24"/>
          <w:szCs w:val="24"/>
        </w:rPr>
        <w:t xml:space="preserve">2.2 </w:t>
      </w:r>
      <w:r>
        <w:rPr>
          <w:rFonts w:hint="eastAsia" w:ascii="华文楷体" w:hAnsi="华文楷体" w:eastAsia="华文楷体"/>
          <w:b/>
          <w:bCs/>
          <w:color w:val="auto"/>
          <w:sz w:val="24"/>
          <w:szCs w:val="24"/>
        </w:rPr>
        <w:t>指标分析</w:t>
      </w:r>
    </w:p>
    <w:bookmarkEnd w:id="8"/>
    <w:p w14:paraId="4CD955F3">
      <w:pPr>
        <w:ind w:firstLine="480" w:firstLineChars="200"/>
        <w:jc w:val="both"/>
        <w:rPr>
          <w:rFonts w:hint="eastAsia" w:ascii="华文楷体" w:hAnsi="华文楷体" w:eastAsia="华文楷体"/>
          <w:sz w:val="24"/>
        </w:rPr>
      </w:pPr>
      <w:bookmarkStart w:id="10" w:name="OLE_LINK164"/>
      <w:r>
        <w:rPr>
          <w:rFonts w:hint="eastAsia" w:ascii="华文楷体" w:hAnsi="华文楷体" w:eastAsia="华文楷体"/>
          <w:sz w:val="24"/>
        </w:rPr>
        <w:t>“</w:t>
      </w:r>
      <w:r>
        <w:rPr>
          <w:rFonts w:ascii="华文楷体" w:hAnsi="华文楷体" w:eastAsia="华文楷体"/>
          <w:sz w:val="24"/>
        </w:rPr>
        <w:t>交通看·区域经济</w:t>
      </w:r>
      <w:r>
        <w:rPr>
          <w:rFonts w:hint="eastAsia" w:ascii="华文楷体" w:hAnsi="华文楷体" w:eastAsia="华文楷体"/>
          <w:sz w:val="24"/>
        </w:rPr>
        <w:t>”</w:t>
      </w:r>
      <w:r>
        <w:rPr>
          <w:rFonts w:ascii="华文楷体" w:hAnsi="华文楷体" w:eastAsia="华文楷体"/>
          <w:sz w:val="24"/>
        </w:rPr>
        <w:t>研究报告围绕区域经济活力、城际</w:t>
      </w:r>
      <w:r>
        <w:rPr>
          <w:rFonts w:hint="eastAsia" w:ascii="华文楷体" w:hAnsi="华文楷体" w:eastAsia="华文楷体"/>
          <w:sz w:val="24"/>
        </w:rPr>
        <w:t>经济</w:t>
      </w:r>
      <w:r>
        <w:rPr>
          <w:rFonts w:ascii="华文楷体" w:hAnsi="华文楷体" w:eastAsia="华文楷体"/>
          <w:sz w:val="24"/>
        </w:rPr>
        <w:t>连接、</w:t>
      </w:r>
      <w:r>
        <w:rPr>
          <w:rFonts w:hint="eastAsia" w:ascii="华文楷体" w:hAnsi="华文楷体" w:eastAsia="华文楷体"/>
          <w:sz w:val="24"/>
        </w:rPr>
        <w:t>区域</w:t>
      </w:r>
      <w:r>
        <w:rPr>
          <w:rFonts w:ascii="华文楷体" w:hAnsi="华文楷体" w:eastAsia="华文楷体"/>
          <w:sz w:val="24"/>
        </w:rPr>
        <w:t>物流</w:t>
      </w:r>
      <w:r>
        <w:rPr>
          <w:rFonts w:hint="eastAsia" w:ascii="华文楷体" w:hAnsi="华文楷体" w:eastAsia="华文楷体"/>
          <w:sz w:val="24"/>
        </w:rPr>
        <w:t>活力</w:t>
      </w:r>
      <w:r>
        <w:rPr>
          <w:rFonts w:ascii="华文楷体" w:hAnsi="华文楷体" w:eastAsia="华文楷体"/>
          <w:sz w:val="24"/>
        </w:rPr>
        <w:t>、经济走廊车流特征及碳减排贡献</w:t>
      </w:r>
      <w:r>
        <w:rPr>
          <w:rFonts w:hint="eastAsia" w:ascii="华文楷体" w:hAnsi="华文楷体" w:eastAsia="华文楷体"/>
          <w:sz w:val="24"/>
        </w:rPr>
        <w:t>等</w:t>
      </w:r>
      <w:r>
        <w:rPr>
          <w:rFonts w:ascii="华文楷体" w:hAnsi="华文楷体" w:eastAsia="华文楷体"/>
          <w:sz w:val="24"/>
        </w:rPr>
        <w:t>指标</w:t>
      </w:r>
      <w:r>
        <w:rPr>
          <w:rFonts w:hint="eastAsia" w:ascii="华文楷体" w:hAnsi="华文楷体" w:eastAsia="华文楷体"/>
          <w:sz w:val="24"/>
        </w:rPr>
        <w:t>进行分析。</w:t>
      </w:r>
    </w:p>
    <w:bookmarkEnd w:id="10"/>
    <w:p w14:paraId="101BBD22">
      <w:pPr>
        <w:pStyle w:val="4"/>
        <w:rPr>
          <w:rFonts w:hint="eastAsia" w:ascii="华文楷体" w:hAnsi="华文楷体" w:eastAsia="华文楷体"/>
          <w:b/>
          <w:bCs/>
          <w:color w:val="000000" w:themeColor="text1"/>
          <w:sz w:val="24"/>
          <w:szCs w:val="24"/>
          <w14:textFill>
            <w14:solidFill>
              <w14:schemeClr w14:val="tx1"/>
            </w14:solidFill>
          </w14:textFill>
        </w:rPr>
      </w:pPr>
      <w:bookmarkStart w:id="11" w:name="OLE_LINK158"/>
      <w:r>
        <w:rPr>
          <w:rFonts w:ascii="华文楷体" w:hAnsi="华文楷体" w:eastAsia="华文楷体"/>
          <w:b/>
          <w:bCs/>
          <w:color w:val="000000" w:themeColor="text1"/>
          <w:sz w:val="24"/>
          <w:szCs w:val="24"/>
          <w14:textFill>
            <w14:solidFill>
              <w14:schemeClr w14:val="tx1"/>
            </w14:solidFill>
          </w14:textFill>
        </w:rPr>
        <w:t xml:space="preserve">2.2.1 </w:t>
      </w:r>
      <w:bookmarkStart w:id="12" w:name="OLE_LINK57"/>
      <w:r>
        <w:rPr>
          <w:rFonts w:ascii="华文楷体" w:hAnsi="华文楷体" w:eastAsia="华文楷体"/>
          <w:b/>
          <w:bCs/>
          <w:color w:val="000000" w:themeColor="text1"/>
          <w:sz w:val="24"/>
          <w:szCs w:val="24"/>
          <w14:textFill>
            <w14:solidFill>
              <w14:schemeClr w14:val="tx1"/>
            </w14:solidFill>
          </w14:textFill>
        </w:rPr>
        <w:t>区域经济活力</w:t>
      </w:r>
      <w:bookmarkEnd w:id="12"/>
      <w:r>
        <w:rPr>
          <w:rFonts w:hint="eastAsia" w:ascii="华文楷体" w:hAnsi="华文楷体" w:eastAsia="华文楷体"/>
          <w:b/>
          <w:bCs/>
          <w:color w:val="000000" w:themeColor="text1"/>
          <w:sz w:val="24"/>
          <w:szCs w:val="24"/>
          <w14:textFill>
            <w14:solidFill>
              <w14:schemeClr w14:val="tx1"/>
            </w14:solidFill>
          </w14:textFill>
        </w:rPr>
        <w:t>分析</w:t>
      </w:r>
    </w:p>
    <w:bookmarkEnd w:id="11"/>
    <w:p w14:paraId="68939796">
      <w:pPr>
        <w:ind w:firstLine="480" w:firstLineChars="200"/>
        <w:jc w:val="both"/>
        <w:rPr>
          <w:rFonts w:hint="eastAsia" w:ascii="华文楷体" w:hAnsi="华文楷体" w:eastAsia="华文楷体"/>
          <w:sz w:val="24"/>
        </w:rPr>
      </w:pPr>
      <w:bookmarkStart w:id="13" w:name="OLE_LINK339"/>
      <w:r>
        <w:rPr>
          <w:rFonts w:hint="eastAsia" w:ascii="华文楷体" w:hAnsi="华文楷体" w:eastAsia="华文楷体"/>
          <w:sz w:val="24"/>
        </w:rPr>
        <w:t>区域经济活力分析</w:t>
      </w:r>
      <w:bookmarkEnd w:id="13"/>
      <w:r>
        <w:rPr>
          <w:rFonts w:ascii="华文楷体" w:hAnsi="华文楷体" w:eastAsia="华文楷体"/>
          <w:sz w:val="24"/>
        </w:rPr>
        <w:t>通过监测</w:t>
      </w:r>
      <w:r>
        <w:rPr>
          <w:rFonts w:hint="eastAsia" w:ascii="华文楷体" w:hAnsi="华文楷体" w:eastAsia="华文楷体"/>
          <w:sz w:val="24"/>
        </w:rPr>
        <w:t>区域车流量占所有城市车流量比重</w:t>
      </w:r>
      <w:r>
        <w:rPr>
          <w:rFonts w:ascii="华文楷体" w:hAnsi="华文楷体" w:eastAsia="华文楷体"/>
          <w:sz w:val="24"/>
        </w:rPr>
        <w:t>、重型货车占比和非本地货车占比等关键维度，构建区域经济活力指数，为区域经济运行提供高频、客观的</w:t>
      </w:r>
      <w:r>
        <w:rPr>
          <w:rFonts w:hint="eastAsia" w:ascii="华文楷体" w:hAnsi="华文楷体" w:eastAsia="华文楷体"/>
          <w:sz w:val="24"/>
        </w:rPr>
        <w:t>“</w:t>
      </w:r>
      <w:r>
        <w:rPr>
          <w:rFonts w:ascii="华文楷体" w:hAnsi="华文楷体" w:eastAsia="华文楷体"/>
          <w:sz w:val="24"/>
        </w:rPr>
        <w:t>晴雨表</w:t>
      </w:r>
      <w:r>
        <w:rPr>
          <w:rFonts w:hint="eastAsia" w:ascii="华文楷体" w:hAnsi="华文楷体" w:eastAsia="华文楷体"/>
          <w:sz w:val="24"/>
        </w:rPr>
        <w:t>”</w:t>
      </w:r>
      <w:r>
        <w:rPr>
          <w:rFonts w:ascii="华文楷体" w:hAnsi="华文楷体" w:eastAsia="华文楷体"/>
          <w:sz w:val="24"/>
        </w:rPr>
        <w:t>。</w:t>
      </w:r>
      <w:r>
        <w:rPr>
          <w:rFonts w:hint="eastAsia" w:ascii="华文楷体" w:hAnsi="华文楷体" w:eastAsia="华文楷体"/>
          <w:sz w:val="24"/>
        </w:rPr>
        <w:t>指标</w:t>
      </w:r>
      <w:r>
        <w:rPr>
          <w:rFonts w:ascii="华文楷体" w:hAnsi="华文楷体" w:eastAsia="华文楷体"/>
          <w:sz w:val="24"/>
        </w:rPr>
        <w:t>展示区域经济活力分布，提供月、年时间维度的经济活力变化趋势分析，以及跨区域、跨时间段的经济活力对比分析。</w:t>
      </w:r>
    </w:p>
    <w:p w14:paraId="27B6415F">
      <w:pPr>
        <w:ind w:firstLine="480" w:firstLineChars="200"/>
        <w:jc w:val="both"/>
        <w:rPr>
          <w:rFonts w:hint="eastAsia" w:ascii="华文楷体" w:hAnsi="华文楷体" w:eastAsia="华文楷体"/>
          <w:sz w:val="24"/>
        </w:rPr>
      </w:pPr>
      <w:r>
        <w:rPr>
          <w:rFonts w:ascii="华文楷体" w:hAnsi="华文楷体" w:eastAsia="华文楷体"/>
          <w:sz w:val="24"/>
        </w:rPr>
        <w:t>作为经济运行的先行指标，该</w:t>
      </w:r>
      <w:r>
        <w:rPr>
          <w:rFonts w:hint="eastAsia" w:ascii="华文楷体" w:hAnsi="华文楷体" w:eastAsia="华文楷体"/>
          <w:sz w:val="24"/>
        </w:rPr>
        <w:t>指标</w:t>
      </w:r>
      <w:r>
        <w:rPr>
          <w:rFonts w:ascii="华文楷体" w:hAnsi="华文楷体" w:eastAsia="华文楷体"/>
          <w:sz w:val="24"/>
        </w:rPr>
        <w:t>能及时捕捉经济活跃度变化，帮助政府和企业把握市场信心变化，实现经济活力的实时监测与预警，避免传统经济指标的滞后性问题。</w:t>
      </w:r>
    </w:p>
    <w:p w14:paraId="4FDFCE43">
      <w:pPr>
        <w:ind w:firstLine="420"/>
        <w:jc w:val="center"/>
        <w:rPr>
          <w:rFonts w:hint="eastAsia" w:ascii="华文楷体" w:hAnsi="华文楷体" w:eastAsia="华文楷体"/>
          <w:sz w:val="24"/>
        </w:rPr>
      </w:pPr>
      <w:bookmarkStart w:id="14" w:name="OLE_LINK44"/>
      <w:bookmarkStart w:id="15" w:name="OLE_LINK161"/>
      <w:bookmarkStart w:id="16" w:name="OLE_LINK86"/>
      <w:bookmarkStart w:id="17" w:name="OLE_LINK16"/>
      <w:bookmarkStart w:id="18" w:name="OLE_LINK115"/>
      <w:bookmarkStart w:id="19" w:name="OLE_LINK24"/>
      <w:r>
        <w:rPr>
          <w:rFonts w:hint="eastAsia" w:ascii="华文楷体" w:hAnsi="华文楷体" w:eastAsia="华文楷体"/>
          <w:sz w:val="24"/>
        </w:rPr>
        <w:t>表2-1 2025年</w:t>
      </w:r>
      <w:bookmarkStart w:id="20" w:name="OLE_LINK43"/>
      <w:r>
        <w:rPr>
          <w:rFonts w:hint="eastAsia" w:ascii="华文楷体" w:hAnsi="华文楷体" w:eastAsia="华文楷体"/>
          <w:sz w:val="24"/>
        </w:rPr>
        <w:t>各市区经济活力指数</w:t>
      </w:r>
      <w:bookmarkEnd w:id="20"/>
      <w:r>
        <w:rPr>
          <w:rFonts w:hint="eastAsia" w:ascii="华文楷体" w:hAnsi="华文楷体" w:eastAsia="华文楷体"/>
          <w:sz w:val="24"/>
        </w:rPr>
        <w:t>与GDP比对</w:t>
      </w:r>
    </w:p>
    <w:bookmarkEnd w:id="14"/>
    <w:tbl>
      <w:tblPr>
        <w:tblStyle w:val="48"/>
        <w:tblW w:w="8080" w:type="dxa"/>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6"/>
        <w:gridCol w:w="1545"/>
        <w:gridCol w:w="1545"/>
        <w:gridCol w:w="1545"/>
        <w:gridCol w:w="1545"/>
        <w:gridCol w:w="354"/>
      </w:tblGrid>
      <w:tr w14:paraId="280BE7C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tcBorders>
              <w:bottom w:val="single" w:color="7E7E7E" w:themeColor="text1" w:themeTint="80" w:sz="4" w:space="0"/>
              <w:insideH w:val="single" w:sz="4" w:space="0"/>
            </w:tcBorders>
            <w:noWrap/>
            <w:vAlign w:val="center"/>
          </w:tcPr>
          <w:p w14:paraId="60A1EA8B">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bookmarkStart w:id="21" w:name="_Hlk218807605"/>
            <w:r>
              <w:rPr>
                <w:rFonts w:hint="eastAsia" w:ascii="华文楷体" w:hAnsi="华文楷体" w:eastAsia="华文楷体" w:cs="宋体"/>
                <w:b/>
                <w:bCs/>
                <w:color w:val="000000"/>
                <w:kern w:val="0"/>
                <w:sz w:val="18"/>
                <w:szCs w:val="18"/>
                <w14:ligatures w14:val="none"/>
              </w:rPr>
              <w:t>城</w:t>
            </w:r>
            <w:bookmarkStart w:id="22" w:name="OLE_LINK84"/>
            <w:r>
              <w:rPr>
                <w:rFonts w:hint="eastAsia" w:ascii="华文楷体" w:hAnsi="华文楷体" w:eastAsia="华文楷体" w:cs="宋体"/>
                <w:b/>
                <w:bCs/>
                <w:color w:val="000000"/>
                <w:kern w:val="0"/>
                <w:sz w:val="18"/>
                <w:szCs w:val="18"/>
                <w14:ligatures w14:val="none"/>
              </w:rPr>
              <w:t>市</w:t>
            </w:r>
            <w:bookmarkEnd w:id="22"/>
          </w:p>
        </w:tc>
        <w:tc>
          <w:tcPr>
            <w:tcW w:w="1545" w:type="dxa"/>
            <w:tcBorders>
              <w:bottom w:val="single" w:color="7E7E7E" w:themeColor="text1" w:themeTint="80" w:sz="4" w:space="0"/>
              <w:insideH w:val="single" w:sz="4" w:space="0"/>
            </w:tcBorders>
            <w:noWrap/>
            <w:vAlign w:val="center"/>
          </w:tcPr>
          <w:p w14:paraId="3EAFBF79">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区域经济活力指数</w:t>
            </w:r>
          </w:p>
        </w:tc>
        <w:tc>
          <w:tcPr>
            <w:tcW w:w="1545" w:type="dxa"/>
            <w:tcBorders>
              <w:bottom w:val="single" w:color="7E7E7E" w:themeColor="text1" w:themeTint="80" w:sz="4" w:space="0"/>
              <w:insideH w:val="single" w:sz="4" w:space="0"/>
            </w:tcBorders>
            <w:noWrap/>
            <w:vAlign w:val="center"/>
          </w:tcPr>
          <w:p w14:paraId="77514ACA">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2025年GDP(亿元) 预测</w:t>
            </w:r>
          </w:p>
        </w:tc>
        <w:tc>
          <w:tcPr>
            <w:tcW w:w="1545" w:type="dxa"/>
            <w:tcBorders>
              <w:bottom w:val="single" w:color="7E7E7E" w:themeColor="text1" w:themeTint="80" w:sz="4" w:space="0"/>
              <w:insideH w:val="single" w:sz="4" w:space="0"/>
            </w:tcBorders>
            <w:noWrap/>
            <w:vAlign w:val="center"/>
          </w:tcPr>
          <w:p w14:paraId="04AF0C5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区域经济活力指数排名</w:t>
            </w:r>
          </w:p>
        </w:tc>
        <w:tc>
          <w:tcPr>
            <w:tcW w:w="1545" w:type="dxa"/>
            <w:tcBorders>
              <w:bottom w:val="single" w:color="7E7E7E" w:themeColor="text1" w:themeTint="80" w:sz="4" w:space="0"/>
              <w:insideH w:val="single" w:sz="4" w:space="0"/>
            </w:tcBorders>
            <w:noWrap/>
            <w:vAlign w:val="center"/>
          </w:tcPr>
          <w:p w14:paraId="4A782650">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2025年GDP排名</w:t>
            </w:r>
          </w:p>
        </w:tc>
      </w:tr>
      <w:tr w14:paraId="46B68B6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tcBorders>
              <w:top w:val="single" w:color="7E7E7E" w:themeColor="text1" w:themeTint="80" w:sz="4" w:space="0"/>
              <w:bottom w:val="single" w:color="7E7E7E" w:themeColor="text1" w:themeTint="80" w:sz="4" w:space="0"/>
            </w:tcBorders>
            <w:noWrap/>
            <w:vAlign w:val="center"/>
          </w:tcPr>
          <w:p w14:paraId="6BC6B479">
            <w:pPr>
              <w:widowControl/>
              <w:spacing w:after="0" w:line="240" w:lineRule="auto"/>
              <w:jc w:val="center"/>
              <w:rPr>
                <w:rFonts w:hint="eastAsia" w:ascii="华文楷体" w:hAnsi="华文楷体" w:eastAsia="华文楷体" w:cs="宋体"/>
                <w:b/>
                <w:bCs/>
                <w:color w:val="000000"/>
                <w:kern w:val="0"/>
                <w:sz w:val="18"/>
                <w:szCs w:val="18"/>
                <w14:ligatures w14:val="none"/>
              </w:rPr>
            </w:pPr>
            <w:bookmarkStart w:id="23" w:name="_Hlk219735342"/>
            <w:r>
              <w:rPr>
                <w:rFonts w:hint="eastAsia" w:ascii="华文楷体" w:hAnsi="华文楷体" w:eastAsia="华文楷体" w:cs="宋体"/>
                <w:b/>
                <w:bCs/>
                <w:color w:val="000000"/>
                <w:kern w:val="0"/>
                <w:sz w:val="18"/>
                <w:szCs w:val="18"/>
                <w14:ligatures w14:val="none"/>
              </w:rPr>
              <w:t>杭州市</w:t>
            </w:r>
          </w:p>
        </w:tc>
        <w:tc>
          <w:tcPr>
            <w:tcW w:w="1545" w:type="dxa"/>
            <w:tcBorders>
              <w:top w:val="single" w:color="7E7E7E" w:themeColor="text1" w:themeTint="80" w:sz="4" w:space="0"/>
              <w:bottom w:val="single" w:color="7E7E7E" w:themeColor="text1" w:themeTint="80" w:sz="4" w:space="0"/>
            </w:tcBorders>
            <w:noWrap/>
            <w:vAlign w:val="center"/>
          </w:tcPr>
          <w:p w14:paraId="41066C3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5,238.97</w:t>
            </w:r>
          </w:p>
        </w:tc>
        <w:tc>
          <w:tcPr>
            <w:tcW w:w="1545" w:type="dxa"/>
            <w:tcBorders>
              <w:top w:val="single" w:color="7E7E7E" w:themeColor="text1" w:themeTint="80" w:sz="4" w:space="0"/>
              <w:bottom w:val="single" w:color="7E7E7E" w:themeColor="text1" w:themeTint="80" w:sz="4" w:space="0"/>
            </w:tcBorders>
            <w:noWrap/>
            <w:vAlign w:val="bottom"/>
          </w:tcPr>
          <w:p w14:paraId="2E731164">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22,953.00</w:t>
            </w:r>
          </w:p>
        </w:tc>
        <w:tc>
          <w:tcPr>
            <w:tcW w:w="1545" w:type="dxa"/>
            <w:tcBorders>
              <w:top w:val="single" w:color="7E7E7E" w:themeColor="text1" w:themeTint="80" w:sz="4" w:space="0"/>
              <w:bottom w:val="single" w:color="7E7E7E" w:themeColor="text1" w:themeTint="80" w:sz="4" w:space="0"/>
            </w:tcBorders>
            <w:noWrap/>
            <w:vAlign w:val="bottom"/>
          </w:tcPr>
          <w:p w14:paraId="0F6EE9C5">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w:t>
            </w:r>
          </w:p>
        </w:tc>
        <w:tc>
          <w:tcPr>
            <w:tcW w:w="1545" w:type="dxa"/>
            <w:tcBorders>
              <w:top w:val="single" w:color="7E7E7E" w:themeColor="text1" w:themeTint="80" w:sz="4" w:space="0"/>
              <w:bottom w:val="single" w:color="7E7E7E" w:themeColor="text1" w:themeTint="80" w:sz="4" w:space="0"/>
            </w:tcBorders>
            <w:noWrap/>
            <w:vAlign w:val="bottom"/>
          </w:tcPr>
          <w:p w14:paraId="2D0AE623">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w:t>
            </w:r>
          </w:p>
        </w:tc>
      </w:tr>
      <w:bookmarkEnd w:id="23"/>
      <w:tr w14:paraId="3EAD415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noWrap/>
            <w:vAlign w:val="center"/>
          </w:tcPr>
          <w:p w14:paraId="640E5B0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宁波市</w:t>
            </w:r>
          </w:p>
        </w:tc>
        <w:tc>
          <w:tcPr>
            <w:tcW w:w="1545" w:type="dxa"/>
            <w:noWrap/>
            <w:vAlign w:val="center"/>
          </w:tcPr>
          <w:p w14:paraId="15C65A35">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3,396.52</w:t>
            </w:r>
          </w:p>
        </w:tc>
        <w:tc>
          <w:tcPr>
            <w:tcW w:w="1545" w:type="dxa"/>
            <w:noWrap/>
            <w:vAlign w:val="bottom"/>
          </w:tcPr>
          <w:p w14:paraId="757F6E1B">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19,055.09</w:t>
            </w:r>
          </w:p>
        </w:tc>
        <w:tc>
          <w:tcPr>
            <w:tcW w:w="1545" w:type="dxa"/>
            <w:noWrap/>
            <w:vAlign w:val="bottom"/>
          </w:tcPr>
          <w:p w14:paraId="34AFED42">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w:t>
            </w:r>
          </w:p>
        </w:tc>
        <w:tc>
          <w:tcPr>
            <w:tcW w:w="1545" w:type="dxa"/>
            <w:noWrap/>
            <w:vAlign w:val="bottom"/>
          </w:tcPr>
          <w:p w14:paraId="5C2DC2B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w:t>
            </w:r>
          </w:p>
        </w:tc>
      </w:tr>
      <w:tr w14:paraId="7AA4148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tcBorders>
              <w:top w:val="single" w:color="7E7E7E" w:themeColor="text1" w:themeTint="80" w:sz="4" w:space="0"/>
              <w:bottom w:val="single" w:color="7E7E7E" w:themeColor="text1" w:themeTint="80" w:sz="4" w:space="0"/>
            </w:tcBorders>
            <w:noWrap/>
            <w:vAlign w:val="center"/>
          </w:tcPr>
          <w:p w14:paraId="17AF9BEA">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w:t>
            </w:r>
          </w:p>
        </w:tc>
        <w:tc>
          <w:tcPr>
            <w:tcW w:w="1545" w:type="dxa"/>
            <w:tcBorders>
              <w:top w:val="single" w:color="7E7E7E" w:themeColor="text1" w:themeTint="80" w:sz="4" w:space="0"/>
              <w:bottom w:val="single" w:color="7E7E7E" w:themeColor="text1" w:themeTint="80" w:sz="4" w:space="0"/>
            </w:tcBorders>
            <w:noWrap/>
            <w:vAlign w:val="center"/>
          </w:tcPr>
          <w:p w14:paraId="46FD3188">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2,301.99</w:t>
            </w:r>
          </w:p>
        </w:tc>
        <w:tc>
          <w:tcPr>
            <w:tcW w:w="1545" w:type="dxa"/>
            <w:tcBorders>
              <w:top w:val="single" w:color="7E7E7E" w:themeColor="text1" w:themeTint="80" w:sz="4" w:space="0"/>
              <w:bottom w:val="single" w:color="7E7E7E" w:themeColor="text1" w:themeTint="80" w:sz="4" w:space="0"/>
            </w:tcBorders>
            <w:noWrap/>
            <w:vAlign w:val="bottom"/>
          </w:tcPr>
          <w:p w14:paraId="7A61F9DB">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7,948.01</w:t>
            </w:r>
          </w:p>
        </w:tc>
        <w:tc>
          <w:tcPr>
            <w:tcW w:w="1545" w:type="dxa"/>
            <w:tcBorders>
              <w:top w:val="single" w:color="7E7E7E" w:themeColor="text1" w:themeTint="80" w:sz="4" w:space="0"/>
              <w:bottom w:val="single" w:color="7E7E7E" w:themeColor="text1" w:themeTint="80" w:sz="4" w:space="0"/>
            </w:tcBorders>
            <w:noWrap/>
            <w:vAlign w:val="bottom"/>
          </w:tcPr>
          <w:p w14:paraId="1BBB4364">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3</w:t>
            </w:r>
          </w:p>
        </w:tc>
        <w:tc>
          <w:tcPr>
            <w:tcW w:w="1545" w:type="dxa"/>
            <w:tcBorders>
              <w:top w:val="single" w:color="7E7E7E" w:themeColor="text1" w:themeTint="80" w:sz="4" w:space="0"/>
              <w:bottom w:val="single" w:color="7E7E7E" w:themeColor="text1" w:themeTint="80" w:sz="4" w:space="0"/>
            </w:tcBorders>
            <w:noWrap/>
            <w:vAlign w:val="bottom"/>
          </w:tcPr>
          <w:p w14:paraId="7A151E7A">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5</w:t>
            </w:r>
          </w:p>
        </w:tc>
      </w:tr>
      <w:tr w14:paraId="681B665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noWrap/>
            <w:vAlign w:val="center"/>
          </w:tcPr>
          <w:p w14:paraId="03B40C16">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湖州市</w:t>
            </w:r>
          </w:p>
        </w:tc>
        <w:tc>
          <w:tcPr>
            <w:tcW w:w="1545" w:type="dxa"/>
            <w:noWrap/>
            <w:vAlign w:val="center"/>
          </w:tcPr>
          <w:p w14:paraId="2D404C7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2,025.43</w:t>
            </w:r>
          </w:p>
        </w:tc>
        <w:tc>
          <w:tcPr>
            <w:tcW w:w="1545" w:type="dxa"/>
            <w:noWrap/>
            <w:vAlign w:val="bottom"/>
          </w:tcPr>
          <w:p w14:paraId="16C2F622">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4,424.09</w:t>
            </w:r>
          </w:p>
        </w:tc>
        <w:tc>
          <w:tcPr>
            <w:tcW w:w="1545" w:type="dxa"/>
            <w:noWrap/>
            <w:vAlign w:val="bottom"/>
          </w:tcPr>
          <w:p w14:paraId="50693BF6">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4</w:t>
            </w:r>
          </w:p>
        </w:tc>
        <w:tc>
          <w:tcPr>
            <w:tcW w:w="1545" w:type="dxa"/>
            <w:noWrap/>
            <w:vAlign w:val="bottom"/>
          </w:tcPr>
          <w:p w14:paraId="702E1C63">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8</w:t>
            </w:r>
          </w:p>
        </w:tc>
      </w:tr>
      <w:tr w14:paraId="4C58ED7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tcBorders>
              <w:top w:val="single" w:color="7E7E7E" w:themeColor="text1" w:themeTint="80" w:sz="4" w:space="0"/>
              <w:bottom w:val="single" w:color="7E7E7E" w:themeColor="text1" w:themeTint="80" w:sz="4" w:space="0"/>
            </w:tcBorders>
            <w:noWrap/>
            <w:vAlign w:val="center"/>
          </w:tcPr>
          <w:p w14:paraId="7E330A9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金华市</w:t>
            </w:r>
          </w:p>
        </w:tc>
        <w:tc>
          <w:tcPr>
            <w:tcW w:w="1545" w:type="dxa"/>
            <w:tcBorders>
              <w:top w:val="single" w:color="7E7E7E" w:themeColor="text1" w:themeTint="80" w:sz="4" w:space="0"/>
              <w:bottom w:val="single" w:color="7E7E7E" w:themeColor="text1" w:themeTint="80" w:sz="4" w:space="0"/>
            </w:tcBorders>
            <w:noWrap/>
            <w:vAlign w:val="center"/>
          </w:tcPr>
          <w:p w14:paraId="07298ED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1,966.68</w:t>
            </w:r>
          </w:p>
        </w:tc>
        <w:tc>
          <w:tcPr>
            <w:tcW w:w="1545" w:type="dxa"/>
            <w:tcBorders>
              <w:top w:val="single" w:color="7E7E7E" w:themeColor="text1" w:themeTint="80" w:sz="4" w:space="0"/>
              <w:bottom w:val="single" w:color="7E7E7E" w:themeColor="text1" w:themeTint="80" w:sz="4" w:space="0"/>
            </w:tcBorders>
            <w:noWrap/>
            <w:vAlign w:val="bottom"/>
          </w:tcPr>
          <w:p w14:paraId="605A3F4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8,787.03</w:t>
            </w:r>
          </w:p>
        </w:tc>
        <w:tc>
          <w:tcPr>
            <w:tcW w:w="1545" w:type="dxa"/>
            <w:tcBorders>
              <w:top w:val="single" w:color="7E7E7E" w:themeColor="text1" w:themeTint="80" w:sz="4" w:space="0"/>
              <w:bottom w:val="single" w:color="7E7E7E" w:themeColor="text1" w:themeTint="80" w:sz="4" w:space="0"/>
            </w:tcBorders>
            <w:noWrap/>
            <w:vAlign w:val="bottom"/>
          </w:tcPr>
          <w:p w14:paraId="013B3B5A">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5</w:t>
            </w:r>
          </w:p>
        </w:tc>
        <w:tc>
          <w:tcPr>
            <w:tcW w:w="1545" w:type="dxa"/>
            <w:tcBorders>
              <w:top w:val="single" w:color="7E7E7E" w:themeColor="text1" w:themeTint="80" w:sz="4" w:space="0"/>
              <w:bottom w:val="single" w:color="7E7E7E" w:themeColor="text1" w:themeTint="80" w:sz="4" w:space="0"/>
            </w:tcBorders>
            <w:noWrap/>
            <w:vAlign w:val="bottom"/>
          </w:tcPr>
          <w:p w14:paraId="58609F05">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4</w:t>
            </w:r>
          </w:p>
        </w:tc>
      </w:tr>
      <w:tr w14:paraId="2629A76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noWrap/>
            <w:vAlign w:val="center"/>
          </w:tcPr>
          <w:p w14:paraId="0A99FCF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绍兴市</w:t>
            </w:r>
          </w:p>
        </w:tc>
        <w:tc>
          <w:tcPr>
            <w:tcW w:w="1545" w:type="dxa"/>
            <w:noWrap/>
            <w:vAlign w:val="center"/>
          </w:tcPr>
          <w:p w14:paraId="50896AD0">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1,710.07</w:t>
            </w:r>
          </w:p>
        </w:tc>
        <w:tc>
          <w:tcPr>
            <w:tcW w:w="1545" w:type="dxa"/>
            <w:noWrap/>
            <w:vAlign w:val="bottom"/>
          </w:tcPr>
          <w:p w14:paraId="42D38F6B">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7,271.78</w:t>
            </w:r>
          </w:p>
        </w:tc>
        <w:tc>
          <w:tcPr>
            <w:tcW w:w="1545" w:type="dxa"/>
            <w:noWrap/>
            <w:vAlign w:val="bottom"/>
          </w:tcPr>
          <w:p w14:paraId="4931DE40">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6</w:t>
            </w:r>
          </w:p>
        </w:tc>
        <w:tc>
          <w:tcPr>
            <w:tcW w:w="1545" w:type="dxa"/>
            <w:noWrap/>
            <w:vAlign w:val="bottom"/>
          </w:tcPr>
          <w:p w14:paraId="19282A0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6</w:t>
            </w:r>
          </w:p>
        </w:tc>
      </w:tr>
      <w:tr w14:paraId="386C0F3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546" w:type="dxa"/>
            <w:tcBorders>
              <w:top w:val="single" w:color="7E7E7E" w:themeColor="text1" w:themeTint="80" w:sz="4" w:space="0"/>
              <w:bottom w:val="single" w:color="7E7E7E" w:themeColor="text1" w:themeTint="80" w:sz="4" w:space="0"/>
            </w:tcBorders>
            <w:noWrap/>
            <w:vAlign w:val="center"/>
          </w:tcPr>
          <w:p w14:paraId="27076632">
            <w:pPr>
              <w:widowControl/>
              <w:spacing w:after="0" w:line="240" w:lineRule="auto"/>
              <w:jc w:val="center"/>
              <w:rPr>
                <w:rFonts w:hint="eastAsia" w:ascii="华文楷体" w:hAnsi="华文楷体" w:eastAsia="华文楷体" w:cs="宋体"/>
                <w:b/>
                <w:bCs/>
                <w:color w:val="000000"/>
                <w:kern w:val="0"/>
                <w:sz w:val="20"/>
                <w:szCs w:val="20"/>
                <w14:ligatures w14:val="none"/>
              </w:rPr>
            </w:pPr>
            <w:r>
              <w:rPr>
                <w:rFonts w:hint="eastAsia" w:ascii="华文楷体" w:hAnsi="华文楷体" w:eastAsia="华文楷体" w:cs="宋体"/>
                <w:b/>
                <w:bCs/>
                <w:color w:val="000000"/>
                <w:kern w:val="0"/>
                <w:sz w:val="20"/>
                <w:szCs w:val="20"/>
                <w14:ligatures w14:val="none"/>
              </w:rPr>
              <w:t>温州市</w:t>
            </w:r>
          </w:p>
        </w:tc>
        <w:tc>
          <w:tcPr>
            <w:tcW w:w="1545" w:type="dxa"/>
            <w:tcBorders>
              <w:top w:val="single" w:color="7E7E7E" w:themeColor="text1" w:themeTint="80" w:sz="4" w:space="0"/>
              <w:bottom w:val="single" w:color="7E7E7E" w:themeColor="text1" w:themeTint="80" w:sz="4" w:space="0"/>
            </w:tcBorders>
            <w:noWrap/>
            <w:vAlign w:val="center"/>
          </w:tcPr>
          <w:p w14:paraId="61E84ED9">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1,276.23</w:t>
            </w:r>
          </w:p>
        </w:tc>
        <w:tc>
          <w:tcPr>
            <w:tcW w:w="1545" w:type="dxa"/>
            <w:tcBorders>
              <w:top w:val="single" w:color="7E7E7E" w:themeColor="text1" w:themeTint="80" w:sz="4" w:space="0"/>
              <w:bottom w:val="single" w:color="7E7E7E" w:themeColor="text1" w:themeTint="80" w:sz="4" w:space="0"/>
            </w:tcBorders>
            <w:noWrap/>
            <w:vAlign w:val="center"/>
          </w:tcPr>
          <w:p w14:paraId="2825CE00">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10,204.74</w:t>
            </w:r>
          </w:p>
        </w:tc>
        <w:tc>
          <w:tcPr>
            <w:tcW w:w="1545" w:type="dxa"/>
            <w:tcBorders>
              <w:top w:val="single" w:color="7E7E7E" w:themeColor="text1" w:themeTint="80" w:sz="4" w:space="0"/>
              <w:bottom w:val="single" w:color="7E7E7E" w:themeColor="text1" w:themeTint="80" w:sz="4" w:space="0"/>
            </w:tcBorders>
            <w:noWrap/>
            <w:vAlign w:val="center"/>
          </w:tcPr>
          <w:p w14:paraId="4D5C9072">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7</w:t>
            </w:r>
          </w:p>
        </w:tc>
        <w:tc>
          <w:tcPr>
            <w:tcW w:w="1545" w:type="dxa"/>
            <w:tcBorders>
              <w:top w:val="single" w:color="7E7E7E" w:themeColor="text1" w:themeTint="80" w:sz="4" w:space="0"/>
              <w:bottom w:val="single" w:color="7E7E7E" w:themeColor="text1" w:themeTint="80" w:sz="4" w:space="0"/>
            </w:tcBorders>
            <w:noWrap/>
            <w:vAlign w:val="center"/>
          </w:tcPr>
          <w:p w14:paraId="4EE63435">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3</w:t>
            </w:r>
          </w:p>
        </w:tc>
        <w:tc>
          <w:tcPr>
            <w:tcW w:w="354" w:type="dxa"/>
          </w:tcPr>
          <w:p w14:paraId="184D2B4C">
            <w:pPr>
              <w:widowControl/>
              <w:spacing w:after="0" w:line="240" w:lineRule="auto"/>
              <w:rPr>
                <w:rFonts w:hint="eastAsia"/>
              </w:rPr>
            </w:pPr>
          </w:p>
        </w:tc>
      </w:tr>
      <w:tr w14:paraId="1AAF613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noWrap/>
            <w:vAlign w:val="center"/>
          </w:tcPr>
          <w:p w14:paraId="6382B61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w:t>
            </w:r>
          </w:p>
        </w:tc>
        <w:tc>
          <w:tcPr>
            <w:tcW w:w="1545" w:type="dxa"/>
            <w:noWrap/>
            <w:vAlign w:val="center"/>
          </w:tcPr>
          <w:p w14:paraId="28903BAA">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1,227.12</w:t>
            </w:r>
          </w:p>
        </w:tc>
        <w:tc>
          <w:tcPr>
            <w:tcW w:w="1545" w:type="dxa"/>
            <w:noWrap/>
            <w:vAlign w:val="bottom"/>
          </w:tcPr>
          <w:p w14:paraId="404DC226">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6,989.22</w:t>
            </w:r>
          </w:p>
        </w:tc>
        <w:tc>
          <w:tcPr>
            <w:tcW w:w="1545" w:type="dxa"/>
            <w:noWrap/>
            <w:vAlign w:val="bottom"/>
          </w:tcPr>
          <w:p w14:paraId="021DFA09">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8</w:t>
            </w:r>
          </w:p>
        </w:tc>
        <w:tc>
          <w:tcPr>
            <w:tcW w:w="1545" w:type="dxa"/>
            <w:noWrap/>
            <w:vAlign w:val="bottom"/>
          </w:tcPr>
          <w:p w14:paraId="530DD0A8">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7</w:t>
            </w:r>
          </w:p>
        </w:tc>
      </w:tr>
      <w:tr w14:paraId="5AC2687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tcBorders>
              <w:top w:val="single" w:color="7E7E7E" w:themeColor="text1" w:themeTint="80" w:sz="4" w:space="0"/>
              <w:bottom w:val="single" w:color="7E7E7E" w:themeColor="text1" w:themeTint="80" w:sz="4" w:space="0"/>
            </w:tcBorders>
            <w:noWrap/>
            <w:vAlign w:val="center"/>
          </w:tcPr>
          <w:p w14:paraId="5530BEE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衢州市</w:t>
            </w:r>
          </w:p>
        </w:tc>
        <w:tc>
          <w:tcPr>
            <w:tcW w:w="1545" w:type="dxa"/>
            <w:tcBorders>
              <w:top w:val="single" w:color="7E7E7E" w:themeColor="text1" w:themeTint="80" w:sz="4" w:space="0"/>
              <w:bottom w:val="single" w:color="7E7E7E" w:themeColor="text1" w:themeTint="80" w:sz="4" w:space="0"/>
            </w:tcBorders>
            <w:noWrap/>
            <w:vAlign w:val="center"/>
          </w:tcPr>
          <w:p w14:paraId="4A17F0BE">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1,013.20</w:t>
            </w:r>
          </w:p>
        </w:tc>
        <w:tc>
          <w:tcPr>
            <w:tcW w:w="1545" w:type="dxa"/>
            <w:tcBorders>
              <w:top w:val="single" w:color="7E7E7E" w:themeColor="text1" w:themeTint="80" w:sz="4" w:space="0"/>
              <w:bottom w:val="single" w:color="7E7E7E" w:themeColor="text1" w:themeTint="80" w:sz="4" w:space="0"/>
            </w:tcBorders>
            <w:noWrap/>
            <w:vAlign w:val="bottom"/>
          </w:tcPr>
          <w:p w14:paraId="137B808B">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2,375.97</w:t>
            </w:r>
          </w:p>
        </w:tc>
        <w:tc>
          <w:tcPr>
            <w:tcW w:w="1545" w:type="dxa"/>
            <w:tcBorders>
              <w:top w:val="single" w:color="7E7E7E" w:themeColor="text1" w:themeTint="80" w:sz="4" w:space="0"/>
              <w:bottom w:val="single" w:color="7E7E7E" w:themeColor="text1" w:themeTint="80" w:sz="4" w:space="0"/>
            </w:tcBorders>
            <w:noWrap/>
            <w:vAlign w:val="bottom"/>
          </w:tcPr>
          <w:p w14:paraId="03FF0DF8">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9</w:t>
            </w:r>
          </w:p>
        </w:tc>
        <w:tc>
          <w:tcPr>
            <w:tcW w:w="1545" w:type="dxa"/>
            <w:tcBorders>
              <w:top w:val="single" w:color="7E7E7E" w:themeColor="text1" w:themeTint="80" w:sz="4" w:space="0"/>
              <w:bottom w:val="single" w:color="7E7E7E" w:themeColor="text1" w:themeTint="80" w:sz="4" w:space="0"/>
            </w:tcBorders>
            <w:noWrap/>
            <w:vAlign w:val="bottom"/>
          </w:tcPr>
          <w:p w14:paraId="6AC7A2C8">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9</w:t>
            </w:r>
          </w:p>
        </w:tc>
      </w:tr>
      <w:tr w14:paraId="4D2725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noWrap/>
            <w:vAlign w:val="center"/>
          </w:tcPr>
          <w:p w14:paraId="6F2E146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舟山市</w:t>
            </w:r>
          </w:p>
        </w:tc>
        <w:tc>
          <w:tcPr>
            <w:tcW w:w="1545" w:type="dxa"/>
            <w:noWrap/>
            <w:vAlign w:val="center"/>
          </w:tcPr>
          <w:p w14:paraId="55D114FF">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823.60</w:t>
            </w:r>
          </w:p>
        </w:tc>
        <w:tc>
          <w:tcPr>
            <w:tcW w:w="1545" w:type="dxa"/>
            <w:noWrap/>
            <w:vAlign w:val="bottom"/>
          </w:tcPr>
          <w:p w14:paraId="511F5E5E">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2,337.51</w:t>
            </w:r>
          </w:p>
        </w:tc>
        <w:tc>
          <w:tcPr>
            <w:tcW w:w="1545" w:type="dxa"/>
            <w:noWrap/>
            <w:vAlign w:val="bottom"/>
          </w:tcPr>
          <w:p w14:paraId="3B740CE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10</w:t>
            </w:r>
          </w:p>
        </w:tc>
        <w:tc>
          <w:tcPr>
            <w:tcW w:w="1545" w:type="dxa"/>
            <w:noWrap/>
            <w:vAlign w:val="bottom"/>
          </w:tcPr>
          <w:p w14:paraId="6E208C3A">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10</w:t>
            </w:r>
          </w:p>
        </w:tc>
      </w:tr>
      <w:tr w14:paraId="78B1B31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jc w:val="center"/>
        </w:trPr>
        <w:tc>
          <w:tcPr>
            <w:tcW w:w="1546" w:type="dxa"/>
            <w:tcBorders>
              <w:top w:val="single" w:color="7E7E7E" w:themeColor="text1" w:themeTint="80" w:sz="4" w:space="0"/>
              <w:bottom w:val="single" w:color="7E7E7E" w:themeColor="text1" w:themeTint="80" w:sz="4" w:space="0"/>
            </w:tcBorders>
            <w:noWrap/>
            <w:vAlign w:val="center"/>
          </w:tcPr>
          <w:p w14:paraId="71C3F57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w:t>
            </w:r>
          </w:p>
        </w:tc>
        <w:tc>
          <w:tcPr>
            <w:tcW w:w="1545" w:type="dxa"/>
            <w:tcBorders>
              <w:top w:val="single" w:color="7E7E7E" w:themeColor="text1" w:themeTint="80" w:sz="4" w:space="0"/>
              <w:bottom w:val="single" w:color="7E7E7E" w:themeColor="text1" w:themeTint="80" w:sz="4" w:space="0"/>
            </w:tcBorders>
            <w:noWrap/>
            <w:vAlign w:val="center"/>
          </w:tcPr>
          <w:p w14:paraId="05AC254E">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760.85</w:t>
            </w:r>
          </w:p>
        </w:tc>
        <w:tc>
          <w:tcPr>
            <w:tcW w:w="1545" w:type="dxa"/>
            <w:tcBorders>
              <w:top w:val="single" w:color="7E7E7E" w:themeColor="text1" w:themeTint="80" w:sz="4" w:space="0"/>
              <w:bottom w:val="single" w:color="7E7E7E" w:themeColor="text1" w:themeTint="80" w:sz="4" w:space="0"/>
            </w:tcBorders>
            <w:noWrap/>
            <w:vAlign w:val="bottom"/>
          </w:tcPr>
          <w:p w14:paraId="381FE3CC">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2,290.24</w:t>
            </w:r>
          </w:p>
        </w:tc>
        <w:tc>
          <w:tcPr>
            <w:tcW w:w="1545" w:type="dxa"/>
            <w:tcBorders>
              <w:top w:val="single" w:color="7E7E7E" w:themeColor="text1" w:themeTint="80" w:sz="4" w:space="0"/>
              <w:bottom w:val="single" w:color="7E7E7E" w:themeColor="text1" w:themeTint="80" w:sz="4" w:space="0"/>
            </w:tcBorders>
            <w:noWrap/>
            <w:vAlign w:val="bottom"/>
          </w:tcPr>
          <w:p w14:paraId="3A72E75F">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11</w:t>
            </w:r>
          </w:p>
        </w:tc>
        <w:tc>
          <w:tcPr>
            <w:tcW w:w="1545" w:type="dxa"/>
            <w:tcBorders>
              <w:top w:val="single" w:color="7E7E7E" w:themeColor="text1" w:themeTint="80" w:sz="4" w:space="0"/>
              <w:bottom w:val="single" w:color="7E7E7E" w:themeColor="text1" w:themeTint="80" w:sz="4" w:space="0"/>
            </w:tcBorders>
            <w:noWrap/>
            <w:vAlign w:val="bottom"/>
          </w:tcPr>
          <w:p w14:paraId="6522EE51">
            <w:pPr>
              <w:widowControl/>
              <w:spacing w:after="0" w:line="240" w:lineRule="auto"/>
              <w:jc w:val="center"/>
              <w:rPr>
                <w:rFonts w:hint="eastAsia" w:ascii="华文楷体" w:hAnsi="华文楷体" w:eastAsia="华文楷体" w:cs="宋体"/>
                <w:color w:val="000000"/>
                <w:kern w:val="0"/>
                <w:sz w:val="20"/>
                <w:szCs w:val="20"/>
                <w14:ligatures w14:val="none"/>
              </w:rPr>
            </w:pPr>
            <w:r>
              <w:rPr>
                <w:rFonts w:hint="eastAsia" w:ascii="华文楷体" w:hAnsi="华文楷体" w:eastAsia="华文楷体" w:cs="宋体"/>
                <w:color w:val="000000"/>
                <w:kern w:val="0"/>
                <w:sz w:val="20"/>
                <w:szCs w:val="20"/>
                <w14:ligatures w14:val="none"/>
              </w:rPr>
              <w:t>11</w:t>
            </w:r>
          </w:p>
        </w:tc>
      </w:tr>
      <w:bookmarkEnd w:id="15"/>
      <w:bookmarkEnd w:id="16"/>
      <w:bookmarkEnd w:id="21"/>
    </w:tbl>
    <w:p w14:paraId="4C29B9D3">
      <w:pPr>
        <w:jc w:val="both"/>
        <w:rPr>
          <w:rFonts w:hint="eastAsia" w:ascii="华文楷体" w:hAnsi="华文楷体" w:eastAsia="华文楷体"/>
          <w:szCs w:val="22"/>
        </w:rPr>
      </w:pPr>
      <w:r>
        <w:rPr>
          <w:rFonts w:hint="eastAsia" w:ascii="华文楷体" w:hAnsi="华文楷体" w:eastAsia="华文楷体"/>
          <w:szCs w:val="22"/>
        </w:rPr>
        <w:t>注</w:t>
      </w:r>
      <w:r>
        <w:rPr>
          <w:rFonts w:hint="eastAsia" w:ascii="华文楷体" w:hAnsi="华文楷体" w:eastAsia="华文楷体"/>
          <w:szCs w:val="22"/>
          <w:lang w:val="en-US" w:eastAsia="zh-CN"/>
        </w:rPr>
        <w:t>1</w:t>
      </w:r>
      <w:r>
        <w:rPr>
          <w:rFonts w:hint="eastAsia" w:ascii="华文楷体" w:hAnsi="华文楷体" w:eastAsia="华文楷体"/>
          <w:szCs w:val="22"/>
        </w:rPr>
        <w:t>：根据2024年GDP(亿元) *1.05进行预测2025年GDP(亿元) 。</w:t>
      </w:r>
    </w:p>
    <w:p w14:paraId="53790925">
      <w:pPr>
        <w:rPr>
          <w:rFonts w:hint="eastAsia" w:ascii="华文楷体" w:hAnsi="华文楷体" w:eastAsia="华文楷体"/>
          <w:szCs w:val="22"/>
        </w:rPr>
      </w:pPr>
      <w:r>
        <w:rPr>
          <w:rFonts w:hint="eastAsia" w:ascii="华文楷体" w:hAnsi="华文楷体" w:eastAsia="华文楷体"/>
          <w:szCs w:val="22"/>
        </w:rPr>
        <w:t>注</w:t>
      </w:r>
      <w:r>
        <w:rPr>
          <w:rFonts w:hint="eastAsia" w:ascii="华文楷体" w:hAnsi="华文楷体" w:eastAsia="华文楷体"/>
          <w:szCs w:val="22"/>
          <w:lang w:val="en-US" w:eastAsia="zh-CN"/>
        </w:rPr>
        <w:t>2</w:t>
      </w:r>
      <w:r>
        <w:rPr>
          <w:rFonts w:hint="eastAsia" w:ascii="华文楷体" w:hAnsi="华文楷体" w:eastAsia="华文楷体"/>
          <w:szCs w:val="22"/>
        </w:rPr>
        <w:t>：区域经济活力指数以该区域车流量占比、重型货车占比、非本地货车占比为基础指标进行计算。</w:t>
      </w:r>
    </w:p>
    <w:p w14:paraId="29B0F9EF">
      <w:pPr>
        <w:jc w:val="center"/>
        <w:rPr>
          <w:rFonts w:hint="eastAsia" w:ascii="华文楷体" w:hAnsi="华文楷体" w:eastAsia="华文楷体"/>
          <w:szCs w:val="22"/>
        </w:rPr>
      </w:pPr>
      <w:r>
        <w:rPr>
          <w14:ligatures w14:val="none"/>
        </w:rPr>
        <w:drawing>
          <wp:inline distT="0" distB="0" distL="0" distR="0">
            <wp:extent cx="3422650" cy="3640455"/>
            <wp:effectExtent l="0" t="0" r="6350" b="1905"/>
            <wp:docPr id="72368190"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190" name="图片 1" descr="地图&#10;&#10;AI 生成的内容可能不正确。"/>
                    <pic:cNvPicPr>
                      <a:picLocks noChangeAspect="1"/>
                    </pic:cNvPicPr>
                  </pic:nvPicPr>
                  <pic:blipFill>
                    <a:blip r:embed="rId9"/>
                    <a:stretch>
                      <a:fillRect/>
                    </a:stretch>
                  </pic:blipFill>
                  <pic:spPr>
                    <a:xfrm>
                      <a:off x="0" y="0"/>
                      <a:ext cx="3422650" cy="3640455"/>
                    </a:xfrm>
                    <a:prstGeom prst="rect">
                      <a:avLst/>
                    </a:prstGeom>
                  </pic:spPr>
                </pic:pic>
              </a:graphicData>
            </a:graphic>
          </wp:inline>
        </w:drawing>
      </w:r>
    </w:p>
    <w:p w14:paraId="1816AAD4">
      <w:pPr>
        <w:jc w:val="center"/>
        <w:rPr>
          <w:rFonts w:hint="eastAsia" w:ascii="华文楷体" w:hAnsi="华文楷体" w:eastAsia="华文楷体"/>
          <w:szCs w:val="22"/>
        </w:rPr>
      </w:pPr>
      <w:r>
        <w:rPr>
          <w:rFonts w:hint="eastAsia" w:ascii="华文楷体" w:hAnsi="华文楷体" w:eastAsia="华文楷体"/>
          <w:szCs w:val="22"/>
        </w:rPr>
        <w:t xml:space="preserve">图2-1 </w:t>
      </w:r>
      <w:r>
        <w:rPr>
          <w:rFonts w:hint="eastAsia" w:ascii="华文楷体" w:hAnsi="华文楷体" w:eastAsia="华文楷体"/>
          <w:sz w:val="24"/>
        </w:rPr>
        <w:t>2025年</w:t>
      </w:r>
      <w:bookmarkStart w:id="24" w:name="OLE_LINK251"/>
      <w:r>
        <w:rPr>
          <w:rFonts w:hint="eastAsia" w:ascii="华文楷体" w:hAnsi="华文楷体" w:eastAsia="华文楷体"/>
          <w:sz w:val="24"/>
        </w:rPr>
        <w:t>浙江各市区</w:t>
      </w:r>
      <w:bookmarkEnd w:id="24"/>
      <w:r>
        <w:rPr>
          <w:rFonts w:hint="eastAsia" w:ascii="华文楷体" w:hAnsi="华文楷体" w:eastAsia="华文楷体"/>
          <w:sz w:val="24"/>
        </w:rPr>
        <w:t>经济活力指数示意图</w:t>
      </w:r>
    </w:p>
    <w:p w14:paraId="296A9CB7">
      <w:pPr>
        <w:ind w:firstLine="480" w:firstLineChars="200"/>
        <w:jc w:val="both"/>
        <w:rPr>
          <w:rFonts w:hint="eastAsia" w:ascii="华文楷体" w:hAnsi="华文楷体" w:eastAsia="华文楷体"/>
          <w:sz w:val="24"/>
        </w:rPr>
      </w:pPr>
      <w:r>
        <w:rPr>
          <w:rFonts w:hint="eastAsia" w:ascii="华文楷体" w:hAnsi="华文楷体" w:eastAsia="华文楷体"/>
          <w:sz w:val="24"/>
        </w:rPr>
        <w:t>表2-1数据以及</w:t>
      </w:r>
      <w:r>
        <w:rPr>
          <w:rFonts w:hint="eastAsia" w:ascii="华文楷体" w:hAnsi="华文楷体" w:eastAsia="华文楷体"/>
          <w:szCs w:val="22"/>
        </w:rPr>
        <w:t>图2-1</w:t>
      </w:r>
      <w:r>
        <w:rPr>
          <w:rFonts w:hint="eastAsia" w:ascii="华文楷体" w:hAnsi="华文楷体" w:eastAsia="华文楷体"/>
          <w:sz w:val="24"/>
        </w:rPr>
        <w:t>显示，杭州</w:t>
      </w:r>
      <w:bookmarkStart w:id="25" w:name="OLE_LINK97"/>
      <w:r>
        <w:rPr>
          <w:rFonts w:hint="eastAsia" w:ascii="华文楷体" w:hAnsi="华文楷体" w:eastAsia="华文楷体"/>
          <w:sz w:val="24"/>
        </w:rPr>
        <w:t>市</w:t>
      </w:r>
      <w:bookmarkEnd w:id="25"/>
      <w:r>
        <w:rPr>
          <w:rFonts w:hint="eastAsia" w:ascii="华文楷体" w:hAnsi="华文楷体" w:eastAsia="华文楷体"/>
          <w:sz w:val="24"/>
        </w:rPr>
        <w:t>、宁波市的经济活力指数为第一梯队</w:t>
      </w:r>
      <w:bookmarkStart w:id="26" w:name="OLE_LINK243"/>
      <w:r>
        <w:rPr>
          <w:rFonts w:hint="eastAsia" w:ascii="华文楷体" w:hAnsi="华文楷体" w:eastAsia="华文楷体"/>
          <w:sz w:val="24"/>
        </w:rPr>
        <w:t>，与GDP排名一致。杭州市依托长三角核心枢纽地位以及</w:t>
      </w:r>
      <w:bookmarkEnd w:id="26"/>
      <w:r>
        <w:rPr>
          <w:rFonts w:ascii="华文楷体" w:hAnsi="华文楷体" w:eastAsia="华文楷体"/>
          <w:sz w:val="24"/>
        </w:rPr>
        <w:t>电子商务之都快递物流业务量巨大</w:t>
      </w:r>
      <w:r>
        <w:rPr>
          <w:rFonts w:hint="eastAsia" w:ascii="华文楷体" w:hAnsi="华文楷体" w:eastAsia="华文楷体"/>
          <w:sz w:val="24"/>
        </w:rPr>
        <w:t>，</w:t>
      </w:r>
      <w:bookmarkStart w:id="27" w:name="OLE_LINK299"/>
      <w:r>
        <w:rPr>
          <w:rFonts w:ascii="华文楷体" w:hAnsi="华文楷体" w:eastAsia="华文楷体"/>
          <w:sz w:val="24"/>
        </w:rPr>
        <w:t>宁波</w:t>
      </w:r>
      <w:r>
        <w:rPr>
          <w:rFonts w:hint="eastAsia" w:ascii="华文楷体" w:hAnsi="华文楷体" w:eastAsia="华文楷体"/>
          <w:sz w:val="24"/>
        </w:rPr>
        <w:t>依托</w:t>
      </w:r>
      <w:r>
        <w:rPr>
          <w:rFonts w:ascii="华文楷体" w:hAnsi="华文楷体" w:eastAsia="华文楷体"/>
          <w:sz w:val="24"/>
        </w:rPr>
        <w:t>舟山港世界第一大港的港口经济驱动</w:t>
      </w:r>
      <w:bookmarkStart w:id="28" w:name="OLE_LINK249"/>
      <w:r>
        <w:rPr>
          <w:rFonts w:ascii="华文楷体" w:hAnsi="华文楷体" w:eastAsia="华文楷体"/>
          <w:sz w:val="24"/>
        </w:rPr>
        <w:t>，2024年1-8月杭州湾跨海大桥日均流量超8</w:t>
      </w:r>
      <w:bookmarkEnd w:id="28"/>
      <w:r>
        <w:rPr>
          <w:rFonts w:ascii="华文楷体" w:hAnsi="华文楷体" w:eastAsia="华文楷体"/>
          <w:sz w:val="24"/>
        </w:rPr>
        <w:t>万辆</w:t>
      </w:r>
      <w:r>
        <w:rPr>
          <w:rStyle w:val="24"/>
          <w:rFonts w:hint="eastAsia" w:ascii="华文楷体" w:hAnsi="华文楷体" w:eastAsia="华文楷体"/>
          <w:sz w:val="24"/>
        </w:rPr>
        <w:footnoteReference w:id="3"/>
      </w:r>
      <w:bookmarkEnd w:id="27"/>
      <w:r>
        <w:rPr>
          <w:rFonts w:hint="eastAsia" w:ascii="华文楷体" w:hAnsi="华文楷体" w:eastAsia="华文楷体"/>
          <w:sz w:val="24"/>
        </w:rPr>
        <w:t xml:space="preserve">。 </w:t>
      </w:r>
    </w:p>
    <w:bookmarkEnd w:id="17"/>
    <w:p w14:paraId="41579591">
      <w:pPr>
        <w:jc w:val="center"/>
        <w:rPr>
          <w:rFonts w:hint="eastAsia" w:ascii="华文楷体" w:hAnsi="华文楷体" w:eastAsia="华文楷体"/>
          <w:sz w:val="24"/>
        </w:rPr>
      </w:pPr>
      <w:r>
        <w:rPr>
          <w14:ligatures w14:val="none"/>
        </w:rPr>
        <w:t xml:space="preserve"> </w:t>
      </w:r>
      <w:r>
        <w:rPr>
          <w14:ligatures w14:val="none"/>
        </w:rPr>
        <w:drawing>
          <wp:inline distT="0" distB="0" distL="0" distR="0">
            <wp:extent cx="4402455" cy="5008880"/>
            <wp:effectExtent l="0" t="0" r="0" b="1270"/>
            <wp:docPr id="23900196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01968" name="图片 1" descr="图表, 折线图&#10;&#10;AI 生成的内容可能不正确。"/>
                    <pic:cNvPicPr>
                      <a:picLocks noChangeAspect="1"/>
                    </pic:cNvPicPr>
                  </pic:nvPicPr>
                  <pic:blipFill>
                    <a:blip r:embed="rId10"/>
                    <a:stretch>
                      <a:fillRect/>
                    </a:stretch>
                  </pic:blipFill>
                  <pic:spPr>
                    <a:xfrm>
                      <a:off x="0" y="0"/>
                      <a:ext cx="4403834" cy="5010381"/>
                    </a:xfrm>
                    <a:prstGeom prst="rect">
                      <a:avLst/>
                    </a:prstGeom>
                  </pic:spPr>
                </pic:pic>
              </a:graphicData>
            </a:graphic>
          </wp:inline>
        </w:drawing>
      </w:r>
    </w:p>
    <w:p w14:paraId="1D2836BF">
      <w:pPr>
        <w:jc w:val="center"/>
        <w:rPr>
          <w:rFonts w:hint="eastAsia" w:ascii="华文楷体" w:hAnsi="华文楷体" w:eastAsia="华文楷体"/>
          <w:sz w:val="24"/>
        </w:rPr>
      </w:pPr>
      <w:bookmarkStart w:id="29" w:name="OLE_LINK143"/>
      <w:r>
        <w:rPr>
          <w:rFonts w:hint="eastAsia" w:ascii="华文楷体" w:hAnsi="华文楷体" w:eastAsia="华文楷体"/>
          <w:sz w:val="24"/>
        </w:rPr>
        <w:t>图2-2 2025年</w:t>
      </w:r>
      <w:bookmarkStart w:id="30" w:name="OLE_LINK165"/>
      <w:bookmarkStart w:id="31" w:name="OLE_LINK35"/>
      <w:r>
        <w:rPr>
          <w:rFonts w:hint="eastAsia" w:ascii="华文楷体" w:hAnsi="华文楷体" w:eastAsia="华文楷体"/>
          <w:sz w:val="24"/>
        </w:rPr>
        <w:t>浙江四市经济活力指数</w:t>
      </w:r>
      <w:bookmarkEnd w:id="30"/>
      <w:bookmarkEnd w:id="31"/>
      <w:r>
        <w:rPr>
          <w:rFonts w:hint="eastAsia" w:ascii="华文楷体" w:hAnsi="华文楷体" w:eastAsia="华文楷体"/>
          <w:sz w:val="24"/>
        </w:rPr>
        <w:t>季节波动图</w:t>
      </w:r>
    </w:p>
    <w:p w14:paraId="52CD1712">
      <w:pPr>
        <w:ind w:firstLine="480" w:firstLineChars="200"/>
        <w:jc w:val="both"/>
        <w:rPr>
          <w:rFonts w:hint="eastAsia" w:ascii="华文楷体" w:hAnsi="华文楷体" w:eastAsia="华文楷体"/>
          <w:sz w:val="24"/>
        </w:rPr>
      </w:pPr>
      <w:r>
        <w:rPr>
          <w:rFonts w:hint="eastAsia" w:ascii="华文楷体" w:hAnsi="华文楷体" w:eastAsia="华文楷体"/>
          <w:sz w:val="24"/>
        </w:rPr>
        <w:t>图2-2显示杭州市、宁波市、嘉兴市、金华市的经济活力指数在</w:t>
      </w:r>
      <w:bookmarkStart w:id="32" w:name="OLE_LINK261"/>
      <w:r>
        <w:rPr>
          <w:rFonts w:hint="eastAsia" w:ascii="华文楷体" w:hAnsi="华文楷体" w:eastAsia="华文楷体"/>
          <w:sz w:val="24"/>
        </w:rPr>
        <w:t>3月、9月</w:t>
      </w:r>
      <w:bookmarkEnd w:id="32"/>
      <w:r>
        <w:rPr>
          <w:rFonts w:hint="eastAsia" w:ascii="华文楷体" w:hAnsi="华文楷体" w:eastAsia="华文楷体"/>
          <w:sz w:val="24"/>
        </w:rPr>
        <w:t>出现明显抬升，与跨境电商企业的备货周期高度吻合。3月峰值对应春季大促和夏季出口旺季的备货需求；9月峰值对应“黑五”和圣诞季的提前备货。根据跨境电商运营规律，出口企业通常提前2-3个月完成生产和物流准备，因此经济活力指数的前置峰值可有效预测出口旺季。</w:t>
      </w:r>
    </w:p>
    <w:p w14:paraId="7A27443A">
      <w:pPr>
        <w:ind w:firstLine="480" w:firstLineChars="200"/>
        <w:jc w:val="both"/>
        <w:rPr>
          <w:rFonts w:hint="eastAsia" w:ascii="华文楷体" w:hAnsi="华文楷体" w:eastAsia="华文楷体"/>
          <w:sz w:val="24"/>
        </w:rPr>
      </w:pPr>
      <w:r>
        <w:rPr>
          <w:rFonts w:hint="eastAsia" w:ascii="华文楷体" w:hAnsi="华文楷体" w:eastAsia="华文楷体"/>
          <w:sz w:val="24"/>
        </w:rPr>
        <w:t>嘉兴市经济活力指数9月达到峰值3301，且全年波动幅度最大。宁波市经济活力指数9月达到全年峰值4776。9月峰值对应“金九银十”出口旺季的物流中转高峰，大量出口货物经嘉兴港、高速公路网络向宁波舟山港集聚</w:t>
      </w:r>
      <w:r>
        <w:rPr>
          <w:rStyle w:val="24"/>
          <w:rFonts w:hint="eastAsia" w:ascii="华文楷体" w:hAnsi="华文楷体" w:eastAsia="华文楷体"/>
          <w:sz w:val="24"/>
        </w:rPr>
        <w:footnoteReference w:id="4"/>
      </w:r>
      <w:r>
        <w:rPr>
          <w:rFonts w:hint="eastAsia" w:ascii="华文楷体" w:hAnsi="华文楷体" w:eastAsia="华文楷体"/>
          <w:sz w:val="24"/>
        </w:rPr>
        <w:t>。</w:t>
      </w:r>
    </w:p>
    <w:bookmarkEnd w:id="18"/>
    <w:bookmarkEnd w:id="19"/>
    <w:bookmarkEnd w:id="29"/>
    <w:p w14:paraId="5F4B00D3">
      <w:pPr>
        <w:pStyle w:val="4"/>
        <w:rPr>
          <w:rFonts w:hint="eastAsia" w:ascii="华文楷体" w:hAnsi="华文楷体" w:eastAsia="华文楷体"/>
          <w:b/>
          <w:bCs/>
          <w:color w:val="000000" w:themeColor="text1"/>
          <w:sz w:val="24"/>
          <w:szCs w:val="24"/>
          <w14:textFill>
            <w14:solidFill>
              <w14:schemeClr w14:val="tx1"/>
            </w14:solidFill>
          </w14:textFill>
        </w:rPr>
      </w:pPr>
      <w:r>
        <w:rPr>
          <w:rFonts w:ascii="华文楷体" w:hAnsi="华文楷体" w:eastAsia="华文楷体"/>
          <w:b/>
          <w:bCs/>
          <w:color w:val="000000" w:themeColor="text1"/>
          <w:sz w:val="24"/>
          <w:szCs w:val="24"/>
          <w14:textFill>
            <w14:solidFill>
              <w14:schemeClr w14:val="tx1"/>
            </w14:solidFill>
          </w14:textFill>
        </w:rPr>
        <w:t xml:space="preserve">2.2.2 </w:t>
      </w:r>
      <w:bookmarkStart w:id="33" w:name="_Hlk215237016"/>
      <w:r>
        <w:rPr>
          <w:rFonts w:ascii="华文楷体" w:hAnsi="华文楷体" w:eastAsia="华文楷体"/>
          <w:b/>
          <w:bCs/>
          <w:color w:val="000000" w:themeColor="text1"/>
          <w:sz w:val="24"/>
          <w:szCs w:val="24"/>
          <w14:textFill>
            <w14:solidFill>
              <w14:schemeClr w14:val="tx1"/>
            </w14:solidFill>
          </w14:textFill>
        </w:rPr>
        <w:t>城际经济连接</w:t>
      </w:r>
      <w:bookmarkEnd w:id="33"/>
      <w:bookmarkStart w:id="34" w:name="OLE_LINK64"/>
      <w:r>
        <w:rPr>
          <w:rFonts w:hint="eastAsia" w:ascii="华文楷体" w:hAnsi="华文楷体" w:eastAsia="华文楷体"/>
          <w:b/>
          <w:bCs/>
          <w:color w:val="000000" w:themeColor="text1"/>
          <w:sz w:val="24"/>
          <w:szCs w:val="24"/>
          <w14:textFill>
            <w14:solidFill>
              <w14:schemeClr w14:val="tx1"/>
            </w14:solidFill>
          </w14:textFill>
        </w:rPr>
        <w:t>分析</w:t>
      </w:r>
      <w:bookmarkEnd w:id="34"/>
    </w:p>
    <w:p w14:paraId="46BFB5B2">
      <w:pPr>
        <w:ind w:firstLine="480" w:firstLineChars="200"/>
        <w:jc w:val="both"/>
        <w:rPr>
          <w:rFonts w:hint="eastAsia" w:ascii="华文楷体" w:hAnsi="华文楷体" w:eastAsia="华文楷体"/>
          <w:sz w:val="24"/>
        </w:rPr>
      </w:pPr>
      <w:bookmarkStart w:id="35" w:name="OLE_LINK342"/>
      <w:bookmarkStart w:id="36" w:name="OLE_LINK341"/>
      <w:r>
        <w:rPr>
          <w:rFonts w:hint="eastAsia" w:ascii="华文楷体" w:hAnsi="华文楷体" w:eastAsia="华文楷体"/>
          <w:sz w:val="24"/>
        </w:rPr>
        <w:t>城际经济连接分析指标</w:t>
      </w:r>
      <w:r>
        <w:rPr>
          <w:rFonts w:ascii="华文楷体" w:hAnsi="华文楷体" w:eastAsia="华文楷体"/>
          <w:sz w:val="24"/>
        </w:rPr>
        <w:t>通过计算城市间</w:t>
      </w:r>
      <w:r>
        <w:rPr>
          <w:rFonts w:hint="eastAsia" w:ascii="华文楷体" w:hAnsi="华文楷体" w:eastAsia="华文楷体"/>
          <w:sz w:val="24"/>
        </w:rPr>
        <w:t>高速公路</w:t>
      </w:r>
      <w:r>
        <w:rPr>
          <w:rFonts w:ascii="华文楷体" w:hAnsi="华文楷体" w:eastAsia="华文楷体"/>
          <w:sz w:val="24"/>
        </w:rPr>
        <w:t>货车OD对数与两城总对外货车流量的比例，量化城市间经济联系的紧密程度。</w:t>
      </w:r>
      <w:r>
        <w:rPr>
          <w:rFonts w:hint="eastAsia" w:ascii="华文楷体" w:hAnsi="华文楷体" w:eastAsia="华文楷体"/>
          <w:sz w:val="24"/>
        </w:rPr>
        <w:t>以</w:t>
      </w:r>
      <w:r>
        <w:rPr>
          <w:rFonts w:ascii="华文楷体" w:hAnsi="华文楷体" w:eastAsia="华文楷体"/>
          <w:sz w:val="24"/>
        </w:rPr>
        <w:t>城际经济连接度</w:t>
      </w:r>
      <w:r>
        <w:rPr>
          <w:rFonts w:hint="eastAsia" w:ascii="华文楷体" w:hAnsi="华文楷体" w:eastAsia="华文楷体"/>
          <w:sz w:val="24"/>
        </w:rPr>
        <w:t>形式</w:t>
      </w:r>
      <w:r>
        <w:rPr>
          <w:rFonts w:ascii="华文楷体" w:hAnsi="华文楷体" w:eastAsia="华文楷体"/>
          <w:sz w:val="24"/>
        </w:rPr>
        <w:t>直观展示城市间经济联系强度，并</w:t>
      </w:r>
      <w:r>
        <w:rPr>
          <w:rFonts w:hint="eastAsia" w:ascii="华文楷体" w:hAnsi="华文楷体" w:eastAsia="华文楷体"/>
          <w:sz w:val="24"/>
        </w:rPr>
        <w:t>对</w:t>
      </w:r>
      <w:r>
        <w:rPr>
          <w:rFonts w:ascii="华文楷体" w:hAnsi="华文楷体" w:eastAsia="华文楷体"/>
          <w:sz w:val="24"/>
        </w:rPr>
        <w:t>连接强度与区域经济活动的关系</w:t>
      </w:r>
      <w:r>
        <w:rPr>
          <w:rFonts w:hint="eastAsia" w:ascii="华文楷体" w:hAnsi="华文楷体" w:eastAsia="华文楷体"/>
          <w:sz w:val="24"/>
        </w:rPr>
        <w:t>进行</w:t>
      </w:r>
      <w:r>
        <w:rPr>
          <w:rFonts w:ascii="华文楷体" w:hAnsi="华文楷体" w:eastAsia="华文楷体"/>
          <w:sz w:val="24"/>
        </w:rPr>
        <w:t>分析。</w:t>
      </w:r>
    </w:p>
    <w:bookmarkEnd w:id="35"/>
    <w:p w14:paraId="0EAB0AE8">
      <w:pPr>
        <w:jc w:val="center"/>
        <w:rPr>
          <w:rFonts w:hint="eastAsia" w:ascii="华文楷体" w:hAnsi="华文楷体" w:eastAsia="华文楷体"/>
          <w:sz w:val="24"/>
        </w:rPr>
      </w:pPr>
      <w:bookmarkStart w:id="37" w:name="OLE_LINK39"/>
      <w:bookmarkStart w:id="38" w:name="OLE_LINK145"/>
      <w:r>
        <w:rPr>
          <w:rFonts w:hint="eastAsia" w:ascii="华文楷体" w:hAnsi="华文楷体" w:eastAsia="华文楷体"/>
          <w:sz w:val="24"/>
        </w:rPr>
        <w:t>表2-2 2025年杭州与其他市区城际经济连接度</w:t>
      </w:r>
      <w:bookmarkEnd w:id="37"/>
      <w:r>
        <w:rPr>
          <w:rFonts w:hint="eastAsia" w:ascii="华文楷体" w:hAnsi="华文楷体" w:eastAsia="华文楷体"/>
          <w:sz w:val="24"/>
        </w:rPr>
        <w:t>排名</w:t>
      </w:r>
    </w:p>
    <w:bookmarkEnd w:id="38"/>
    <w:tbl>
      <w:tblPr>
        <w:tblStyle w:val="48"/>
        <w:tblW w:w="8222"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34"/>
        <w:gridCol w:w="3934"/>
        <w:gridCol w:w="354"/>
      </w:tblGrid>
      <w:tr w14:paraId="10D6F52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tcBorders>
              <w:bottom w:val="single" w:color="7E7E7E" w:themeColor="text1" w:themeTint="80" w:sz="4" w:space="0"/>
              <w:insideH w:val="single" w:sz="4" w:space="0"/>
            </w:tcBorders>
            <w:noWrap/>
          </w:tcPr>
          <w:p w14:paraId="2E62FEC9">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bookmarkStart w:id="39" w:name="_Hlk218840804"/>
            <w:r>
              <w:rPr>
                <w:rFonts w:hint="eastAsia" w:ascii="华文楷体" w:hAnsi="华文楷体" w:eastAsia="华文楷体" w:cs="宋体"/>
                <w:b/>
                <w:bCs/>
                <w:color w:val="000000"/>
                <w:kern w:val="0"/>
                <w:sz w:val="18"/>
                <w:szCs w:val="18"/>
                <w14:ligatures w14:val="none"/>
              </w:rPr>
              <w:t>城市</w:t>
            </w:r>
          </w:p>
        </w:tc>
        <w:tc>
          <w:tcPr>
            <w:tcW w:w="3934" w:type="dxa"/>
            <w:tcBorders>
              <w:bottom w:val="single" w:color="7E7E7E" w:themeColor="text1" w:themeTint="80" w:sz="4" w:space="0"/>
              <w:insideH w:val="single" w:sz="4" w:space="0"/>
            </w:tcBorders>
            <w:noWrap/>
          </w:tcPr>
          <w:p w14:paraId="26D5216A">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排名</w:t>
            </w:r>
          </w:p>
        </w:tc>
      </w:tr>
      <w:tr w14:paraId="203EE34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tcBorders>
              <w:top w:val="single" w:color="7E7E7E" w:themeColor="text1" w:themeTint="80" w:sz="4" w:space="0"/>
              <w:bottom w:val="single" w:color="7E7E7E" w:themeColor="text1" w:themeTint="80" w:sz="4" w:space="0"/>
            </w:tcBorders>
            <w:noWrap/>
            <w:vAlign w:val="center"/>
          </w:tcPr>
          <w:p w14:paraId="2186D5F9">
            <w:pPr>
              <w:widowControl/>
              <w:spacing w:after="0" w:line="240" w:lineRule="auto"/>
              <w:jc w:val="center"/>
              <w:rPr>
                <w:rFonts w:hint="eastAsia" w:ascii="华文楷体" w:hAnsi="华文楷体" w:eastAsia="华文楷体" w:cs="宋体"/>
                <w:b/>
                <w:bCs/>
                <w:color w:val="000000"/>
                <w:kern w:val="0"/>
                <w:sz w:val="18"/>
                <w:szCs w:val="18"/>
                <w14:ligatures w14:val="none"/>
              </w:rPr>
            </w:pPr>
            <w:bookmarkStart w:id="40" w:name="_Hlk222250496"/>
            <w:bookmarkStart w:id="41" w:name="_Hlk222986194"/>
            <w:commentRangeStart w:id="1"/>
            <w:r>
              <w:rPr>
                <w:rFonts w:hint="eastAsia" w:ascii="华文楷体" w:hAnsi="华文楷体" w:eastAsia="华文楷体" w:cs="宋体"/>
                <w:b/>
                <w:bCs/>
                <w:color w:val="000000"/>
                <w:kern w:val="0"/>
                <w:sz w:val="18"/>
                <w:szCs w:val="18"/>
                <w14:ligatures w14:val="none"/>
              </w:rPr>
              <w:t>杭州市&lt;=&gt;杭州市</w:t>
            </w:r>
          </w:p>
        </w:tc>
        <w:tc>
          <w:tcPr>
            <w:tcW w:w="3934" w:type="dxa"/>
            <w:tcBorders>
              <w:top w:val="single" w:color="7E7E7E" w:themeColor="text1" w:themeTint="80" w:sz="4" w:space="0"/>
              <w:bottom w:val="single" w:color="7E7E7E" w:themeColor="text1" w:themeTint="80" w:sz="4" w:space="0"/>
            </w:tcBorders>
            <w:noWrap/>
            <w:vAlign w:val="center"/>
          </w:tcPr>
          <w:p w14:paraId="4CCB62E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w:t>
            </w:r>
            <w:commentRangeEnd w:id="1"/>
            <w:r>
              <w:commentReference w:id="1"/>
            </w:r>
          </w:p>
        </w:tc>
      </w:tr>
      <w:tr w14:paraId="2F9C043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noWrap/>
            <w:vAlign w:val="center"/>
          </w:tcPr>
          <w:p w14:paraId="27A2B919">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嘉兴市&lt;=&gt;杭州市</w:t>
            </w:r>
          </w:p>
        </w:tc>
        <w:tc>
          <w:tcPr>
            <w:tcW w:w="3934" w:type="dxa"/>
            <w:noWrap/>
            <w:vAlign w:val="center"/>
          </w:tcPr>
          <w:p w14:paraId="28A3A96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2</w:t>
            </w:r>
          </w:p>
        </w:tc>
      </w:tr>
      <w:tr w14:paraId="61FB0C2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tcBorders>
              <w:top w:val="single" w:color="7E7E7E" w:themeColor="text1" w:themeTint="80" w:sz="4" w:space="0"/>
              <w:bottom w:val="single" w:color="7E7E7E" w:themeColor="text1" w:themeTint="80" w:sz="4" w:space="0"/>
            </w:tcBorders>
            <w:noWrap/>
            <w:vAlign w:val="center"/>
          </w:tcPr>
          <w:p w14:paraId="0F5B3696">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杭州市&lt;=&gt;绍兴市</w:t>
            </w:r>
          </w:p>
        </w:tc>
        <w:tc>
          <w:tcPr>
            <w:tcW w:w="3934" w:type="dxa"/>
            <w:tcBorders>
              <w:top w:val="single" w:color="7E7E7E" w:themeColor="text1" w:themeTint="80" w:sz="4" w:space="0"/>
              <w:bottom w:val="single" w:color="7E7E7E" w:themeColor="text1" w:themeTint="80" w:sz="4" w:space="0"/>
            </w:tcBorders>
            <w:noWrap/>
            <w:vAlign w:val="center"/>
          </w:tcPr>
          <w:p w14:paraId="3949C23A">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3</w:t>
            </w:r>
          </w:p>
        </w:tc>
      </w:tr>
      <w:bookmarkEnd w:id="40"/>
      <w:tr w14:paraId="1CD8D6B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noWrap/>
            <w:vAlign w:val="center"/>
          </w:tcPr>
          <w:p w14:paraId="770EB94A">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杭州市&lt;=&gt;湖州市</w:t>
            </w:r>
          </w:p>
        </w:tc>
        <w:tc>
          <w:tcPr>
            <w:tcW w:w="3934" w:type="dxa"/>
            <w:noWrap/>
            <w:vAlign w:val="center"/>
          </w:tcPr>
          <w:p w14:paraId="0AE74CC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4</w:t>
            </w:r>
          </w:p>
        </w:tc>
      </w:tr>
      <w:tr w14:paraId="6A5DEA5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tcBorders>
              <w:top w:val="single" w:color="7E7E7E" w:themeColor="text1" w:themeTint="80" w:sz="4" w:space="0"/>
              <w:bottom w:val="single" w:color="7E7E7E" w:themeColor="text1" w:themeTint="80" w:sz="4" w:space="0"/>
            </w:tcBorders>
            <w:noWrap/>
            <w:vAlign w:val="center"/>
          </w:tcPr>
          <w:p w14:paraId="45B31057">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宁</w:t>
            </w:r>
            <w:commentRangeStart w:id="2"/>
            <w:r>
              <w:rPr>
                <w:rFonts w:hint="eastAsia" w:ascii="华文楷体" w:hAnsi="华文楷体" w:eastAsia="华文楷体" w:cs="宋体"/>
                <w:b/>
                <w:bCs/>
                <w:color w:val="000000"/>
                <w:kern w:val="0"/>
                <w:sz w:val="18"/>
                <w:szCs w:val="18"/>
                <w14:ligatures w14:val="none"/>
              </w:rPr>
              <w:t>波市&lt;=&gt;杭州市</w:t>
            </w:r>
            <w:commentRangeEnd w:id="2"/>
            <w:r>
              <w:commentReference w:id="2"/>
            </w:r>
          </w:p>
        </w:tc>
        <w:tc>
          <w:tcPr>
            <w:tcW w:w="3934" w:type="dxa"/>
            <w:tcBorders>
              <w:top w:val="single" w:color="7E7E7E" w:themeColor="text1" w:themeTint="80" w:sz="4" w:space="0"/>
              <w:bottom w:val="single" w:color="7E7E7E" w:themeColor="text1" w:themeTint="80" w:sz="4" w:space="0"/>
            </w:tcBorders>
            <w:noWrap/>
            <w:vAlign w:val="center"/>
          </w:tcPr>
          <w:p w14:paraId="0186AF4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5</w:t>
            </w:r>
          </w:p>
        </w:tc>
      </w:tr>
      <w:tr w14:paraId="210E632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934" w:type="dxa"/>
            <w:noWrap/>
            <w:vAlign w:val="center"/>
          </w:tcPr>
          <w:p w14:paraId="2FF487AA">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杭州市&lt;=&gt;金华市</w:t>
            </w:r>
          </w:p>
        </w:tc>
        <w:tc>
          <w:tcPr>
            <w:tcW w:w="3934" w:type="dxa"/>
            <w:noWrap/>
            <w:vAlign w:val="center"/>
          </w:tcPr>
          <w:p w14:paraId="5305601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6</w:t>
            </w:r>
          </w:p>
        </w:tc>
        <w:tc>
          <w:tcPr>
            <w:tcW w:w="354" w:type="dxa"/>
          </w:tcPr>
          <w:p w14:paraId="3C822707">
            <w:pPr>
              <w:widowControl/>
              <w:spacing w:after="0" w:line="240" w:lineRule="auto"/>
              <w:rPr>
                <w:rFonts w:hint="eastAsia"/>
              </w:rPr>
            </w:pPr>
          </w:p>
        </w:tc>
      </w:tr>
      <w:tr w14:paraId="3D001DD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tcBorders>
              <w:top w:val="single" w:color="7E7E7E" w:themeColor="text1" w:themeTint="80" w:sz="4" w:space="0"/>
              <w:bottom w:val="single" w:color="7E7E7E" w:themeColor="text1" w:themeTint="80" w:sz="4" w:space="0"/>
            </w:tcBorders>
            <w:noWrap/>
            <w:vAlign w:val="center"/>
          </w:tcPr>
          <w:p w14:paraId="68201C3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台州市&lt;=&gt;杭州市</w:t>
            </w:r>
          </w:p>
        </w:tc>
        <w:tc>
          <w:tcPr>
            <w:tcW w:w="3934" w:type="dxa"/>
            <w:tcBorders>
              <w:top w:val="single" w:color="7E7E7E" w:themeColor="text1" w:themeTint="80" w:sz="4" w:space="0"/>
              <w:bottom w:val="single" w:color="7E7E7E" w:themeColor="text1" w:themeTint="80" w:sz="4" w:space="0"/>
            </w:tcBorders>
            <w:noWrap/>
            <w:vAlign w:val="center"/>
          </w:tcPr>
          <w:p w14:paraId="32E87B8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7</w:t>
            </w:r>
          </w:p>
        </w:tc>
      </w:tr>
      <w:tr w14:paraId="10F2B6B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noWrap/>
            <w:vAlign w:val="center"/>
          </w:tcPr>
          <w:p w14:paraId="48864256">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杭州市&lt;=&gt;衢州市</w:t>
            </w:r>
          </w:p>
        </w:tc>
        <w:tc>
          <w:tcPr>
            <w:tcW w:w="3934" w:type="dxa"/>
            <w:noWrap/>
            <w:vAlign w:val="center"/>
          </w:tcPr>
          <w:p w14:paraId="61ABA6AC">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8</w:t>
            </w:r>
          </w:p>
        </w:tc>
      </w:tr>
      <w:tr w14:paraId="6EAFDB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tcBorders>
              <w:top w:val="single" w:color="7E7E7E" w:themeColor="text1" w:themeTint="80" w:sz="4" w:space="0"/>
              <w:bottom w:val="single" w:color="7E7E7E" w:themeColor="text1" w:themeTint="80" w:sz="4" w:space="0"/>
            </w:tcBorders>
            <w:noWrap/>
            <w:vAlign w:val="center"/>
          </w:tcPr>
          <w:p w14:paraId="4A597210">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杭州市&lt;=&gt;温州市</w:t>
            </w:r>
          </w:p>
        </w:tc>
        <w:tc>
          <w:tcPr>
            <w:tcW w:w="3934" w:type="dxa"/>
            <w:tcBorders>
              <w:top w:val="single" w:color="7E7E7E" w:themeColor="text1" w:themeTint="80" w:sz="4" w:space="0"/>
              <w:bottom w:val="single" w:color="7E7E7E" w:themeColor="text1" w:themeTint="80" w:sz="4" w:space="0"/>
            </w:tcBorders>
            <w:noWrap/>
            <w:vAlign w:val="center"/>
          </w:tcPr>
          <w:p w14:paraId="64799DE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9</w:t>
            </w:r>
          </w:p>
        </w:tc>
      </w:tr>
      <w:tr w14:paraId="42B92DE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noWrap/>
            <w:vAlign w:val="center"/>
          </w:tcPr>
          <w:p w14:paraId="6B7B210E">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丽水市&lt;=&gt;杭州市</w:t>
            </w:r>
          </w:p>
        </w:tc>
        <w:tc>
          <w:tcPr>
            <w:tcW w:w="3934" w:type="dxa"/>
            <w:noWrap/>
            <w:vAlign w:val="center"/>
          </w:tcPr>
          <w:p w14:paraId="6DB00B3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10</w:t>
            </w:r>
          </w:p>
        </w:tc>
      </w:tr>
      <w:tr w14:paraId="13E05A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54" w:type="dxa"/>
          <w:trHeight w:val="270" w:hRule="atLeast"/>
        </w:trPr>
        <w:tc>
          <w:tcPr>
            <w:tcW w:w="3934" w:type="dxa"/>
            <w:tcBorders>
              <w:top w:val="single" w:color="7E7E7E" w:themeColor="text1" w:themeTint="80" w:sz="4" w:space="0"/>
              <w:bottom w:val="single" w:color="7E7E7E" w:themeColor="text1" w:themeTint="80" w:sz="4" w:space="0"/>
            </w:tcBorders>
            <w:noWrap/>
            <w:vAlign w:val="center"/>
          </w:tcPr>
          <w:p w14:paraId="5522C19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杭州市&lt;=&gt;舟山市</w:t>
            </w:r>
          </w:p>
        </w:tc>
        <w:tc>
          <w:tcPr>
            <w:tcW w:w="3934" w:type="dxa"/>
            <w:tcBorders>
              <w:top w:val="single" w:color="7E7E7E" w:themeColor="text1" w:themeTint="80" w:sz="4" w:space="0"/>
              <w:bottom w:val="single" w:color="7E7E7E" w:themeColor="text1" w:themeTint="80" w:sz="4" w:space="0"/>
            </w:tcBorders>
            <w:noWrap/>
            <w:vAlign w:val="center"/>
          </w:tcPr>
          <w:p w14:paraId="316ACE4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11</w:t>
            </w:r>
          </w:p>
        </w:tc>
      </w:tr>
      <w:bookmarkEnd w:id="39"/>
      <w:bookmarkEnd w:id="41"/>
    </w:tbl>
    <w:p w14:paraId="2F709309">
      <w:pPr>
        <w:jc w:val="both"/>
        <w:rPr>
          <w:rFonts w:hint="eastAsia" w:ascii="华文楷体" w:hAnsi="华文楷体" w:eastAsia="华文楷体"/>
          <w:sz w:val="24"/>
        </w:rPr>
      </w:pPr>
      <w:r>
        <w:rPr>
          <w:rFonts w:hint="eastAsia" w:ascii="华文楷体" w:hAnsi="华文楷体" w:eastAsia="华文楷体"/>
          <w:sz w:val="24"/>
        </w:rPr>
        <w:t>注1：其余各市区的连接度见附件C</w:t>
      </w:r>
    </w:p>
    <w:p w14:paraId="794770A0">
      <w:pPr>
        <w:jc w:val="both"/>
        <w:rPr>
          <w:rFonts w:hint="eastAsia" w:ascii="华文楷体" w:hAnsi="华文楷体" w:eastAsia="华文楷体"/>
          <w:sz w:val="24"/>
        </w:rPr>
      </w:pPr>
      <w:r>
        <w:rPr>
          <w:rFonts w:hint="eastAsia" w:ascii="华文楷体" w:hAnsi="华文楷体" w:eastAsia="华文楷体"/>
          <w:sz w:val="24"/>
        </w:rPr>
        <w:t>注2：同一城市的连接度表示城市内部</w:t>
      </w:r>
      <w:bookmarkStart w:id="42" w:name="OLE_LINK179"/>
      <w:r>
        <w:rPr>
          <w:rFonts w:hint="eastAsia" w:ascii="华文楷体" w:hAnsi="华文楷体" w:eastAsia="华文楷体"/>
          <w:sz w:val="24"/>
        </w:rPr>
        <w:t>连接度</w:t>
      </w:r>
      <w:bookmarkEnd w:id="42"/>
      <w:r>
        <w:rPr>
          <w:rFonts w:hint="eastAsia" w:ascii="华文楷体" w:hAnsi="华文楷体" w:eastAsia="华文楷体"/>
          <w:sz w:val="24"/>
        </w:rPr>
        <w:t>（利用同一个城市不同收费站流量数据计算的数值）</w:t>
      </w:r>
    </w:p>
    <w:p w14:paraId="743502F0">
      <w:pPr>
        <w:jc w:val="center"/>
        <w:rPr>
          <w:rFonts w:hint="eastAsia" w:ascii="华文楷体" w:hAnsi="华文楷体" w:eastAsia="华文楷体"/>
          <w:sz w:val="24"/>
        </w:rPr>
      </w:pPr>
      <w:commentRangeStart w:id="3"/>
      <w:r>
        <w:rPr>
          <w:rFonts w:ascii="华文楷体" w:hAnsi="华文楷体" w:eastAsia="华文楷体"/>
          <w:sz w:val="24"/>
        </w:rPr>
        <w:drawing>
          <wp:inline distT="0" distB="0" distL="0" distR="0">
            <wp:extent cx="3566160" cy="2764790"/>
            <wp:effectExtent l="0" t="0" r="5715" b="6985"/>
            <wp:docPr id="34993341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3411" name="图片 1" descr="图表&#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570188" cy="2768354"/>
                    </a:xfrm>
                    <a:prstGeom prst="rect">
                      <a:avLst/>
                    </a:prstGeom>
                    <a:noFill/>
                    <a:ln>
                      <a:noFill/>
                    </a:ln>
                  </pic:spPr>
                </pic:pic>
              </a:graphicData>
            </a:graphic>
          </wp:inline>
        </w:drawing>
      </w:r>
      <w:commentRangeEnd w:id="3"/>
      <w:r>
        <w:commentReference w:id="3"/>
      </w:r>
    </w:p>
    <w:p w14:paraId="35569222">
      <w:pPr>
        <w:jc w:val="center"/>
        <w:rPr>
          <w:rFonts w:hint="eastAsia" w:ascii="华文楷体" w:hAnsi="华文楷体" w:eastAsia="华文楷体"/>
          <w:sz w:val="24"/>
        </w:rPr>
      </w:pPr>
      <w:bookmarkStart w:id="43" w:name="OLE_LINK168"/>
      <w:r>
        <w:rPr>
          <w:rFonts w:hint="eastAsia" w:ascii="华文楷体" w:hAnsi="华文楷体" w:eastAsia="华文楷体"/>
          <w:sz w:val="24"/>
        </w:rPr>
        <w:t>图2-3</w:t>
      </w:r>
      <w:bookmarkEnd w:id="43"/>
      <w:r>
        <w:rPr>
          <w:rFonts w:hint="eastAsia" w:ascii="华文楷体" w:hAnsi="华文楷体" w:eastAsia="华文楷体"/>
          <w:sz w:val="24"/>
        </w:rPr>
        <w:t xml:space="preserve"> 2025年杭州市与省内部分城市城际经济连接度示意图</w:t>
      </w:r>
    </w:p>
    <w:p w14:paraId="371BF8CA">
      <w:pPr>
        <w:ind w:firstLine="480" w:firstLineChars="200"/>
        <w:jc w:val="both"/>
        <w:rPr>
          <w:rFonts w:hint="eastAsia" w:ascii="华文楷体" w:hAnsi="华文楷体" w:eastAsia="华文楷体"/>
          <w:sz w:val="24"/>
        </w:rPr>
      </w:pPr>
      <w:r>
        <w:rPr>
          <w:rFonts w:hint="eastAsia" w:ascii="华文楷体" w:hAnsi="华文楷体" w:eastAsia="华文楷体"/>
          <w:sz w:val="24"/>
        </w:rPr>
        <w:t>表2-2以及图2-3呈现2025年杭州与周边城市城际经济连接度的“核心辐射-梯度衰减”空间格局。</w:t>
      </w:r>
      <w:bookmarkStart w:id="44" w:name="OLE_LINK266"/>
      <w:r>
        <w:rPr>
          <w:rFonts w:ascii="华文楷体" w:hAnsi="华文楷体" w:eastAsia="华文楷体"/>
          <w:sz w:val="24"/>
        </w:rPr>
        <w:t>核心圈层包括</w:t>
      </w:r>
      <w:bookmarkStart w:id="45" w:name="OLE_LINK346"/>
      <w:r>
        <w:rPr>
          <w:rFonts w:ascii="华文楷体" w:hAnsi="华文楷体" w:eastAsia="华文楷体"/>
          <w:sz w:val="24"/>
        </w:rPr>
        <w:t>嘉兴市、湖州市、绍兴市</w:t>
      </w:r>
      <w:bookmarkEnd w:id="45"/>
      <w:r>
        <w:rPr>
          <w:rFonts w:ascii="华文楷体" w:hAnsi="华文楷体" w:eastAsia="华文楷体"/>
          <w:sz w:val="24"/>
        </w:rPr>
        <w:t>，构成杭州都市圈协同体，依托G60沪昆高速公路、杭州绕城高速、杭金衢高速等密集高速公路网络形成紧密联系。《浙江省综合交通运输发展</w:t>
      </w:r>
      <w:r>
        <w:rPr>
          <w:rFonts w:hint="eastAsia" w:ascii="华文楷体" w:hAnsi="华文楷体" w:eastAsia="华文楷体"/>
          <w:sz w:val="24"/>
        </w:rPr>
        <w:t>“</w:t>
      </w:r>
      <w:r>
        <w:rPr>
          <w:rFonts w:ascii="华文楷体" w:hAnsi="华文楷体" w:eastAsia="华文楷体"/>
          <w:sz w:val="24"/>
        </w:rPr>
        <w:t>十四五</w:t>
      </w:r>
      <w:r>
        <w:rPr>
          <w:rFonts w:hint="eastAsia" w:ascii="华文楷体" w:hAnsi="华文楷体" w:eastAsia="华文楷体"/>
          <w:sz w:val="24"/>
        </w:rPr>
        <w:t>”</w:t>
      </w:r>
      <w:r>
        <w:rPr>
          <w:rFonts w:ascii="华文楷体" w:hAnsi="华文楷体" w:eastAsia="华文楷体"/>
          <w:sz w:val="24"/>
        </w:rPr>
        <w:t>规划》提出建设杭州都市圈高速公路环线，推进杭绍甬智慧高速、杭德城际等项目建设</w:t>
      </w:r>
      <w:r>
        <w:rPr>
          <w:rStyle w:val="24"/>
          <w:rFonts w:hint="eastAsia" w:ascii="华文楷体" w:hAnsi="华文楷体" w:eastAsia="华文楷体"/>
          <w:sz w:val="24"/>
        </w:rPr>
        <w:footnoteReference w:id="5"/>
      </w:r>
      <w:r>
        <w:rPr>
          <w:rFonts w:ascii="华文楷体" w:hAnsi="华文楷体" w:eastAsia="华文楷体"/>
          <w:sz w:val="24"/>
        </w:rPr>
        <w:t>，强化杭州</w:t>
      </w:r>
      <w:r>
        <w:rPr>
          <w:rFonts w:hint="eastAsia" w:ascii="华文楷体" w:hAnsi="华文楷体" w:eastAsia="华文楷体"/>
          <w:sz w:val="24"/>
        </w:rPr>
        <w:t>市</w:t>
      </w:r>
      <w:r>
        <w:rPr>
          <w:rFonts w:ascii="华文楷体" w:hAnsi="华文楷体" w:eastAsia="华文楷体"/>
          <w:sz w:val="24"/>
        </w:rPr>
        <w:t xml:space="preserve">与嘉兴市、湖州市、绍兴市的交通一体化发展。 </w:t>
      </w:r>
    </w:p>
    <w:bookmarkEnd w:id="44"/>
    <w:p w14:paraId="3D49F8C7">
      <w:pPr>
        <w:ind w:firstLine="480" w:firstLineChars="200"/>
        <w:jc w:val="both"/>
        <w:rPr>
          <w:rFonts w:hint="eastAsia" w:ascii="华文楷体" w:hAnsi="华文楷体" w:eastAsia="华文楷体"/>
          <w:sz w:val="24"/>
        </w:rPr>
      </w:pPr>
      <w:r>
        <w:rPr>
          <w:rFonts w:ascii="华文楷体" w:hAnsi="华文楷体" w:eastAsia="华文楷体"/>
          <w:sz w:val="24"/>
        </w:rPr>
        <w:t>温州市、台州市与杭州市的距离远于杭嘉湖绍通勤范围，高速公路联系相对较弱。杭州与丽水、衢州通过杭金衢高速、杭新景高速等高速公路连接，但受地理距离和地形条件限制，城际经济连接度</w:t>
      </w:r>
      <w:r>
        <w:rPr>
          <w:rFonts w:hint="eastAsia" w:ascii="华文楷体" w:hAnsi="华文楷体" w:eastAsia="华文楷体"/>
          <w:sz w:val="24"/>
        </w:rPr>
        <w:t>相对</w:t>
      </w:r>
      <w:r>
        <w:rPr>
          <w:rFonts w:ascii="华文楷体" w:hAnsi="华文楷体" w:eastAsia="华文楷体"/>
          <w:sz w:val="24"/>
        </w:rPr>
        <w:t>较低。</w:t>
      </w:r>
      <w:r>
        <w:rPr>
          <w:rFonts w:hint="eastAsia" w:ascii="华文楷体" w:hAnsi="华文楷体" w:eastAsia="华文楷体"/>
          <w:sz w:val="24"/>
        </w:rPr>
        <w:t>舟山作为群岛城市，陆地交通受限，目前主要依托甬舟高速公路连接宁波，与杭州的直达高速公路联系需通过宁波中转。</w:t>
      </w:r>
    </w:p>
    <w:bookmarkEnd w:id="36"/>
    <w:p w14:paraId="3A81E14A">
      <w:pPr>
        <w:pStyle w:val="4"/>
        <w:rPr>
          <w:rFonts w:hint="eastAsia" w:ascii="华文楷体" w:hAnsi="华文楷体" w:eastAsia="华文楷体"/>
          <w:b/>
          <w:bCs/>
          <w:color w:val="000000" w:themeColor="text1"/>
          <w:sz w:val="24"/>
          <w:szCs w:val="24"/>
          <w14:textFill>
            <w14:solidFill>
              <w14:schemeClr w14:val="tx1"/>
            </w14:solidFill>
          </w14:textFill>
        </w:rPr>
      </w:pPr>
      <w:bookmarkStart w:id="46" w:name="OLE_LINK59"/>
      <w:r>
        <w:rPr>
          <w:rFonts w:ascii="华文楷体" w:hAnsi="华文楷体" w:eastAsia="华文楷体"/>
          <w:b/>
          <w:bCs/>
          <w:color w:val="000000" w:themeColor="text1"/>
          <w:sz w:val="24"/>
          <w:szCs w:val="24"/>
          <w14:textFill>
            <w14:solidFill>
              <w14:schemeClr w14:val="tx1"/>
            </w14:solidFill>
          </w14:textFill>
        </w:rPr>
        <w:t xml:space="preserve">2.2.3 </w:t>
      </w:r>
      <w:bookmarkStart w:id="47" w:name="OLE_LINK58"/>
      <w:r>
        <w:rPr>
          <w:rFonts w:ascii="华文楷体" w:hAnsi="华文楷体" w:eastAsia="华文楷体"/>
          <w:b/>
          <w:bCs/>
          <w:color w:val="000000" w:themeColor="text1"/>
          <w:sz w:val="24"/>
          <w:szCs w:val="24"/>
          <w14:textFill>
            <w14:solidFill>
              <w14:schemeClr w14:val="tx1"/>
            </w14:solidFill>
          </w14:textFill>
        </w:rPr>
        <w:t>区域物流</w:t>
      </w:r>
      <w:bookmarkEnd w:id="47"/>
      <w:r>
        <w:rPr>
          <w:rFonts w:hint="eastAsia" w:ascii="华文楷体" w:hAnsi="华文楷体" w:eastAsia="华文楷体"/>
          <w:b/>
          <w:bCs/>
          <w:color w:val="000000" w:themeColor="text1"/>
          <w:sz w:val="24"/>
          <w:szCs w:val="24"/>
          <w14:textFill>
            <w14:solidFill>
              <w14:schemeClr w14:val="tx1"/>
            </w14:solidFill>
          </w14:textFill>
        </w:rPr>
        <w:t>活力分析</w:t>
      </w:r>
    </w:p>
    <w:p w14:paraId="4336D1CB">
      <w:pPr>
        <w:ind w:firstLine="480" w:firstLineChars="200"/>
        <w:jc w:val="both"/>
        <w:rPr>
          <w:rFonts w:hint="eastAsia" w:ascii="华文楷体" w:hAnsi="华文楷体" w:eastAsia="华文楷体"/>
          <w:sz w:val="24"/>
        </w:rPr>
      </w:pPr>
      <w:bookmarkStart w:id="48" w:name="OLE_LINK174"/>
      <w:r>
        <w:rPr>
          <w:rFonts w:hint="eastAsia" w:ascii="华文楷体" w:hAnsi="华文楷体" w:eastAsia="华文楷体"/>
          <w:sz w:val="24"/>
        </w:rPr>
        <w:t>区域物流</w:t>
      </w:r>
      <w:bookmarkStart w:id="49" w:name="OLE_LINK182"/>
      <w:r>
        <w:rPr>
          <w:rFonts w:hint="eastAsia" w:ascii="华文楷体" w:hAnsi="华文楷体" w:eastAsia="华文楷体"/>
          <w:sz w:val="24"/>
        </w:rPr>
        <w:t>活力</w:t>
      </w:r>
      <w:bookmarkEnd w:id="49"/>
      <w:r>
        <w:rPr>
          <w:rFonts w:hint="eastAsia" w:ascii="华文楷体" w:hAnsi="华文楷体" w:eastAsia="华文楷体"/>
          <w:sz w:val="24"/>
        </w:rPr>
        <w:t>分析指标通过</w:t>
      </w:r>
      <w:r>
        <w:rPr>
          <w:rFonts w:ascii="华文楷体" w:hAnsi="华文楷体" w:eastAsia="华文楷体"/>
          <w:sz w:val="24"/>
        </w:rPr>
        <w:t>分析</w:t>
      </w:r>
      <w:r>
        <w:rPr>
          <w:rFonts w:hint="eastAsia" w:ascii="华文楷体" w:hAnsi="华文楷体" w:eastAsia="华文楷体"/>
          <w:sz w:val="24"/>
        </w:rPr>
        <w:t>区域外省货运流量占比（占浙江省的外省货运流量比重）、省内货运流量（占浙江省的省内货运流量比重）、区域与省外各城市之间的通行费总和（占浙江省的省外通行费比重）、区域与省内各城市之间的通行费总和（占浙江省的省内通行费比重）四</w:t>
      </w:r>
      <w:r>
        <w:rPr>
          <w:rFonts w:ascii="华文楷体" w:hAnsi="华文楷体" w:eastAsia="华文楷体"/>
          <w:sz w:val="24"/>
        </w:rPr>
        <w:t>个维度，构建区域</w:t>
      </w:r>
      <w:bookmarkStart w:id="50" w:name="OLE_LINK184"/>
      <w:r>
        <w:rPr>
          <w:rFonts w:ascii="华文楷体" w:hAnsi="华文楷体" w:eastAsia="华文楷体"/>
          <w:sz w:val="24"/>
        </w:rPr>
        <w:t>物流</w:t>
      </w:r>
      <w:r>
        <w:rPr>
          <w:rFonts w:hint="eastAsia" w:ascii="华文楷体" w:hAnsi="华文楷体" w:eastAsia="华文楷体"/>
          <w:sz w:val="24"/>
        </w:rPr>
        <w:t>活力指数</w:t>
      </w:r>
      <w:bookmarkEnd w:id="50"/>
      <w:r>
        <w:rPr>
          <w:rFonts w:ascii="华文楷体" w:hAnsi="华文楷体" w:eastAsia="华文楷体"/>
          <w:sz w:val="24"/>
        </w:rPr>
        <w:t>。</w:t>
      </w:r>
    </w:p>
    <w:p w14:paraId="4BC3CC69">
      <w:pPr>
        <w:ind w:firstLine="480" w:firstLineChars="200"/>
        <w:jc w:val="both"/>
        <w:rPr>
          <w:rFonts w:hint="eastAsia" w:ascii="华文楷体" w:hAnsi="华文楷体" w:eastAsia="华文楷体"/>
          <w:sz w:val="24"/>
        </w:rPr>
      </w:pPr>
      <w:r>
        <w:rPr>
          <w:rFonts w:ascii="华文楷体" w:hAnsi="华文楷体" w:eastAsia="华文楷体"/>
          <w:sz w:val="24"/>
        </w:rPr>
        <w:t>作为物流市场健康状况的</w:t>
      </w:r>
      <w:r>
        <w:rPr>
          <w:rFonts w:hint="eastAsia" w:ascii="华文楷体" w:hAnsi="华文楷体" w:eastAsia="华文楷体"/>
          <w:sz w:val="24"/>
        </w:rPr>
        <w:t>“</w:t>
      </w:r>
      <w:bookmarkStart w:id="51" w:name="OLE_LINK66"/>
      <w:r>
        <w:rPr>
          <w:rFonts w:hint="eastAsia" w:ascii="华文楷体" w:hAnsi="华文楷体" w:eastAsia="华文楷体"/>
          <w:sz w:val="24"/>
        </w:rPr>
        <w:t>晴雨表</w:t>
      </w:r>
      <w:bookmarkEnd w:id="51"/>
      <w:r>
        <w:rPr>
          <w:rFonts w:hint="eastAsia" w:ascii="华文楷体" w:hAnsi="华文楷体" w:eastAsia="华文楷体"/>
          <w:sz w:val="24"/>
        </w:rPr>
        <w:t>”</w:t>
      </w:r>
      <w:r>
        <w:rPr>
          <w:rFonts w:ascii="华文楷体" w:hAnsi="华文楷体" w:eastAsia="华文楷体"/>
          <w:sz w:val="24"/>
        </w:rPr>
        <w:t>，该</w:t>
      </w:r>
      <w:r>
        <w:rPr>
          <w:rFonts w:hint="eastAsia" w:ascii="华文楷体" w:hAnsi="华文楷体" w:eastAsia="华文楷体"/>
          <w:sz w:val="24"/>
        </w:rPr>
        <w:t>指标</w:t>
      </w:r>
      <w:r>
        <w:rPr>
          <w:rFonts w:ascii="华文楷体" w:hAnsi="华文楷体" w:eastAsia="华文楷体"/>
          <w:sz w:val="24"/>
        </w:rPr>
        <w:t>反映区域物流行业的活跃程度，为物流行业发展提供决策支持，助力优化物流效率和降低成本，提升区域供应链竞争力。</w:t>
      </w:r>
    </w:p>
    <w:p w14:paraId="4B109EA5">
      <w:pPr>
        <w:jc w:val="center"/>
        <w:rPr>
          <w:rFonts w:hint="eastAsia" w:ascii="华文楷体" w:hAnsi="华文楷体" w:eastAsia="华文楷体"/>
          <w:sz w:val="24"/>
        </w:rPr>
      </w:pPr>
      <w:bookmarkStart w:id="52" w:name="OLE_LINK63"/>
      <w:bookmarkStart w:id="53" w:name="OLE_LINK133"/>
      <w:r>
        <w:rPr>
          <w:rFonts w:hint="eastAsia" w:ascii="华文楷体" w:hAnsi="华文楷体" w:eastAsia="华文楷体"/>
          <w:sz w:val="24"/>
        </w:rPr>
        <w:t>表2-3 2025年区域</w:t>
      </w:r>
      <w:bookmarkEnd w:id="52"/>
      <w:r>
        <w:rPr>
          <w:rFonts w:ascii="华文楷体" w:hAnsi="华文楷体" w:eastAsia="华文楷体"/>
          <w:sz w:val="24"/>
        </w:rPr>
        <w:t>物流</w:t>
      </w:r>
      <w:r>
        <w:rPr>
          <w:rFonts w:hint="eastAsia" w:ascii="华文楷体" w:hAnsi="华文楷体" w:eastAsia="华文楷体"/>
          <w:sz w:val="24"/>
        </w:rPr>
        <w:t>活力指数排名</w:t>
      </w:r>
    </w:p>
    <w:bookmarkEnd w:id="53"/>
    <w:tbl>
      <w:tblPr>
        <w:tblStyle w:val="48"/>
        <w:tblW w:w="83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82"/>
        <w:gridCol w:w="4182"/>
      </w:tblGrid>
      <w:tr w14:paraId="1631C2C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bottom w:val="single" w:color="7E7E7E" w:themeColor="text1" w:themeTint="80" w:sz="4" w:space="0"/>
              <w:insideH w:val="single" w:sz="4" w:space="0"/>
            </w:tcBorders>
            <w:noWrap/>
          </w:tcPr>
          <w:p w14:paraId="55556D9B">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城市</w:t>
            </w:r>
          </w:p>
        </w:tc>
        <w:tc>
          <w:tcPr>
            <w:tcW w:w="4182" w:type="dxa"/>
            <w:tcBorders>
              <w:bottom w:val="single" w:color="7E7E7E" w:themeColor="text1" w:themeTint="80" w:sz="4" w:space="0"/>
              <w:insideH w:val="single" w:sz="4" w:space="0"/>
            </w:tcBorders>
            <w:noWrap/>
          </w:tcPr>
          <w:p w14:paraId="495AB444">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排名</w:t>
            </w:r>
          </w:p>
        </w:tc>
      </w:tr>
      <w:tr w14:paraId="1C18BE2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center"/>
          </w:tcPr>
          <w:p w14:paraId="0E0A9CBF">
            <w:pPr>
              <w:widowControl/>
              <w:spacing w:after="0" w:line="240" w:lineRule="auto"/>
              <w:jc w:val="center"/>
              <w:rPr>
                <w:rFonts w:hint="eastAsia" w:ascii="华文楷体" w:hAnsi="华文楷体" w:eastAsia="华文楷体" w:cs="宋体"/>
                <w:b/>
                <w:bCs/>
                <w:color w:val="000000"/>
                <w:kern w:val="0"/>
                <w:sz w:val="18"/>
                <w:szCs w:val="18"/>
                <w14:ligatures w14:val="none"/>
              </w:rPr>
            </w:pPr>
            <w:bookmarkStart w:id="54" w:name="_Hlk223102013"/>
            <w:r>
              <w:rPr>
                <w:rFonts w:hint="eastAsia" w:ascii="华文楷体" w:hAnsi="华文楷体" w:eastAsia="华文楷体" w:cs="宋体"/>
                <w:b/>
                <w:bCs/>
                <w:color w:val="000000"/>
                <w:kern w:val="0"/>
                <w:sz w:val="18"/>
                <w:szCs w:val="18"/>
                <w14:ligatures w14:val="none"/>
              </w:rPr>
              <w:t>宁波市</w:t>
            </w:r>
          </w:p>
        </w:tc>
        <w:tc>
          <w:tcPr>
            <w:tcW w:w="4182" w:type="dxa"/>
            <w:tcBorders>
              <w:top w:val="single" w:color="7E7E7E" w:themeColor="text1" w:themeTint="80" w:sz="4" w:space="0"/>
              <w:bottom w:val="single" w:color="7E7E7E" w:themeColor="text1" w:themeTint="80" w:sz="4" w:space="0"/>
            </w:tcBorders>
            <w:noWrap/>
            <w:vAlign w:val="center"/>
          </w:tcPr>
          <w:p w14:paraId="482C0B4D">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1</w:t>
            </w:r>
          </w:p>
        </w:tc>
      </w:tr>
      <w:tr w14:paraId="456E7E5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center"/>
          </w:tcPr>
          <w:p w14:paraId="7C4487E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w:t>
            </w:r>
          </w:p>
        </w:tc>
        <w:tc>
          <w:tcPr>
            <w:tcW w:w="4182" w:type="dxa"/>
            <w:noWrap/>
            <w:vAlign w:val="center"/>
          </w:tcPr>
          <w:p w14:paraId="6C1FC68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2</w:t>
            </w:r>
          </w:p>
        </w:tc>
      </w:tr>
      <w:tr w14:paraId="02C5D07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center"/>
          </w:tcPr>
          <w:p w14:paraId="3AF182B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w:t>
            </w:r>
          </w:p>
        </w:tc>
        <w:tc>
          <w:tcPr>
            <w:tcW w:w="4182" w:type="dxa"/>
            <w:tcBorders>
              <w:top w:val="single" w:color="7E7E7E" w:themeColor="text1" w:themeTint="80" w:sz="4" w:space="0"/>
              <w:bottom w:val="single" w:color="7E7E7E" w:themeColor="text1" w:themeTint="80" w:sz="4" w:space="0"/>
            </w:tcBorders>
            <w:noWrap/>
            <w:vAlign w:val="center"/>
          </w:tcPr>
          <w:p w14:paraId="5E302EF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3</w:t>
            </w:r>
          </w:p>
        </w:tc>
      </w:tr>
      <w:tr w14:paraId="22EC178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center"/>
          </w:tcPr>
          <w:p w14:paraId="79DB7EE8">
            <w:pPr>
              <w:widowControl/>
              <w:spacing w:after="0" w:line="240" w:lineRule="auto"/>
              <w:jc w:val="center"/>
              <w:rPr>
                <w:rFonts w:hint="eastAsia" w:ascii="华文楷体" w:hAnsi="华文楷体" w:eastAsia="华文楷体" w:cs="宋体"/>
                <w:b/>
                <w:bCs/>
                <w:color w:val="000000"/>
                <w:kern w:val="0"/>
                <w:sz w:val="18"/>
                <w:szCs w:val="18"/>
                <w14:ligatures w14:val="none"/>
              </w:rPr>
            </w:pPr>
            <w:commentRangeStart w:id="4"/>
            <w:r>
              <w:rPr>
                <w:rFonts w:hint="eastAsia" w:ascii="华文楷体" w:hAnsi="华文楷体" w:eastAsia="华文楷体" w:cs="宋体"/>
                <w:b/>
                <w:bCs/>
                <w:color w:val="000000"/>
                <w:kern w:val="0"/>
                <w:sz w:val="18"/>
                <w:szCs w:val="18"/>
                <w14:ligatures w14:val="none"/>
              </w:rPr>
              <w:t>金华市</w:t>
            </w:r>
          </w:p>
        </w:tc>
        <w:tc>
          <w:tcPr>
            <w:tcW w:w="4182" w:type="dxa"/>
            <w:noWrap/>
            <w:vAlign w:val="center"/>
          </w:tcPr>
          <w:p w14:paraId="74A07906">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4</w:t>
            </w:r>
            <w:commentRangeEnd w:id="4"/>
            <w:r>
              <w:commentReference w:id="4"/>
            </w:r>
          </w:p>
        </w:tc>
      </w:tr>
      <w:tr w14:paraId="208FD45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center"/>
          </w:tcPr>
          <w:p w14:paraId="564F48C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湖州市</w:t>
            </w:r>
          </w:p>
        </w:tc>
        <w:tc>
          <w:tcPr>
            <w:tcW w:w="4182" w:type="dxa"/>
            <w:tcBorders>
              <w:top w:val="single" w:color="7E7E7E" w:themeColor="text1" w:themeTint="80" w:sz="4" w:space="0"/>
              <w:bottom w:val="single" w:color="7E7E7E" w:themeColor="text1" w:themeTint="80" w:sz="4" w:space="0"/>
            </w:tcBorders>
            <w:noWrap/>
            <w:vAlign w:val="center"/>
          </w:tcPr>
          <w:p w14:paraId="3AA7864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5</w:t>
            </w:r>
          </w:p>
        </w:tc>
      </w:tr>
      <w:tr w14:paraId="7CF4FA3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center"/>
          </w:tcPr>
          <w:p w14:paraId="48D2A0F7">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绍兴市</w:t>
            </w:r>
          </w:p>
        </w:tc>
        <w:tc>
          <w:tcPr>
            <w:tcW w:w="4182" w:type="dxa"/>
            <w:noWrap/>
            <w:vAlign w:val="center"/>
          </w:tcPr>
          <w:p w14:paraId="537611E0">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6</w:t>
            </w:r>
          </w:p>
        </w:tc>
      </w:tr>
      <w:tr w14:paraId="704BA62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center"/>
          </w:tcPr>
          <w:p w14:paraId="105F2C7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温州市</w:t>
            </w:r>
          </w:p>
        </w:tc>
        <w:tc>
          <w:tcPr>
            <w:tcW w:w="4182" w:type="dxa"/>
            <w:tcBorders>
              <w:top w:val="single" w:color="7E7E7E" w:themeColor="text1" w:themeTint="80" w:sz="4" w:space="0"/>
              <w:bottom w:val="single" w:color="7E7E7E" w:themeColor="text1" w:themeTint="80" w:sz="4" w:space="0"/>
            </w:tcBorders>
            <w:noWrap/>
            <w:vAlign w:val="center"/>
          </w:tcPr>
          <w:p w14:paraId="2E3920D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7</w:t>
            </w:r>
          </w:p>
        </w:tc>
      </w:tr>
      <w:tr w14:paraId="7B926A6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center"/>
          </w:tcPr>
          <w:p w14:paraId="18B920D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w:t>
            </w:r>
          </w:p>
        </w:tc>
        <w:tc>
          <w:tcPr>
            <w:tcW w:w="4182" w:type="dxa"/>
            <w:tcBorders>
              <w:top w:val="single" w:color="7E7E7E" w:themeColor="text1" w:themeTint="80" w:sz="4" w:space="0"/>
              <w:bottom w:val="single" w:color="7E7E7E" w:themeColor="text1" w:themeTint="80" w:sz="4" w:space="0"/>
            </w:tcBorders>
            <w:noWrap/>
            <w:vAlign w:val="center"/>
          </w:tcPr>
          <w:p w14:paraId="112DCFD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8</w:t>
            </w:r>
          </w:p>
        </w:tc>
      </w:tr>
      <w:tr w14:paraId="00E024D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center"/>
          </w:tcPr>
          <w:p w14:paraId="610EE4CC">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衢州市</w:t>
            </w:r>
          </w:p>
        </w:tc>
        <w:tc>
          <w:tcPr>
            <w:tcW w:w="4182" w:type="dxa"/>
            <w:tcBorders>
              <w:top w:val="single" w:color="7E7E7E" w:themeColor="text1" w:themeTint="80" w:sz="4" w:space="0"/>
              <w:bottom w:val="single" w:color="7E7E7E" w:themeColor="text1" w:themeTint="80" w:sz="4" w:space="0"/>
            </w:tcBorders>
            <w:noWrap/>
            <w:vAlign w:val="center"/>
          </w:tcPr>
          <w:p w14:paraId="136C45A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9</w:t>
            </w:r>
          </w:p>
        </w:tc>
      </w:tr>
      <w:tr w14:paraId="07EE34A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center"/>
          </w:tcPr>
          <w:p w14:paraId="31F24557">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w:t>
            </w:r>
          </w:p>
        </w:tc>
        <w:tc>
          <w:tcPr>
            <w:tcW w:w="4182" w:type="dxa"/>
            <w:noWrap/>
            <w:vAlign w:val="center"/>
          </w:tcPr>
          <w:p w14:paraId="365AF067">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10</w:t>
            </w:r>
          </w:p>
        </w:tc>
      </w:tr>
      <w:tr w14:paraId="5D17CF9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center"/>
          </w:tcPr>
          <w:p w14:paraId="5866E879">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舟山市</w:t>
            </w:r>
          </w:p>
        </w:tc>
        <w:tc>
          <w:tcPr>
            <w:tcW w:w="4182" w:type="dxa"/>
            <w:tcBorders>
              <w:top w:val="single" w:color="7E7E7E" w:themeColor="text1" w:themeTint="80" w:sz="4" w:space="0"/>
              <w:bottom w:val="single" w:color="7E7E7E" w:themeColor="text1" w:themeTint="80" w:sz="4" w:space="0"/>
            </w:tcBorders>
            <w:noWrap/>
            <w:vAlign w:val="center"/>
          </w:tcPr>
          <w:p w14:paraId="7EF142D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color w:val="000000"/>
                <w:kern w:val="0"/>
                <w:sz w:val="18"/>
                <w:szCs w:val="18"/>
                <w14:ligatures w14:val="none"/>
              </w:rPr>
              <w:t>11</w:t>
            </w:r>
          </w:p>
        </w:tc>
      </w:tr>
      <w:bookmarkEnd w:id="48"/>
      <w:bookmarkEnd w:id="54"/>
    </w:tbl>
    <w:p w14:paraId="4CAD7A34">
      <w:pPr>
        <w:ind w:firstLine="480" w:firstLineChars="200"/>
        <w:jc w:val="both"/>
        <w:rPr>
          <w:rFonts w:hint="eastAsia" w:ascii="华文楷体" w:hAnsi="华文楷体" w:eastAsia="华文楷体"/>
          <w:sz w:val="24"/>
        </w:rPr>
      </w:pPr>
      <w:bookmarkStart w:id="55" w:name="OLE_LINK302"/>
      <w:r>
        <w:rPr>
          <w:rFonts w:hint="eastAsia" w:ascii="华文楷体" w:hAnsi="华文楷体" w:eastAsia="华文楷体"/>
          <w:sz w:val="24"/>
        </w:rPr>
        <w:t>表2-3呈现2025年浙江省区域</w:t>
      </w:r>
      <w:r>
        <w:rPr>
          <w:rFonts w:ascii="华文楷体" w:hAnsi="华文楷体" w:eastAsia="华文楷体"/>
          <w:sz w:val="24"/>
        </w:rPr>
        <w:t>物流</w:t>
      </w:r>
      <w:r>
        <w:rPr>
          <w:rFonts w:hint="eastAsia" w:ascii="华文楷体" w:hAnsi="华文楷体" w:eastAsia="华文楷体"/>
          <w:sz w:val="24"/>
        </w:rPr>
        <w:t>活力指数的分布格局。宁波市、嘉兴市、杭州市构成第一梯队，彰显长三角核心引擎作用；金华市、湖州市、绍兴市为第二梯队；温州市、台州市、舟山市、丽水市、衢州市为第三梯队。</w:t>
      </w:r>
    </w:p>
    <w:bookmarkEnd w:id="55"/>
    <w:p w14:paraId="40EB535E">
      <w:pPr>
        <w:ind w:firstLine="480" w:firstLineChars="200"/>
        <w:jc w:val="both"/>
        <w:rPr>
          <w:rFonts w:hint="eastAsia" w:ascii="华文楷体" w:hAnsi="华文楷体" w:eastAsia="华文楷体"/>
          <w:sz w:val="24"/>
        </w:rPr>
      </w:pPr>
      <w:r>
        <w:rPr>
          <w:rFonts w:hint="eastAsia" w:ascii="华文楷体" w:hAnsi="华文楷体" w:eastAsia="华文楷体"/>
          <w:sz w:val="24"/>
        </w:rPr>
        <w:t>宁波市依托世界第一大港宁波舟山港，强化外向型物流枢纽功能，呈现出蓬勃的区域物流活力。</w:t>
      </w:r>
      <w:bookmarkStart w:id="56" w:name="OLE_LINK363"/>
      <w:r>
        <w:rPr>
          <w:rFonts w:hint="eastAsia" w:ascii="华文楷体" w:hAnsi="华文楷体" w:eastAsia="华文楷体"/>
          <w:sz w:val="24"/>
        </w:rPr>
        <w:t>宁波舟山港集疏运体系依托杭甬高速、甬金高速、杭甬高速复线等多条高速公路</w:t>
      </w:r>
      <w:bookmarkEnd w:id="56"/>
      <w:r>
        <w:rPr>
          <w:rFonts w:hint="eastAsia" w:ascii="华文楷体" w:hAnsi="华文楷体" w:eastAsia="华文楷体"/>
          <w:sz w:val="24"/>
        </w:rPr>
        <w:t>，形成“一环六横七纵多连”的公路集疏运网络，东联舟山、宁波港区，西接杭州、绍兴及内陆腹地，路网畅连进一步放大了区域物流活跃度。</w:t>
      </w:r>
    </w:p>
    <w:p w14:paraId="0BBF9092">
      <w:pPr>
        <w:ind w:firstLine="480" w:firstLineChars="200"/>
        <w:jc w:val="both"/>
        <w:rPr>
          <w:rFonts w:hint="eastAsia" w:ascii="华文楷体" w:hAnsi="华文楷体" w:eastAsia="华文楷体"/>
          <w:sz w:val="24"/>
        </w:rPr>
      </w:pPr>
      <w:r>
        <w:rPr>
          <w:rFonts w:ascii="华文楷体" w:hAnsi="华文楷体" w:eastAsia="华文楷体"/>
          <w:sz w:val="24"/>
        </w:rPr>
        <w:t>嘉兴市高速公路总里程达469公里，每百平方公里密度为11.9公里，列全省第一</w:t>
      </w:r>
      <w:r>
        <w:rPr>
          <w:rStyle w:val="24"/>
          <w:rFonts w:hint="eastAsia" w:ascii="华文楷体" w:hAnsi="华文楷体" w:eastAsia="华文楷体"/>
          <w:sz w:val="24"/>
        </w:rPr>
        <w:footnoteReference w:id="6"/>
      </w:r>
      <w:r>
        <w:rPr>
          <w:rFonts w:hint="eastAsia" w:ascii="华文楷体" w:hAnsi="华文楷体" w:eastAsia="华文楷体"/>
          <w:sz w:val="24"/>
        </w:rPr>
        <w:t>；</w:t>
      </w:r>
      <w:r>
        <w:rPr>
          <w:rFonts w:ascii="华文楷体" w:hAnsi="华文楷体" w:eastAsia="华文楷体"/>
          <w:sz w:val="24"/>
        </w:rPr>
        <w:t>杭州市依托《浙江省综合交通运输发展</w:t>
      </w:r>
      <w:r>
        <w:rPr>
          <w:rFonts w:hint="eastAsia" w:ascii="华文楷体" w:hAnsi="华文楷体" w:eastAsia="华文楷体"/>
          <w:sz w:val="24"/>
        </w:rPr>
        <w:t>“</w:t>
      </w:r>
      <w:r>
        <w:rPr>
          <w:rFonts w:ascii="华文楷体" w:hAnsi="华文楷体" w:eastAsia="华文楷体"/>
          <w:sz w:val="24"/>
        </w:rPr>
        <w:t>十四五</w:t>
      </w:r>
      <w:r>
        <w:rPr>
          <w:rFonts w:hint="eastAsia" w:ascii="华文楷体" w:hAnsi="华文楷体" w:eastAsia="华文楷体"/>
          <w:sz w:val="24"/>
        </w:rPr>
        <w:t>”</w:t>
      </w:r>
      <w:r>
        <w:rPr>
          <w:rFonts w:ascii="华文楷体" w:hAnsi="华文楷体" w:eastAsia="华文楷体"/>
          <w:sz w:val="24"/>
        </w:rPr>
        <w:t>规划》</w:t>
      </w:r>
      <w:r>
        <w:rPr>
          <w:rStyle w:val="24"/>
          <w:rFonts w:hint="eastAsia" w:ascii="华文楷体" w:hAnsi="华文楷体" w:eastAsia="华文楷体"/>
          <w:sz w:val="24"/>
        </w:rPr>
        <w:footnoteReference w:id="7"/>
      </w:r>
      <w:r>
        <w:rPr>
          <w:rFonts w:ascii="华文楷体" w:hAnsi="华文楷体" w:eastAsia="华文楷体"/>
          <w:sz w:val="24"/>
        </w:rPr>
        <w:t>，加快高速公路物流数字化转型，推进杭绍甬智慧高速等项目建设，打造智能网联的车路协同基础设施。</w:t>
      </w:r>
      <w:r>
        <w:rPr>
          <w:rStyle w:val="23"/>
          <w:rFonts w:hint="eastAsia" w:ascii="华文楷体" w:hAnsi="华文楷体" w:eastAsia="华文楷体"/>
          <w:sz w:val="24"/>
          <w:szCs w:val="24"/>
        </w:rPr>
        <w:t>处在沪杭-苏甬交汇处的嘉兴，区域物流活力强。</w:t>
      </w:r>
    </w:p>
    <w:p w14:paraId="0E36CCEC">
      <w:pPr>
        <w:jc w:val="center"/>
        <w:rPr>
          <w:rFonts w:hint="eastAsia" w:ascii="华文楷体" w:hAnsi="华文楷体" w:eastAsia="华文楷体"/>
          <w:sz w:val="24"/>
        </w:rPr>
      </w:pPr>
      <w:r>
        <w:rPr>
          <w:rFonts w:hint="eastAsia" w:ascii="华文楷体" w:hAnsi="华文楷体" w:eastAsia="华文楷体"/>
          <w:sz w:val="24"/>
        </w:rPr>
        <w:t>表2-4 2025年浙江省各市区物流活力指数</w:t>
      </w:r>
    </w:p>
    <w:tbl>
      <w:tblPr>
        <w:tblStyle w:val="48"/>
        <w:tblW w:w="8505"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2"/>
        <w:gridCol w:w="636"/>
        <w:gridCol w:w="636"/>
        <w:gridCol w:w="635"/>
        <w:gridCol w:w="635"/>
        <w:gridCol w:w="635"/>
        <w:gridCol w:w="635"/>
        <w:gridCol w:w="635"/>
        <w:gridCol w:w="635"/>
        <w:gridCol w:w="635"/>
        <w:gridCol w:w="635"/>
        <w:gridCol w:w="635"/>
        <w:gridCol w:w="796"/>
      </w:tblGrid>
      <w:tr w14:paraId="5DC9B36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722" w:type="dxa"/>
            <w:tcBorders>
              <w:bottom w:val="single" w:color="7E7E7E" w:themeColor="text1" w:themeTint="80" w:sz="4" w:space="0"/>
              <w:insideH w:val="single" w:sz="4" w:space="0"/>
            </w:tcBorders>
            <w:noWrap/>
          </w:tcPr>
          <w:p w14:paraId="08EC4560">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城市</w:t>
            </w:r>
          </w:p>
        </w:tc>
        <w:tc>
          <w:tcPr>
            <w:tcW w:w="636" w:type="dxa"/>
            <w:tcBorders>
              <w:bottom w:val="single" w:color="7E7E7E" w:themeColor="text1" w:themeTint="80" w:sz="4" w:space="0"/>
              <w:insideH w:val="single" w:sz="4" w:space="0"/>
            </w:tcBorders>
            <w:noWrap/>
          </w:tcPr>
          <w:p w14:paraId="6B2E21F4">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1月</w:t>
            </w:r>
          </w:p>
        </w:tc>
        <w:tc>
          <w:tcPr>
            <w:tcW w:w="636" w:type="dxa"/>
            <w:tcBorders>
              <w:bottom w:val="single" w:color="7E7E7E" w:themeColor="text1" w:themeTint="80" w:sz="4" w:space="0"/>
              <w:insideH w:val="single" w:sz="4" w:space="0"/>
            </w:tcBorders>
            <w:noWrap/>
          </w:tcPr>
          <w:p w14:paraId="63D982AD">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2月</w:t>
            </w:r>
          </w:p>
        </w:tc>
        <w:tc>
          <w:tcPr>
            <w:tcW w:w="635" w:type="dxa"/>
            <w:tcBorders>
              <w:bottom w:val="single" w:color="7E7E7E" w:themeColor="text1" w:themeTint="80" w:sz="4" w:space="0"/>
              <w:insideH w:val="single" w:sz="4" w:space="0"/>
            </w:tcBorders>
            <w:noWrap/>
          </w:tcPr>
          <w:p w14:paraId="2A771C90">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3月</w:t>
            </w:r>
          </w:p>
        </w:tc>
        <w:tc>
          <w:tcPr>
            <w:tcW w:w="635" w:type="dxa"/>
            <w:tcBorders>
              <w:bottom w:val="single" w:color="7E7E7E" w:themeColor="text1" w:themeTint="80" w:sz="4" w:space="0"/>
              <w:insideH w:val="single" w:sz="4" w:space="0"/>
            </w:tcBorders>
            <w:noWrap/>
          </w:tcPr>
          <w:p w14:paraId="368F8180">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4月</w:t>
            </w:r>
          </w:p>
        </w:tc>
        <w:tc>
          <w:tcPr>
            <w:tcW w:w="635" w:type="dxa"/>
            <w:tcBorders>
              <w:bottom w:val="single" w:color="7E7E7E" w:themeColor="text1" w:themeTint="80" w:sz="4" w:space="0"/>
              <w:insideH w:val="single" w:sz="4" w:space="0"/>
            </w:tcBorders>
            <w:noWrap/>
          </w:tcPr>
          <w:p w14:paraId="3A67E664">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5月</w:t>
            </w:r>
          </w:p>
        </w:tc>
        <w:tc>
          <w:tcPr>
            <w:tcW w:w="635" w:type="dxa"/>
            <w:tcBorders>
              <w:bottom w:val="single" w:color="7E7E7E" w:themeColor="text1" w:themeTint="80" w:sz="4" w:space="0"/>
              <w:insideH w:val="single" w:sz="4" w:space="0"/>
            </w:tcBorders>
            <w:noWrap/>
          </w:tcPr>
          <w:p w14:paraId="3EFE4A78">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6月</w:t>
            </w:r>
          </w:p>
        </w:tc>
        <w:tc>
          <w:tcPr>
            <w:tcW w:w="635" w:type="dxa"/>
            <w:tcBorders>
              <w:bottom w:val="single" w:color="7E7E7E" w:themeColor="text1" w:themeTint="80" w:sz="4" w:space="0"/>
              <w:insideH w:val="single" w:sz="4" w:space="0"/>
            </w:tcBorders>
            <w:noWrap/>
          </w:tcPr>
          <w:p w14:paraId="3C7BA3A7">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7月</w:t>
            </w:r>
          </w:p>
        </w:tc>
        <w:tc>
          <w:tcPr>
            <w:tcW w:w="635" w:type="dxa"/>
            <w:tcBorders>
              <w:bottom w:val="single" w:color="7E7E7E" w:themeColor="text1" w:themeTint="80" w:sz="4" w:space="0"/>
              <w:insideH w:val="single" w:sz="4" w:space="0"/>
            </w:tcBorders>
            <w:noWrap/>
          </w:tcPr>
          <w:p w14:paraId="6E421123">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8月</w:t>
            </w:r>
          </w:p>
        </w:tc>
        <w:tc>
          <w:tcPr>
            <w:tcW w:w="635" w:type="dxa"/>
            <w:tcBorders>
              <w:bottom w:val="single" w:color="7E7E7E" w:themeColor="text1" w:themeTint="80" w:sz="4" w:space="0"/>
              <w:insideH w:val="single" w:sz="4" w:space="0"/>
            </w:tcBorders>
            <w:noWrap/>
          </w:tcPr>
          <w:p w14:paraId="779852E3">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9月</w:t>
            </w:r>
          </w:p>
        </w:tc>
        <w:tc>
          <w:tcPr>
            <w:tcW w:w="635" w:type="dxa"/>
            <w:tcBorders>
              <w:bottom w:val="single" w:color="7E7E7E" w:themeColor="text1" w:themeTint="80" w:sz="4" w:space="0"/>
              <w:insideH w:val="single" w:sz="4" w:space="0"/>
            </w:tcBorders>
            <w:noWrap/>
          </w:tcPr>
          <w:p w14:paraId="29B0D350">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10月</w:t>
            </w:r>
          </w:p>
        </w:tc>
        <w:tc>
          <w:tcPr>
            <w:tcW w:w="635" w:type="dxa"/>
            <w:tcBorders>
              <w:bottom w:val="single" w:color="7E7E7E" w:themeColor="text1" w:themeTint="80" w:sz="4" w:space="0"/>
              <w:insideH w:val="single" w:sz="4" w:space="0"/>
            </w:tcBorders>
            <w:noWrap/>
          </w:tcPr>
          <w:p w14:paraId="7FA77FD9">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11月</w:t>
            </w:r>
          </w:p>
        </w:tc>
        <w:tc>
          <w:tcPr>
            <w:tcW w:w="796" w:type="dxa"/>
            <w:tcBorders>
              <w:bottom w:val="single" w:color="7E7E7E" w:themeColor="text1" w:themeTint="80" w:sz="4" w:space="0"/>
              <w:insideH w:val="single" w:sz="4" w:space="0"/>
            </w:tcBorders>
            <w:noWrap/>
          </w:tcPr>
          <w:p w14:paraId="57E0953A">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12月</w:t>
            </w:r>
          </w:p>
        </w:tc>
      </w:tr>
      <w:tr w14:paraId="1AD7D66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tcBorders>
              <w:top w:val="single" w:color="7E7E7E" w:themeColor="text1" w:themeTint="80" w:sz="4" w:space="0"/>
              <w:bottom w:val="single" w:color="7E7E7E" w:themeColor="text1" w:themeTint="80" w:sz="4" w:space="0"/>
            </w:tcBorders>
            <w:noWrap/>
            <w:vAlign w:val="center"/>
          </w:tcPr>
          <w:p w14:paraId="1DF44E63">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杭州市</w:t>
            </w:r>
          </w:p>
        </w:tc>
        <w:tc>
          <w:tcPr>
            <w:tcW w:w="636" w:type="dxa"/>
            <w:tcBorders>
              <w:top w:val="single" w:color="7E7E7E" w:themeColor="text1" w:themeTint="80" w:sz="4" w:space="0"/>
              <w:bottom w:val="single" w:color="7E7E7E" w:themeColor="text1" w:themeTint="80" w:sz="4" w:space="0"/>
            </w:tcBorders>
            <w:noWrap/>
            <w:vAlign w:val="center"/>
          </w:tcPr>
          <w:p w14:paraId="406FE8E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84.53</w:t>
            </w:r>
          </w:p>
        </w:tc>
        <w:tc>
          <w:tcPr>
            <w:tcW w:w="636" w:type="dxa"/>
            <w:tcBorders>
              <w:top w:val="single" w:color="7E7E7E" w:themeColor="text1" w:themeTint="80" w:sz="4" w:space="0"/>
              <w:bottom w:val="single" w:color="7E7E7E" w:themeColor="text1" w:themeTint="80" w:sz="4" w:space="0"/>
            </w:tcBorders>
            <w:noWrap/>
            <w:vAlign w:val="center"/>
          </w:tcPr>
          <w:p w14:paraId="2045F36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85.77</w:t>
            </w:r>
          </w:p>
        </w:tc>
        <w:tc>
          <w:tcPr>
            <w:tcW w:w="635" w:type="dxa"/>
            <w:tcBorders>
              <w:top w:val="single" w:color="7E7E7E" w:themeColor="text1" w:themeTint="80" w:sz="4" w:space="0"/>
              <w:bottom w:val="single" w:color="7E7E7E" w:themeColor="text1" w:themeTint="80" w:sz="4" w:space="0"/>
            </w:tcBorders>
            <w:noWrap/>
            <w:vAlign w:val="center"/>
          </w:tcPr>
          <w:p w14:paraId="369887D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81.69</w:t>
            </w:r>
          </w:p>
        </w:tc>
        <w:tc>
          <w:tcPr>
            <w:tcW w:w="635" w:type="dxa"/>
            <w:tcBorders>
              <w:top w:val="single" w:color="7E7E7E" w:themeColor="text1" w:themeTint="80" w:sz="4" w:space="0"/>
              <w:bottom w:val="single" w:color="7E7E7E" w:themeColor="text1" w:themeTint="80" w:sz="4" w:space="0"/>
            </w:tcBorders>
            <w:noWrap/>
            <w:vAlign w:val="center"/>
          </w:tcPr>
          <w:p w14:paraId="149F5A5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82.38</w:t>
            </w:r>
          </w:p>
        </w:tc>
        <w:tc>
          <w:tcPr>
            <w:tcW w:w="635" w:type="dxa"/>
            <w:tcBorders>
              <w:top w:val="single" w:color="7E7E7E" w:themeColor="text1" w:themeTint="80" w:sz="4" w:space="0"/>
              <w:bottom w:val="single" w:color="7E7E7E" w:themeColor="text1" w:themeTint="80" w:sz="4" w:space="0"/>
            </w:tcBorders>
            <w:noWrap/>
            <w:vAlign w:val="center"/>
          </w:tcPr>
          <w:p w14:paraId="405A317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83.17</w:t>
            </w:r>
          </w:p>
        </w:tc>
        <w:tc>
          <w:tcPr>
            <w:tcW w:w="635" w:type="dxa"/>
            <w:tcBorders>
              <w:top w:val="single" w:color="7E7E7E" w:themeColor="text1" w:themeTint="80" w:sz="4" w:space="0"/>
              <w:bottom w:val="single" w:color="7E7E7E" w:themeColor="text1" w:themeTint="80" w:sz="4" w:space="0"/>
            </w:tcBorders>
            <w:noWrap/>
            <w:vAlign w:val="center"/>
          </w:tcPr>
          <w:p w14:paraId="5F27BAD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82.19</w:t>
            </w:r>
          </w:p>
        </w:tc>
        <w:tc>
          <w:tcPr>
            <w:tcW w:w="635" w:type="dxa"/>
            <w:tcBorders>
              <w:top w:val="single" w:color="7E7E7E" w:themeColor="text1" w:themeTint="80" w:sz="4" w:space="0"/>
              <w:bottom w:val="single" w:color="7E7E7E" w:themeColor="text1" w:themeTint="80" w:sz="4" w:space="0"/>
            </w:tcBorders>
            <w:noWrap/>
            <w:vAlign w:val="center"/>
          </w:tcPr>
          <w:p w14:paraId="12373DB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84.67</w:t>
            </w:r>
          </w:p>
        </w:tc>
        <w:tc>
          <w:tcPr>
            <w:tcW w:w="635" w:type="dxa"/>
            <w:tcBorders>
              <w:top w:val="single" w:color="7E7E7E" w:themeColor="text1" w:themeTint="80" w:sz="4" w:space="0"/>
              <w:bottom w:val="single" w:color="7E7E7E" w:themeColor="text1" w:themeTint="80" w:sz="4" w:space="0"/>
            </w:tcBorders>
            <w:noWrap/>
            <w:vAlign w:val="center"/>
          </w:tcPr>
          <w:p w14:paraId="6C487CF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84.06</w:t>
            </w:r>
          </w:p>
        </w:tc>
        <w:tc>
          <w:tcPr>
            <w:tcW w:w="635" w:type="dxa"/>
            <w:tcBorders>
              <w:top w:val="single" w:color="7E7E7E" w:themeColor="text1" w:themeTint="80" w:sz="4" w:space="0"/>
              <w:bottom w:val="single" w:color="7E7E7E" w:themeColor="text1" w:themeTint="80" w:sz="4" w:space="0"/>
            </w:tcBorders>
            <w:noWrap/>
            <w:vAlign w:val="center"/>
          </w:tcPr>
          <w:p w14:paraId="33EFBD0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83.06</w:t>
            </w:r>
          </w:p>
        </w:tc>
        <w:tc>
          <w:tcPr>
            <w:tcW w:w="635" w:type="dxa"/>
            <w:tcBorders>
              <w:top w:val="single" w:color="7E7E7E" w:themeColor="text1" w:themeTint="80" w:sz="4" w:space="0"/>
              <w:bottom w:val="single" w:color="7E7E7E" w:themeColor="text1" w:themeTint="80" w:sz="4" w:space="0"/>
            </w:tcBorders>
            <w:noWrap/>
            <w:vAlign w:val="center"/>
          </w:tcPr>
          <w:p w14:paraId="0F332AD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84.48</w:t>
            </w:r>
          </w:p>
        </w:tc>
        <w:tc>
          <w:tcPr>
            <w:tcW w:w="635" w:type="dxa"/>
            <w:tcBorders>
              <w:top w:val="single" w:color="7E7E7E" w:themeColor="text1" w:themeTint="80" w:sz="4" w:space="0"/>
              <w:bottom w:val="single" w:color="7E7E7E" w:themeColor="text1" w:themeTint="80" w:sz="4" w:space="0"/>
            </w:tcBorders>
            <w:noWrap/>
            <w:vAlign w:val="center"/>
          </w:tcPr>
          <w:p w14:paraId="38FEE1D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83.36</w:t>
            </w:r>
          </w:p>
        </w:tc>
        <w:tc>
          <w:tcPr>
            <w:tcW w:w="796" w:type="dxa"/>
            <w:tcBorders>
              <w:top w:val="single" w:color="7E7E7E" w:themeColor="text1" w:themeTint="80" w:sz="4" w:space="0"/>
              <w:bottom w:val="single" w:color="7E7E7E" w:themeColor="text1" w:themeTint="80" w:sz="4" w:space="0"/>
            </w:tcBorders>
            <w:noWrap/>
            <w:vAlign w:val="center"/>
          </w:tcPr>
          <w:p w14:paraId="252A618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83.73</w:t>
            </w:r>
          </w:p>
        </w:tc>
      </w:tr>
      <w:tr w14:paraId="2C18E20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noWrap/>
            <w:vAlign w:val="center"/>
          </w:tcPr>
          <w:p w14:paraId="5633CA83">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湖州市</w:t>
            </w:r>
          </w:p>
        </w:tc>
        <w:tc>
          <w:tcPr>
            <w:tcW w:w="636" w:type="dxa"/>
            <w:noWrap/>
            <w:vAlign w:val="center"/>
          </w:tcPr>
          <w:p w14:paraId="1BECEE4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27.06</w:t>
            </w:r>
          </w:p>
        </w:tc>
        <w:tc>
          <w:tcPr>
            <w:tcW w:w="636" w:type="dxa"/>
            <w:noWrap/>
            <w:vAlign w:val="center"/>
          </w:tcPr>
          <w:p w14:paraId="6B7E598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31.34</w:t>
            </w:r>
          </w:p>
        </w:tc>
        <w:tc>
          <w:tcPr>
            <w:tcW w:w="635" w:type="dxa"/>
            <w:noWrap/>
            <w:vAlign w:val="center"/>
          </w:tcPr>
          <w:p w14:paraId="693DAFA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32.08</w:t>
            </w:r>
          </w:p>
        </w:tc>
        <w:tc>
          <w:tcPr>
            <w:tcW w:w="635" w:type="dxa"/>
            <w:noWrap/>
            <w:vAlign w:val="center"/>
          </w:tcPr>
          <w:p w14:paraId="7E87FC8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31.13</w:t>
            </w:r>
          </w:p>
        </w:tc>
        <w:tc>
          <w:tcPr>
            <w:tcW w:w="635" w:type="dxa"/>
            <w:noWrap/>
            <w:vAlign w:val="center"/>
          </w:tcPr>
          <w:p w14:paraId="41EF614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29.31</w:t>
            </w:r>
          </w:p>
        </w:tc>
        <w:tc>
          <w:tcPr>
            <w:tcW w:w="635" w:type="dxa"/>
            <w:noWrap/>
            <w:vAlign w:val="center"/>
          </w:tcPr>
          <w:p w14:paraId="17735DB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28.72</w:t>
            </w:r>
          </w:p>
        </w:tc>
        <w:tc>
          <w:tcPr>
            <w:tcW w:w="635" w:type="dxa"/>
            <w:noWrap/>
            <w:vAlign w:val="center"/>
          </w:tcPr>
          <w:p w14:paraId="3FDF4AE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29.93</w:t>
            </w:r>
          </w:p>
        </w:tc>
        <w:tc>
          <w:tcPr>
            <w:tcW w:w="635" w:type="dxa"/>
            <w:noWrap/>
            <w:vAlign w:val="center"/>
          </w:tcPr>
          <w:p w14:paraId="7448C7A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29.07</w:t>
            </w:r>
          </w:p>
        </w:tc>
        <w:tc>
          <w:tcPr>
            <w:tcW w:w="635" w:type="dxa"/>
            <w:noWrap/>
            <w:vAlign w:val="center"/>
          </w:tcPr>
          <w:p w14:paraId="271FF55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29.26</w:t>
            </w:r>
          </w:p>
        </w:tc>
        <w:tc>
          <w:tcPr>
            <w:tcW w:w="635" w:type="dxa"/>
            <w:noWrap/>
            <w:vAlign w:val="center"/>
          </w:tcPr>
          <w:p w14:paraId="1013A96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30.58</w:t>
            </w:r>
          </w:p>
        </w:tc>
        <w:tc>
          <w:tcPr>
            <w:tcW w:w="635" w:type="dxa"/>
            <w:noWrap/>
            <w:vAlign w:val="center"/>
          </w:tcPr>
          <w:p w14:paraId="5D56A0F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29.95</w:t>
            </w:r>
          </w:p>
        </w:tc>
        <w:tc>
          <w:tcPr>
            <w:tcW w:w="796" w:type="dxa"/>
            <w:noWrap/>
            <w:vAlign w:val="center"/>
          </w:tcPr>
          <w:p w14:paraId="5F6B228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29.37</w:t>
            </w:r>
          </w:p>
        </w:tc>
      </w:tr>
      <w:tr w14:paraId="6979301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tcBorders>
              <w:top w:val="single" w:color="7E7E7E" w:themeColor="text1" w:themeTint="80" w:sz="4" w:space="0"/>
              <w:bottom w:val="single" w:color="7E7E7E" w:themeColor="text1" w:themeTint="80" w:sz="4" w:space="0"/>
            </w:tcBorders>
            <w:noWrap/>
            <w:vAlign w:val="center"/>
          </w:tcPr>
          <w:p w14:paraId="51A4BF00">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嘉兴市</w:t>
            </w:r>
          </w:p>
        </w:tc>
        <w:tc>
          <w:tcPr>
            <w:tcW w:w="636" w:type="dxa"/>
            <w:tcBorders>
              <w:top w:val="single" w:color="7E7E7E" w:themeColor="text1" w:themeTint="80" w:sz="4" w:space="0"/>
              <w:bottom w:val="single" w:color="7E7E7E" w:themeColor="text1" w:themeTint="80" w:sz="4" w:space="0"/>
            </w:tcBorders>
            <w:noWrap/>
            <w:vAlign w:val="center"/>
          </w:tcPr>
          <w:p w14:paraId="3840384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93.64</w:t>
            </w:r>
          </w:p>
        </w:tc>
        <w:tc>
          <w:tcPr>
            <w:tcW w:w="636" w:type="dxa"/>
            <w:tcBorders>
              <w:top w:val="single" w:color="7E7E7E" w:themeColor="text1" w:themeTint="80" w:sz="4" w:space="0"/>
              <w:bottom w:val="single" w:color="7E7E7E" w:themeColor="text1" w:themeTint="80" w:sz="4" w:space="0"/>
            </w:tcBorders>
            <w:noWrap/>
            <w:vAlign w:val="center"/>
          </w:tcPr>
          <w:p w14:paraId="12BB7DA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100.00</w:t>
            </w:r>
          </w:p>
        </w:tc>
        <w:tc>
          <w:tcPr>
            <w:tcW w:w="635" w:type="dxa"/>
            <w:tcBorders>
              <w:top w:val="single" w:color="7E7E7E" w:themeColor="text1" w:themeTint="80" w:sz="4" w:space="0"/>
              <w:bottom w:val="single" w:color="7E7E7E" w:themeColor="text1" w:themeTint="80" w:sz="4" w:space="0"/>
            </w:tcBorders>
            <w:noWrap/>
            <w:vAlign w:val="center"/>
          </w:tcPr>
          <w:p w14:paraId="3DD0D15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91.74</w:t>
            </w:r>
          </w:p>
        </w:tc>
        <w:tc>
          <w:tcPr>
            <w:tcW w:w="635" w:type="dxa"/>
            <w:tcBorders>
              <w:top w:val="single" w:color="7E7E7E" w:themeColor="text1" w:themeTint="80" w:sz="4" w:space="0"/>
              <w:bottom w:val="single" w:color="7E7E7E" w:themeColor="text1" w:themeTint="80" w:sz="4" w:space="0"/>
            </w:tcBorders>
            <w:noWrap/>
            <w:vAlign w:val="center"/>
          </w:tcPr>
          <w:p w14:paraId="0EFC476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92.68</w:t>
            </w:r>
          </w:p>
        </w:tc>
        <w:tc>
          <w:tcPr>
            <w:tcW w:w="635" w:type="dxa"/>
            <w:tcBorders>
              <w:top w:val="single" w:color="7E7E7E" w:themeColor="text1" w:themeTint="80" w:sz="4" w:space="0"/>
              <w:bottom w:val="single" w:color="7E7E7E" w:themeColor="text1" w:themeTint="80" w:sz="4" w:space="0"/>
            </w:tcBorders>
            <w:noWrap/>
            <w:vAlign w:val="center"/>
          </w:tcPr>
          <w:p w14:paraId="7F4D29B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92.52</w:t>
            </w:r>
          </w:p>
        </w:tc>
        <w:tc>
          <w:tcPr>
            <w:tcW w:w="635" w:type="dxa"/>
            <w:tcBorders>
              <w:top w:val="single" w:color="7E7E7E" w:themeColor="text1" w:themeTint="80" w:sz="4" w:space="0"/>
              <w:bottom w:val="single" w:color="7E7E7E" w:themeColor="text1" w:themeTint="80" w:sz="4" w:space="0"/>
            </w:tcBorders>
            <w:noWrap/>
            <w:vAlign w:val="center"/>
          </w:tcPr>
          <w:p w14:paraId="4E463AC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91.49</w:t>
            </w:r>
          </w:p>
        </w:tc>
        <w:tc>
          <w:tcPr>
            <w:tcW w:w="635" w:type="dxa"/>
            <w:tcBorders>
              <w:top w:val="single" w:color="7E7E7E" w:themeColor="text1" w:themeTint="80" w:sz="4" w:space="0"/>
              <w:bottom w:val="single" w:color="7E7E7E" w:themeColor="text1" w:themeTint="80" w:sz="4" w:space="0"/>
            </w:tcBorders>
            <w:noWrap/>
            <w:vAlign w:val="center"/>
          </w:tcPr>
          <w:p w14:paraId="7748DFE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94.80</w:t>
            </w:r>
          </w:p>
        </w:tc>
        <w:tc>
          <w:tcPr>
            <w:tcW w:w="635" w:type="dxa"/>
            <w:tcBorders>
              <w:top w:val="single" w:color="7E7E7E" w:themeColor="text1" w:themeTint="80" w:sz="4" w:space="0"/>
              <w:bottom w:val="single" w:color="7E7E7E" w:themeColor="text1" w:themeTint="80" w:sz="4" w:space="0"/>
            </w:tcBorders>
            <w:noWrap/>
            <w:vAlign w:val="center"/>
          </w:tcPr>
          <w:p w14:paraId="41C22F9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91.29</w:t>
            </w:r>
          </w:p>
        </w:tc>
        <w:tc>
          <w:tcPr>
            <w:tcW w:w="635" w:type="dxa"/>
            <w:tcBorders>
              <w:top w:val="single" w:color="7E7E7E" w:themeColor="text1" w:themeTint="80" w:sz="4" w:space="0"/>
              <w:bottom w:val="single" w:color="7E7E7E" w:themeColor="text1" w:themeTint="80" w:sz="4" w:space="0"/>
            </w:tcBorders>
            <w:noWrap/>
            <w:vAlign w:val="center"/>
          </w:tcPr>
          <w:p w14:paraId="51A917D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94.85</w:t>
            </w:r>
          </w:p>
        </w:tc>
        <w:tc>
          <w:tcPr>
            <w:tcW w:w="635" w:type="dxa"/>
            <w:tcBorders>
              <w:top w:val="single" w:color="7E7E7E" w:themeColor="text1" w:themeTint="80" w:sz="4" w:space="0"/>
              <w:bottom w:val="single" w:color="7E7E7E" w:themeColor="text1" w:themeTint="80" w:sz="4" w:space="0"/>
            </w:tcBorders>
            <w:noWrap/>
            <w:vAlign w:val="center"/>
          </w:tcPr>
          <w:p w14:paraId="5F0548D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91.15</w:t>
            </w:r>
          </w:p>
        </w:tc>
        <w:tc>
          <w:tcPr>
            <w:tcW w:w="635" w:type="dxa"/>
            <w:tcBorders>
              <w:top w:val="single" w:color="7E7E7E" w:themeColor="text1" w:themeTint="80" w:sz="4" w:space="0"/>
              <w:bottom w:val="single" w:color="7E7E7E" w:themeColor="text1" w:themeTint="80" w:sz="4" w:space="0"/>
            </w:tcBorders>
            <w:noWrap/>
            <w:vAlign w:val="center"/>
          </w:tcPr>
          <w:p w14:paraId="68C8F60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90.80</w:t>
            </w:r>
          </w:p>
        </w:tc>
        <w:tc>
          <w:tcPr>
            <w:tcW w:w="796" w:type="dxa"/>
            <w:tcBorders>
              <w:top w:val="single" w:color="7E7E7E" w:themeColor="text1" w:themeTint="80" w:sz="4" w:space="0"/>
              <w:bottom w:val="single" w:color="7E7E7E" w:themeColor="text1" w:themeTint="80" w:sz="4" w:space="0"/>
            </w:tcBorders>
            <w:noWrap/>
            <w:vAlign w:val="center"/>
          </w:tcPr>
          <w:p w14:paraId="0092C5F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90.25</w:t>
            </w:r>
          </w:p>
        </w:tc>
      </w:tr>
      <w:tr w14:paraId="678228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noWrap/>
            <w:vAlign w:val="center"/>
          </w:tcPr>
          <w:p w14:paraId="400BCA46">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金华市</w:t>
            </w:r>
          </w:p>
        </w:tc>
        <w:tc>
          <w:tcPr>
            <w:tcW w:w="636" w:type="dxa"/>
            <w:noWrap/>
            <w:vAlign w:val="center"/>
          </w:tcPr>
          <w:p w14:paraId="1F5BA6F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36.30</w:t>
            </w:r>
          </w:p>
        </w:tc>
        <w:tc>
          <w:tcPr>
            <w:tcW w:w="636" w:type="dxa"/>
            <w:noWrap/>
            <w:vAlign w:val="center"/>
          </w:tcPr>
          <w:p w14:paraId="1A208D6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30.82</w:t>
            </w:r>
          </w:p>
        </w:tc>
        <w:tc>
          <w:tcPr>
            <w:tcW w:w="635" w:type="dxa"/>
            <w:noWrap/>
            <w:vAlign w:val="center"/>
          </w:tcPr>
          <w:p w14:paraId="6DDD42B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35.94</w:t>
            </w:r>
          </w:p>
        </w:tc>
        <w:tc>
          <w:tcPr>
            <w:tcW w:w="635" w:type="dxa"/>
            <w:noWrap/>
            <w:vAlign w:val="center"/>
          </w:tcPr>
          <w:p w14:paraId="5C555D5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34.96</w:t>
            </w:r>
          </w:p>
        </w:tc>
        <w:tc>
          <w:tcPr>
            <w:tcW w:w="635" w:type="dxa"/>
            <w:noWrap/>
            <w:vAlign w:val="center"/>
          </w:tcPr>
          <w:p w14:paraId="51E9C99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36.20</w:t>
            </w:r>
          </w:p>
        </w:tc>
        <w:tc>
          <w:tcPr>
            <w:tcW w:w="635" w:type="dxa"/>
            <w:noWrap/>
            <w:vAlign w:val="center"/>
          </w:tcPr>
          <w:p w14:paraId="10E66AB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36.62</w:t>
            </w:r>
          </w:p>
        </w:tc>
        <w:tc>
          <w:tcPr>
            <w:tcW w:w="635" w:type="dxa"/>
            <w:noWrap/>
            <w:vAlign w:val="center"/>
          </w:tcPr>
          <w:p w14:paraId="72979F7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35.58</w:t>
            </w:r>
          </w:p>
        </w:tc>
        <w:tc>
          <w:tcPr>
            <w:tcW w:w="635" w:type="dxa"/>
            <w:noWrap/>
            <w:vAlign w:val="center"/>
          </w:tcPr>
          <w:p w14:paraId="3DCD03D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36.86</w:t>
            </w:r>
          </w:p>
        </w:tc>
        <w:tc>
          <w:tcPr>
            <w:tcW w:w="635" w:type="dxa"/>
            <w:noWrap/>
            <w:vAlign w:val="center"/>
          </w:tcPr>
          <w:p w14:paraId="7D198C7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37.68</w:t>
            </w:r>
          </w:p>
        </w:tc>
        <w:tc>
          <w:tcPr>
            <w:tcW w:w="635" w:type="dxa"/>
            <w:noWrap/>
            <w:vAlign w:val="center"/>
          </w:tcPr>
          <w:p w14:paraId="582DF1D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37.31</w:t>
            </w:r>
          </w:p>
        </w:tc>
        <w:tc>
          <w:tcPr>
            <w:tcW w:w="635" w:type="dxa"/>
            <w:noWrap/>
            <w:vAlign w:val="center"/>
          </w:tcPr>
          <w:p w14:paraId="75A3ABD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37.64</w:t>
            </w:r>
          </w:p>
        </w:tc>
        <w:tc>
          <w:tcPr>
            <w:tcW w:w="796" w:type="dxa"/>
            <w:noWrap/>
            <w:vAlign w:val="center"/>
          </w:tcPr>
          <w:p w14:paraId="2303E55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37.69</w:t>
            </w:r>
          </w:p>
        </w:tc>
      </w:tr>
      <w:tr w14:paraId="5DA1BF3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tcBorders>
              <w:top w:val="single" w:color="7E7E7E" w:themeColor="text1" w:themeTint="80" w:sz="4" w:space="0"/>
              <w:bottom w:val="single" w:color="7E7E7E" w:themeColor="text1" w:themeTint="80" w:sz="4" w:space="0"/>
            </w:tcBorders>
            <w:noWrap/>
            <w:vAlign w:val="center"/>
          </w:tcPr>
          <w:p w14:paraId="074E08F3">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丽水市</w:t>
            </w:r>
          </w:p>
        </w:tc>
        <w:tc>
          <w:tcPr>
            <w:tcW w:w="636" w:type="dxa"/>
            <w:tcBorders>
              <w:top w:val="single" w:color="7E7E7E" w:themeColor="text1" w:themeTint="80" w:sz="4" w:space="0"/>
              <w:bottom w:val="single" w:color="7E7E7E" w:themeColor="text1" w:themeTint="80" w:sz="4" w:space="0"/>
            </w:tcBorders>
            <w:noWrap/>
            <w:vAlign w:val="center"/>
          </w:tcPr>
          <w:p w14:paraId="57B9F78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6.36</w:t>
            </w:r>
          </w:p>
        </w:tc>
        <w:tc>
          <w:tcPr>
            <w:tcW w:w="636" w:type="dxa"/>
            <w:tcBorders>
              <w:top w:val="single" w:color="7E7E7E" w:themeColor="text1" w:themeTint="80" w:sz="4" w:space="0"/>
              <w:bottom w:val="single" w:color="7E7E7E" w:themeColor="text1" w:themeTint="80" w:sz="4" w:space="0"/>
            </w:tcBorders>
            <w:noWrap/>
            <w:vAlign w:val="center"/>
          </w:tcPr>
          <w:p w14:paraId="1459675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5.60</w:t>
            </w:r>
          </w:p>
        </w:tc>
        <w:tc>
          <w:tcPr>
            <w:tcW w:w="635" w:type="dxa"/>
            <w:tcBorders>
              <w:top w:val="single" w:color="7E7E7E" w:themeColor="text1" w:themeTint="80" w:sz="4" w:space="0"/>
              <w:bottom w:val="single" w:color="7E7E7E" w:themeColor="text1" w:themeTint="80" w:sz="4" w:space="0"/>
            </w:tcBorders>
            <w:noWrap/>
            <w:vAlign w:val="center"/>
          </w:tcPr>
          <w:p w14:paraId="44DEF72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5.59</w:t>
            </w:r>
          </w:p>
        </w:tc>
        <w:tc>
          <w:tcPr>
            <w:tcW w:w="635" w:type="dxa"/>
            <w:tcBorders>
              <w:top w:val="single" w:color="7E7E7E" w:themeColor="text1" w:themeTint="80" w:sz="4" w:space="0"/>
              <w:bottom w:val="single" w:color="7E7E7E" w:themeColor="text1" w:themeTint="80" w:sz="4" w:space="0"/>
            </w:tcBorders>
            <w:noWrap/>
            <w:vAlign w:val="center"/>
          </w:tcPr>
          <w:p w14:paraId="38BD99D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5.38</w:t>
            </w:r>
          </w:p>
        </w:tc>
        <w:tc>
          <w:tcPr>
            <w:tcW w:w="635" w:type="dxa"/>
            <w:tcBorders>
              <w:top w:val="single" w:color="7E7E7E" w:themeColor="text1" w:themeTint="80" w:sz="4" w:space="0"/>
              <w:bottom w:val="single" w:color="7E7E7E" w:themeColor="text1" w:themeTint="80" w:sz="4" w:space="0"/>
            </w:tcBorders>
            <w:noWrap/>
            <w:vAlign w:val="center"/>
          </w:tcPr>
          <w:p w14:paraId="5CC3D02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5.41</w:t>
            </w:r>
          </w:p>
        </w:tc>
        <w:tc>
          <w:tcPr>
            <w:tcW w:w="635" w:type="dxa"/>
            <w:tcBorders>
              <w:top w:val="single" w:color="7E7E7E" w:themeColor="text1" w:themeTint="80" w:sz="4" w:space="0"/>
              <w:bottom w:val="single" w:color="7E7E7E" w:themeColor="text1" w:themeTint="80" w:sz="4" w:space="0"/>
            </w:tcBorders>
            <w:noWrap/>
            <w:vAlign w:val="center"/>
          </w:tcPr>
          <w:p w14:paraId="5F155C7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5.74</w:t>
            </w:r>
          </w:p>
        </w:tc>
        <w:tc>
          <w:tcPr>
            <w:tcW w:w="635" w:type="dxa"/>
            <w:tcBorders>
              <w:top w:val="single" w:color="7E7E7E" w:themeColor="text1" w:themeTint="80" w:sz="4" w:space="0"/>
              <w:bottom w:val="single" w:color="7E7E7E" w:themeColor="text1" w:themeTint="80" w:sz="4" w:space="0"/>
            </w:tcBorders>
            <w:noWrap/>
            <w:vAlign w:val="center"/>
          </w:tcPr>
          <w:p w14:paraId="5188CAB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4.54</w:t>
            </w:r>
          </w:p>
        </w:tc>
        <w:tc>
          <w:tcPr>
            <w:tcW w:w="635" w:type="dxa"/>
            <w:tcBorders>
              <w:top w:val="single" w:color="7E7E7E" w:themeColor="text1" w:themeTint="80" w:sz="4" w:space="0"/>
              <w:bottom w:val="single" w:color="7E7E7E" w:themeColor="text1" w:themeTint="80" w:sz="4" w:space="0"/>
            </w:tcBorders>
            <w:noWrap/>
            <w:vAlign w:val="center"/>
          </w:tcPr>
          <w:p w14:paraId="07D6DDD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5.37</w:t>
            </w:r>
          </w:p>
        </w:tc>
        <w:tc>
          <w:tcPr>
            <w:tcW w:w="635" w:type="dxa"/>
            <w:tcBorders>
              <w:top w:val="single" w:color="7E7E7E" w:themeColor="text1" w:themeTint="80" w:sz="4" w:space="0"/>
              <w:bottom w:val="single" w:color="7E7E7E" w:themeColor="text1" w:themeTint="80" w:sz="4" w:space="0"/>
            </w:tcBorders>
            <w:noWrap/>
            <w:vAlign w:val="center"/>
          </w:tcPr>
          <w:p w14:paraId="5909AD3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5.29</w:t>
            </w:r>
          </w:p>
        </w:tc>
        <w:tc>
          <w:tcPr>
            <w:tcW w:w="635" w:type="dxa"/>
            <w:tcBorders>
              <w:top w:val="single" w:color="7E7E7E" w:themeColor="text1" w:themeTint="80" w:sz="4" w:space="0"/>
              <w:bottom w:val="single" w:color="7E7E7E" w:themeColor="text1" w:themeTint="80" w:sz="4" w:space="0"/>
            </w:tcBorders>
            <w:noWrap/>
            <w:vAlign w:val="center"/>
          </w:tcPr>
          <w:p w14:paraId="6346F99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5.23</w:t>
            </w:r>
          </w:p>
        </w:tc>
        <w:tc>
          <w:tcPr>
            <w:tcW w:w="635" w:type="dxa"/>
            <w:tcBorders>
              <w:top w:val="single" w:color="7E7E7E" w:themeColor="text1" w:themeTint="80" w:sz="4" w:space="0"/>
              <w:bottom w:val="single" w:color="7E7E7E" w:themeColor="text1" w:themeTint="80" w:sz="4" w:space="0"/>
            </w:tcBorders>
            <w:noWrap/>
            <w:vAlign w:val="center"/>
          </w:tcPr>
          <w:p w14:paraId="34E1CAD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5.92</w:t>
            </w:r>
          </w:p>
        </w:tc>
        <w:tc>
          <w:tcPr>
            <w:tcW w:w="796" w:type="dxa"/>
            <w:tcBorders>
              <w:top w:val="single" w:color="7E7E7E" w:themeColor="text1" w:themeTint="80" w:sz="4" w:space="0"/>
              <w:bottom w:val="single" w:color="7E7E7E" w:themeColor="text1" w:themeTint="80" w:sz="4" w:space="0"/>
            </w:tcBorders>
            <w:noWrap/>
            <w:vAlign w:val="center"/>
          </w:tcPr>
          <w:p w14:paraId="552F10F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5.95</w:t>
            </w:r>
          </w:p>
        </w:tc>
      </w:tr>
      <w:tr w14:paraId="330B6A0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noWrap/>
            <w:vAlign w:val="center"/>
          </w:tcPr>
          <w:p w14:paraId="72E5D650">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宁波市</w:t>
            </w:r>
          </w:p>
        </w:tc>
        <w:tc>
          <w:tcPr>
            <w:tcW w:w="636" w:type="dxa"/>
            <w:noWrap/>
            <w:vAlign w:val="center"/>
          </w:tcPr>
          <w:p w14:paraId="765BB37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92.13</w:t>
            </w:r>
          </w:p>
        </w:tc>
        <w:tc>
          <w:tcPr>
            <w:tcW w:w="636" w:type="dxa"/>
            <w:noWrap/>
            <w:vAlign w:val="center"/>
          </w:tcPr>
          <w:p w14:paraId="3700FEE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86.90</w:t>
            </w:r>
          </w:p>
        </w:tc>
        <w:tc>
          <w:tcPr>
            <w:tcW w:w="635" w:type="dxa"/>
            <w:noWrap/>
            <w:vAlign w:val="center"/>
          </w:tcPr>
          <w:p w14:paraId="3C3FA49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88.89</w:t>
            </w:r>
          </w:p>
        </w:tc>
        <w:tc>
          <w:tcPr>
            <w:tcW w:w="635" w:type="dxa"/>
            <w:noWrap/>
            <w:vAlign w:val="center"/>
          </w:tcPr>
          <w:p w14:paraId="7099B89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90.50</w:t>
            </w:r>
          </w:p>
        </w:tc>
        <w:tc>
          <w:tcPr>
            <w:tcW w:w="635" w:type="dxa"/>
            <w:noWrap/>
            <w:vAlign w:val="center"/>
          </w:tcPr>
          <w:p w14:paraId="544BC8E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90.84</w:t>
            </w:r>
          </w:p>
        </w:tc>
        <w:tc>
          <w:tcPr>
            <w:tcW w:w="635" w:type="dxa"/>
            <w:noWrap/>
            <w:vAlign w:val="center"/>
          </w:tcPr>
          <w:p w14:paraId="7A683C5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96.20</w:t>
            </w:r>
          </w:p>
        </w:tc>
        <w:tc>
          <w:tcPr>
            <w:tcW w:w="635" w:type="dxa"/>
            <w:noWrap/>
            <w:vAlign w:val="center"/>
          </w:tcPr>
          <w:p w14:paraId="0BDF7BF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97.68</w:t>
            </w:r>
          </w:p>
        </w:tc>
        <w:tc>
          <w:tcPr>
            <w:tcW w:w="635" w:type="dxa"/>
            <w:noWrap/>
            <w:vAlign w:val="center"/>
          </w:tcPr>
          <w:p w14:paraId="17A3B2F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96.81</w:t>
            </w:r>
          </w:p>
        </w:tc>
        <w:tc>
          <w:tcPr>
            <w:tcW w:w="635" w:type="dxa"/>
            <w:noWrap/>
            <w:vAlign w:val="center"/>
          </w:tcPr>
          <w:p w14:paraId="7E144C7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94.96</w:t>
            </w:r>
          </w:p>
        </w:tc>
        <w:tc>
          <w:tcPr>
            <w:tcW w:w="635" w:type="dxa"/>
            <w:noWrap/>
            <w:vAlign w:val="center"/>
          </w:tcPr>
          <w:p w14:paraId="6BC77D8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93.30</w:t>
            </w:r>
          </w:p>
        </w:tc>
        <w:tc>
          <w:tcPr>
            <w:tcW w:w="635" w:type="dxa"/>
            <w:noWrap/>
            <w:vAlign w:val="center"/>
          </w:tcPr>
          <w:p w14:paraId="5F27725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94.79</w:t>
            </w:r>
          </w:p>
        </w:tc>
        <w:tc>
          <w:tcPr>
            <w:tcW w:w="796" w:type="dxa"/>
            <w:noWrap/>
            <w:vAlign w:val="center"/>
          </w:tcPr>
          <w:p w14:paraId="075A6CC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95.21</w:t>
            </w:r>
          </w:p>
        </w:tc>
      </w:tr>
      <w:tr w14:paraId="18D9F0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tcBorders>
              <w:top w:val="single" w:color="7E7E7E" w:themeColor="text1" w:themeTint="80" w:sz="4" w:space="0"/>
              <w:bottom w:val="single" w:color="7E7E7E" w:themeColor="text1" w:themeTint="80" w:sz="4" w:space="0"/>
            </w:tcBorders>
            <w:noWrap/>
            <w:vAlign w:val="center"/>
          </w:tcPr>
          <w:p w14:paraId="57EF6BAD">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衢州市</w:t>
            </w:r>
          </w:p>
        </w:tc>
        <w:tc>
          <w:tcPr>
            <w:tcW w:w="636" w:type="dxa"/>
            <w:tcBorders>
              <w:top w:val="single" w:color="7E7E7E" w:themeColor="text1" w:themeTint="80" w:sz="4" w:space="0"/>
              <w:bottom w:val="single" w:color="7E7E7E" w:themeColor="text1" w:themeTint="80" w:sz="4" w:space="0"/>
            </w:tcBorders>
            <w:noWrap/>
            <w:vAlign w:val="center"/>
          </w:tcPr>
          <w:p w14:paraId="1702C39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7.59</w:t>
            </w:r>
          </w:p>
        </w:tc>
        <w:tc>
          <w:tcPr>
            <w:tcW w:w="636" w:type="dxa"/>
            <w:tcBorders>
              <w:top w:val="single" w:color="7E7E7E" w:themeColor="text1" w:themeTint="80" w:sz="4" w:space="0"/>
              <w:bottom w:val="single" w:color="7E7E7E" w:themeColor="text1" w:themeTint="80" w:sz="4" w:space="0"/>
            </w:tcBorders>
            <w:noWrap/>
            <w:vAlign w:val="center"/>
          </w:tcPr>
          <w:p w14:paraId="60160F0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7.28</w:t>
            </w:r>
          </w:p>
        </w:tc>
        <w:tc>
          <w:tcPr>
            <w:tcW w:w="635" w:type="dxa"/>
            <w:tcBorders>
              <w:top w:val="single" w:color="7E7E7E" w:themeColor="text1" w:themeTint="80" w:sz="4" w:space="0"/>
              <w:bottom w:val="single" w:color="7E7E7E" w:themeColor="text1" w:themeTint="80" w:sz="4" w:space="0"/>
            </w:tcBorders>
            <w:noWrap/>
            <w:vAlign w:val="center"/>
          </w:tcPr>
          <w:p w14:paraId="494A9E7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5.62</w:t>
            </w:r>
          </w:p>
        </w:tc>
        <w:tc>
          <w:tcPr>
            <w:tcW w:w="635" w:type="dxa"/>
            <w:tcBorders>
              <w:top w:val="single" w:color="7E7E7E" w:themeColor="text1" w:themeTint="80" w:sz="4" w:space="0"/>
              <w:bottom w:val="single" w:color="7E7E7E" w:themeColor="text1" w:themeTint="80" w:sz="4" w:space="0"/>
            </w:tcBorders>
            <w:noWrap/>
            <w:vAlign w:val="center"/>
          </w:tcPr>
          <w:p w14:paraId="4EACF8F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5.74</w:t>
            </w:r>
          </w:p>
        </w:tc>
        <w:tc>
          <w:tcPr>
            <w:tcW w:w="635" w:type="dxa"/>
            <w:tcBorders>
              <w:top w:val="single" w:color="7E7E7E" w:themeColor="text1" w:themeTint="80" w:sz="4" w:space="0"/>
              <w:bottom w:val="single" w:color="7E7E7E" w:themeColor="text1" w:themeTint="80" w:sz="4" w:space="0"/>
            </w:tcBorders>
            <w:noWrap/>
            <w:vAlign w:val="center"/>
          </w:tcPr>
          <w:p w14:paraId="5CD70F9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6.26</w:t>
            </w:r>
          </w:p>
        </w:tc>
        <w:tc>
          <w:tcPr>
            <w:tcW w:w="635" w:type="dxa"/>
            <w:tcBorders>
              <w:top w:val="single" w:color="7E7E7E" w:themeColor="text1" w:themeTint="80" w:sz="4" w:space="0"/>
              <w:bottom w:val="single" w:color="7E7E7E" w:themeColor="text1" w:themeTint="80" w:sz="4" w:space="0"/>
            </w:tcBorders>
            <w:noWrap/>
            <w:vAlign w:val="center"/>
          </w:tcPr>
          <w:p w14:paraId="417EE09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6.02</w:t>
            </w:r>
          </w:p>
        </w:tc>
        <w:tc>
          <w:tcPr>
            <w:tcW w:w="635" w:type="dxa"/>
            <w:tcBorders>
              <w:top w:val="single" w:color="7E7E7E" w:themeColor="text1" w:themeTint="80" w:sz="4" w:space="0"/>
              <w:bottom w:val="single" w:color="7E7E7E" w:themeColor="text1" w:themeTint="80" w:sz="4" w:space="0"/>
            </w:tcBorders>
            <w:noWrap/>
            <w:vAlign w:val="center"/>
          </w:tcPr>
          <w:p w14:paraId="3B7BB41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5.68</w:t>
            </w:r>
          </w:p>
        </w:tc>
        <w:tc>
          <w:tcPr>
            <w:tcW w:w="635" w:type="dxa"/>
            <w:tcBorders>
              <w:top w:val="single" w:color="7E7E7E" w:themeColor="text1" w:themeTint="80" w:sz="4" w:space="0"/>
              <w:bottom w:val="single" w:color="7E7E7E" w:themeColor="text1" w:themeTint="80" w:sz="4" w:space="0"/>
            </w:tcBorders>
            <w:noWrap/>
            <w:vAlign w:val="center"/>
          </w:tcPr>
          <w:p w14:paraId="13B7992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5.89</w:t>
            </w:r>
          </w:p>
        </w:tc>
        <w:tc>
          <w:tcPr>
            <w:tcW w:w="635" w:type="dxa"/>
            <w:tcBorders>
              <w:top w:val="single" w:color="7E7E7E" w:themeColor="text1" w:themeTint="80" w:sz="4" w:space="0"/>
              <w:bottom w:val="single" w:color="7E7E7E" w:themeColor="text1" w:themeTint="80" w:sz="4" w:space="0"/>
            </w:tcBorders>
            <w:noWrap/>
            <w:vAlign w:val="center"/>
          </w:tcPr>
          <w:p w14:paraId="057BA17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6.10</w:t>
            </w:r>
          </w:p>
        </w:tc>
        <w:tc>
          <w:tcPr>
            <w:tcW w:w="635" w:type="dxa"/>
            <w:tcBorders>
              <w:top w:val="single" w:color="7E7E7E" w:themeColor="text1" w:themeTint="80" w:sz="4" w:space="0"/>
              <w:bottom w:val="single" w:color="7E7E7E" w:themeColor="text1" w:themeTint="80" w:sz="4" w:space="0"/>
            </w:tcBorders>
            <w:noWrap/>
            <w:vAlign w:val="center"/>
          </w:tcPr>
          <w:p w14:paraId="72ED6D4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6.27</w:t>
            </w:r>
          </w:p>
        </w:tc>
        <w:tc>
          <w:tcPr>
            <w:tcW w:w="635" w:type="dxa"/>
            <w:tcBorders>
              <w:top w:val="single" w:color="7E7E7E" w:themeColor="text1" w:themeTint="80" w:sz="4" w:space="0"/>
              <w:bottom w:val="single" w:color="7E7E7E" w:themeColor="text1" w:themeTint="80" w:sz="4" w:space="0"/>
            </w:tcBorders>
            <w:noWrap/>
            <w:vAlign w:val="center"/>
          </w:tcPr>
          <w:p w14:paraId="1987097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5.84</w:t>
            </w:r>
          </w:p>
        </w:tc>
        <w:tc>
          <w:tcPr>
            <w:tcW w:w="796" w:type="dxa"/>
            <w:tcBorders>
              <w:top w:val="single" w:color="7E7E7E" w:themeColor="text1" w:themeTint="80" w:sz="4" w:space="0"/>
              <w:bottom w:val="single" w:color="7E7E7E" w:themeColor="text1" w:themeTint="80" w:sz="4" w:space="0"/>
            </w:tcBorders>
            <w:noWrap/>
            <w:vAlign w:val="center"/>
          </w:tcPr>
          <w:p w14:paraId="6C83536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6.17</w:t>
            </w:r>
          </w:p>
        </w:tc>
      </w:tr>
      <w:tr w14:paraId="2249841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noWrap/>
            <w:vAlign w:val="center"/>
          </w:tcPr>
          <w:p w14:paraId="18239E15">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绍兴市</w:t>
            </w:r>
          </w:p>
        </w:tc>
        <w:tc>
          <w:tcPr>
            <w:tcW w:w="636" w:type="dxa"/>
            <w:noWrap/>
            <w:vAlign w:val="center"/>
          </w:tcPr>
          <w:p w14:paraId="2974519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28.64</w:t>
            </w:r>
          </w:p>
        </w:tc>
        <w:tc>
          <w:tcPr>
            <w:tcW w:w="636" w:type="dxa"/>
            <w:noWrap/>
            <w:vAlign w:val="center"/>
          </w:tcPr>
          <w:p w14:paraId="6E6BC08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27.60</w:t>
            </w:r>
          </w:p>
        </w:tc>
        <w:tc>
          <w:tcPr>
            <w:tcW w:w="635" w:type="dxa"/>
            <w:noWrap/>
            <w:vAlign w:val="center"/>
          </w:tcPr>
          <w:p w14:paraId="36C6331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30.54</w:t>
            </w:r>
          </w:p>
        </w:tc>
        <w:tc>
          <w:tcPr>
            <w:tcW w:w="635" w:type="dxa"/>
            <w:noWrap/>
            <w:vAlign w:val="center"/>
          </w:tcPr>
          <w:p w14:paraId="6CA1F13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30.78</w:t>
            </w:r>
          </w:p>
        </w:tc>
        <w:tc>
          <w:tcPr>
            <w:tcW w:w="635" w:type="dxa"/>
            <w:noWrap/>
            <w:vAlign w:val="center"/>
          </w:tcPr>
          <w:p w14:paraId="1BAF7CE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29.80</w:t>
            </w:r>
          </w:p>
        </w:tc>
        <w:tc>
          <w:tcPr>
            <w:tcW w:w="635" w:type="dxa"/>
            <w:noWrap/>
            <w:vAlign w:val="center"/>
          </w:tcPr>
          <w:p w14:paraId="3656C30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28.64</w:t>
            </w:r>
          </w:p>
        </w:tc>
        <w:tc>
          <w:tcPr>
            <w:tcW w:w="635" w:type="dxa"/>
            <w:noWrap/>
            <w:vAlign w:val="center"/>
          </w:tcPr>
          <w:p w14:paraId="398547C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28.42</w:t>
            </w:r>
          </w:p>
        </w:tc>
        <w:tc>
          <w:tcPr>
            <w:tcW w:w="635" w:type="dxa"/>
            <w:noWrap/>
            <w:vAlign w:val="center"/>
          </w:tcPr>
          <w:p w14:paraId="491F5B6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27.67</w:t>
            </w:r>
          </w:p>
        </w:tc>
        <w:tc>
          <w:tcPr>
            <w:tcW w:w="635" w:type="dxa"/>
            <w:noWrap/>
            <w:vAlign w:val="center"/>
          </w:tcPr>
          <w:p w14:paraId="530294E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26.42</w:t>
            </w:r>
          </w:p>
        </w:tc>
        <w:tc>
          <w:tcPr>
            <w:tcW w:w="635" w:type="dxa"/>
            <w:noWrap/>
            <w:vAlign w:val="center"/>
          </w:tcPr>
          <w:p w14:paraId="2516250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27.25</w:t>
            </w:r>
          </w:p>
        </w:tc>
        <w:tc>
          <w:tcPr>
            <w:tcW w:w="635" w:type="dxa"/>
            <w:noWrap/>
            <w:vAlign w:val="center"/>
          </w:tcPr>
          <w:p w14:paraId="5D97343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27.26</w:t>
            </w:r>
          </w:p>
        </w:tc>
        <w:tc>
          <w:tcPr>
            <w:tcW w:w="796" w:type="dxa"/>
            <w:noWrap/>
            <w:vAlign w:val="center"/>
          </w:tcPr>
          <w:p w14:paraId="0CBBF8E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26.71</w:t>
            </w:r>
          </w:p>
        </w:tc>
      </w:tr>
      <w:tr w14:paraId="0F15D55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tcBorders>
              <w:top w:val="single" w:color="7E7E7E" w:themeColor="text1" w:themeTint="80" w:sz="4" w:space="0"/>
              <w:bottom w:val="single" w:color="7E7E7E" w:themeColor="text1" w:themeTint="80" w:sz="4" w:space="0"/>
            </w:tcBorders>
            <w:noWrap/>
            <w:vAlign w:val="center"/>
          </w:tcPr>
          <w:p w14:paraId="795D916A">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台州市</w:t>
            </w:r>
          </w:p>
        </w:tc>
        <w:tc>
          <w:tcPr>
            <w:tcW w:w="636" w:type="dxa"/>
            <w:tcBorders>
              <w:top w:val="single" w:color="7E7E7E" w:themeColor="text1" w:themeTint="80" w:sz="4" w:space="0"/>
              <w:bottom w:val="single" w:color="7E7E7E" w:themeColor="text1" w:themeTint="80" w:sz="4" w:space="0"/>
            </w:tcBorders>
            <w:noWrap/>
            <w:vAlign w:val="center"/>
          </w:tcPr>
          <w:p w14:paraId="15A083A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20.15</w:t>
            </w:r>
          </w:p>
        </w:tc>
        <w:tc>
          <w:tcPr>
            <w:tcW w:w="636" w:type="dxa"/>
            <w:tcBorders>
              <w:top w:val="single" w:color="7E7E7E" w:themeColor="text1" w:themeTint="80" w:sz="4" w:space="0"/>
              <w:bottom w:val="single" w:color="7E7E7E" w:themeColor="text1" w:themeTint="80" w:sz="4" w:space="0"/>
            </w:tcBorders>
            <w:noWrap/>
            <w:vAlign w:val="center"/>
          </w:tcPr>
          <w:p w14:paraId="49E73FC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20.03</w:t>
            </w:r>
          </w:p>
        </w:tc>
        <w:tc>
          <w:tcPr>
            <w:tcW w:w="635" w:type="dxa"/>
            <w:tcBorders>
              <w:top w:val="single" w:color="7E7E7E" w:themeColor="text1" w:themeTint="80" w:sz="4" w:space="0"/>
              <w:bottom w:val="single" w:color="7E7E7E" w:themeColor="text1" w:themeTint="80" w:sz="4" w:space="0"/>
            </w:tcBorders>
            <w:noWrap/>
            <w:vAlign w:val="center"/>
          </w:tcPr>
          <w:p w14:paraId="4785E81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19.48</w:t>
            </w:r>
          </w:p>
        </w:tc>
        <w:tc>
          <w:tcPr>
            <w:tcW w:w="635" w:type="dxa"/>
            <w:tcBorders>
              <w:top w:val="single" w:color="7E7E7E" w:themeColor="text1" w:themeTint="80" w:sz="4" w:space="0"/>
              <w:bottom w:val="single" w:color="7E7E7E" w:themeColor="text1" w:themeTint="80" w:sz="4" w:space="0"/>
            </w:tcBorders>
            <w:noWrap/>
            <w:vAlign w:val="center"/>
          </w:tcPr>
          <w:p w14:paraId="77269D4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19.06</w:t>
            </w:r>
          </w:p>
        </w:tc>
        <w:tc>
          <w:tcPr>
            <w:tcW w:w="635" w:type="dxa"/>
            <w:tcBorders>
              <w:top w:val="single" w:color="7E7E7E" w:themeColor="text1" w:themeTint="80" w:sz="4" w:space="0"/>
              <w:bottom w:val="single" w:color="7E7E7E" w:themeColor="text1" w:themeTint="80" w:sz="4" w:space="0"/>
            </w:tcBorders>
            <w:noWrap/>
            <w:vAlign w:val="center"/>
          </w:tcPr>
          <w:p w14:paraId="1F6D0A4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19.51</w:t>
            </w:r>
          </w:p>
        </w:tc>
        <w:tc>
          <w:tcPr>
            <w:tcW w:w="635" w:type="dxa"/>
            <w:tcBorders>
              <w:top w:val="single" w:color="7E7E7E" w:themeColor="text1" w:themeTint="80" w:sz="4" w:space="0"/>
              <w:bottom w:val="single" w:color="7E7E7E" w:themeColor="text1" w:themeTint="80" w:sz="4" w:space="0"/>
            </w:tcBorders>
            <w:noWrap/>
            <w:vAlign w:val="center"/>
          </w:tcPr>
          <w:p w14:paraId="3530434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16.84</w:t>
            </w:r>
          </w:p>
        </w:tc>
        <w:tc>
          <w:tcPr>
            <w:tcW w:w="635" w:type="dxa"/>
            <w:tcBorders>
              <w:top w:val="single" w:color="7E7E7E" w:themeColor="text1" w:themeTint="80" w:sz="4" w:space="0"/>
              <w:bottom w:val="single" w:color="7E7E7E" w:themeColor="text1" w:themeTint="80" w:sz="4" w:space="0"/>
            </w:tcBorders>
            <w:noWrap/>
            <w:vAlign w:val="center"/>
          </w:tcPr>
          <w:p w14:paraId="17929DF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13.01</w:t>
            </w:r>
          </w:p>
        </w:tc>
        <w:tc>
          <w:tcPr>
            <w:tcW w:w="635" w:type="dxa"/>
            <w:tcBorders>
              <w:top w:val="single" w:color="7E7E7E" w:themeColor="text1" w:themeTint="80" w:sz="4" w:space="0"/>
              <w:bottom w:val="single" w:color="7E7E7E" w:themeColor="text1" w:themeTint="80" w:sz="4" w:space="0"/>
            </w:tcBorders>
            <w:noWrap/>
            <w:vAlign w:val="center"/>
          </w:tcPr>
          <w:p w14:paraId="6EC2E10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13.58</w:t>
            </w:r>
          </w:p>
        </w:tc>
        <w:tc>
          <w:tcPr>
            <w:tcW w:w="635" w:type="dxa"/>
            <w:tcBorders>
              <w:top w:val="single" w:color="7E7E7E" w:themeColor="text1" w:themeTint="80" w:sz="4" w:space="0"/>
              <w:bottom w:val="single" w:color="7E7E7E" w:themeColor="text1" w:themeTint="80" w:sz="4" w:space="0"/>
            </w:tcBorders>
            <w:noWrap/>
            <w:vAlign w:val="center"/>
          </w:tcPr>
          <w:p w14:paraId="453F8A4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13.37</w:t>
            </w:r>
          </w:p>
        </w:tc>
        <w:tc>
          <w:tcPr>
            <w:tcW w:w="635" w:type="dxa"/>
            <w:tcBorders>
              <w:top w:val="single" w:color="7E7E7E" w:themeColor="text1" w:themeTint="80" w:sz="4" w:space="0"/>
              <w:bottom w:val="single" w:color="7E7E7E" w:themeColor="text1" w:themeTint="80" w:sz="4" w:space="0"/>
            </w:tcBorders>
            <w:noWrap/>
            <w:vAlign w:val="center"/>
          </w:tcPr>
          <w:p w14:paraId="31A8C39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13.98</w:t>
            </w:r>
          </w:p>
        </w:tc>
        <w:tc>
          <w:tcPr>
            <w:tcW w:w="635" w:type="dxa"/>
            <w:tcBorders>
              <w:top w:val="single" w:color="7E7E7E" w:themeColor="text1" w:themeTint="80" w:sz="4" w:space="0"/>
              <w:bottom w:val="single" w:color="7E7E7E" w:themeColor="text1" w:themeTint="80" w:sz="4" w:space="0"/>
            </w:tcBorders>
            <w:noWrap/>
            <w:vAlign w:val="center"/>
          </w:tcPr>
          <w:p w14:paraId="32649D7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13.90</w:t>
            </w:r>
          </w:p>
        </w:tc>
        <w:tc>
          <w:tcPr>
            <w:tcW w:w="796" w:type="dxa"/>
            <w:tcBorders>
              <w:top w:val="single" w:color="7E7E7E" w:themeColor="text1" w:themeTint="80" w:sz="4" w:space="0"/>
              <w:bottom w:val="single" w:color="7E7E7E" w:themeColor="text1" w:themeTint="80" w:sz="4" w:space="0"/>
            </w:tcBorders>
            <w:noWrap/>
            <w:vAlign w:val="center"/>
          </w:tcPr>
          <w:p w14:paraId="58F9089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15.52</w:t>
            </w:r>
          </w:p>
        </w:tc>
      </w:tr>
      <w:tr w14:paraId="64AE929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noWrap/>
            <w:vAlign w:val="center"/>
          </w:tcPr>
          <w:p w14:paraId="660CA112">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温州市</w:t>
            </w:r>
          </w:p>
        </w:tc>
        <w:tc>
          <w:tcPr>
            <w:tcW w:w="636" w:type="dxa"/>
            <w:noWrap/>
            <w:vAlign w:val="center"/>
          </w:tcPr>
          <w:p w14:paraId="0D8C291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17.52</w:t>
            </w:r>
          </w:p>
        </w:tc>
        <w:tc>
          <w:tcPr>
            <w:tcW w:w="636" w:type="dxa"/>
            <w:noWrap/>
            <w:vAlign w:val="center"/>
          </w:tcPr>
          <w:p w14:paraId="5510893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22.28</w:t>
            </w:r>
          </w:p>
        </w:tc>
        <w:tc>
          <w:tcPr>
            <w:tcW w:w="635" w:type="dxa"/>
            <w:noWrap/>
            <w:vAlign w:val="center"/>
          </w:tcPr>
          <w:p w14:paraId="766C7EC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23.81</w:t>
            </w:r>
          </w:p>
        </w:tc>
        <w:tc>
          <w:tcPr>
            <w:tcW w:w="635" w:type="dxa"/>
            <w:noWrap/>
            <w:vAlign w:val="center"/>
          </w:tcPr>
          <w:p w14:paraId="3B48B84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22.39</w:t>
            </w:r>
          </w:p>
        </w:tc>
        <w:tc>
          <w:tcPr>
            <w:tcW w:w="635" w:type="dxa"/>
            <w:noWrap/>
            <w:vAlign w:val="center"/>
          </w:tcPr>
          <w:p w14:paraId="6FD1DB0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22.62</w:t>
            </w:r>
          </w:p>
        </w:tc>
        <w:tc>
          <w:tcPr>
            <w:tcW w:w="635" w:type="dxa"/>
            <w:noWrap/>
            <w:vAlign w:val="center"/>
          </w:tcPr>
          <w:p w14:paraId="60CD4D1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24.06</w:t>
            </w:r>
          </w:p>
        </w:tc>
        <w:tc>
          <w:tcPr>
            <w:tcW w:w="635" w:type="dxa"/>
            <w:noWrap/>
            <w:vAlign w:val="center"/>
          </w:tcPr>
          <w:p w14:paraId="3F13AE1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22.61</w:t>
            </w:r>
          </w:p>
        </w:tc>
        <w:tc>
          <w:tcPr>
            <w:tcW w:w="635" w:type="dxa"/>
            <w:noWrap/>
            <w:vAlign w:val="center"/>
          </w:tcPr>
          <w:p w14:paraId="710AABC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26.58</w:t>
            </w:r>
          </w:p>
        </w:tc>
        <w:tc>
          <w:tcPr>
            <w:tcW w:w="635" w:type="dxa"/>
            <w:noWrap/>
            <w:vAlign w:val="center"/>
          </w:tcPr>
          <w:p w14:paraId="416CE20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26.00</w:t>
            </w:r>
          </w:p>
        </w:tc>
        <w:tc>
          <w:tcPr>
            <w:tcW w:w="635" w:type="dxa"/>
            <w:noWrap/>
            <w:vAlign w:val="center"/>
          </w:tcPr>
          <w:p w14:paraId="0929418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27.04</w:t>
            </w:r>
          </w:p>
        </w:tc>
        <w:tc>
          <w:tcPr>
            <w:tcW w:w="635" w:type="dxa"/>
            <w:noWrap/>
            <w:vAlign w:val="center"/>
          </w:tcPr>
          <w:p w14:paraId="0EC396F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26.41</w:t>
            </w:r>
          </w:p>
        </w:tc>
        <w:tc>
          <w:tcPr>
            <w:tcW w:w="796" w:type="dxa"/>
            <w:noWrap/>
            <w:vAlign w:val="center"/>
          </w:tcPr>
          <w:p w14:paraId="00840B3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24.64</w:t>
            </w:r>
          </w:p>
        </w:tc>
      </w:tr>
      <w:tr w14:paraId="7D29D05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22" w:type="dxa"/>
            <w:tcBorders>
              <w:top w:val="single" w:color="7E7E7E" w:themeColor="text1" w:themeTint="80" w:sz="4" w:space="0"/>
              <w:bottom w:val="single" w:color="7E7E7E" w:themeColor="text1" w:themeTint="80" w:sz="4" w:space="0"/>
            </w:tcBorders>
            <w:noWrap/>
            <w:vAlign w:val="center"/>
          </w:tcPr>
          <w:p w14:paraId="1839CC3A">
            <w:pPr>
              <w:widowControl/>
              <w:spacing w:after="0" w:line="240" w:lineRule="auto"/>
              <w:jc w:val="center"/>
              <w:rPr>
                <w:rFonts w:hint="eastAsia" w:ascii="华文楷体" w:hAnsi="华文楷体" w:eastAsia="华文楷体" w:cs="宋体"/>
                <w:b/>
                <w:bCs/>
                <w:color w:val="000000"/>
                <w:kern w:val="0"/>
                <w:sz w:val="16"/>
                <w:szCs w:val="16"/>
                <w14:ligatures w14:val="none"/>
              </w:rPr>
            </w:pPr>
            <w:r>
              <w:rPr>
                <w:rFonts w:hint="eastAsia" w:ascii="华文楷体" w:hAnsi="华文楷体" w:eastAsia="华文楷体" w:cs="宋体"/>
                <w:b/>
                <w:bCs/>
                <w:color w:val="000000"/>
                <w:kern w:val="0"/>
                <w:sz w:val="16"/>
                <w:szCs w:val="16"/>
                <w14:ligatures w14:val="none"/>
              </w:rPr>
              <w:t>舟山市</w:t>
            </w:r>
          </w:p>
        </w:tc>
        <w:tc>
          <w:tcPr>
            <w:tcW w:w="636" w:type="dxa"/>
            <w:tcBorders>
              <w:top w:val="single" w:color="7E7E7E" w:themeColor="text1" w:themeTint="80" w:sz="4" w:space="0"/>
              <w:bottom w:val="single" w:color="7E7E7E" w:themeColor="text1" w:themeTint="80" w:sz="4" w:space="0"/>
            </w:tcBorders>
            <w:noWrap/>
            <w:vAlign w:val="center"/>
          </w:tcPr>
          <w:p w14:paraId="7C5C7C3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1.51</w:t>
            </w:r>
          </w:p>
        </w:tc>
        <w:tc>
          <w:tcPr>
            <w:tcW w:w="636" w:type="dxa"/>
            <w:tcBorders>
              <w:top w:val="single" w:color="7E7E7E" w:themeColor="text1" w:themeTint="80" w:sz="4" w:space="0"/>
              <w:bottom w:val="single" w:color="7E7E7E" w:themeColor="text1" w:themeTint="80" w:sz="4" w:space="0"/>
            </w:tcBorders>
            <w:noWrap/>
            <w:vAlign w:val="center"/>
          </w:tcPr>
          <w:p w14:paraId="0315940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0.00</w:t>
            </w:r>
          </w:p>
        </w:tc>
        <w:tc>
          <w:tcPr>
            <w:tcW w:w="635" w:type="dxa"/>
            <w:tcBorders>
              <w:top w:val="single" w:color="7E7E7E" w:themeColor="text1" w:themeTint="80" w:sz="4" w:space="0"/>
              <w:bottom w:val="single" w:color="7E7E7E" w:themeColor="text1" w:themeTint="80" w:sz="4" w:space="0"/>
            </w:tcBorders>
            <w:noWrap/>
            <w:vAlign w:val="center"/>
          </w:tcPr>
          <w:p w14:paraId="6DDCD92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0.88</w:t>
            </w:r>
          </w:p>
        </w:tc>
        <w:tc>
          <w:tcPr>
            <w:tcW w:w="635" w:type="dxa"/>
            <w:tcBorders>
              <w:top w:val="single" w:color="7E7E7E" w:themeColor="text1" w:themeTint="80" w:sz="4" w:space="0"/>
              <w:bottom w:val="single" w:color="7E7E7E" w:themeColor="text1" w:themeTint="80" w:sz="4" w:space="0"/>
            </w:tcBorders>
            <w:noWrap/>
            <w:vAlign w:val="center"/>
          </w:tcPr>
          <w:p w14:paraId="4C82F29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1.74</w:t>
            </w:r>
          </w:p>
        </w:tc>
        <w:tc>
          <w:tcPr>
            <w:tcW w:w="635" w:type="dxa"/>
            <w:tcBorders>
              <w:top w:val="single" w:color="7E7E7E" w:themeColor="text1" w:themeTint="80" w:sz="4" w:space="0"/>
              <w:bottom w:val="single" w:color="7E7E7E" w:themeColor="text1" w:themeTint="80" w:sz="4" w:space="0"/>
            </w:tcBorders>
            <w:noWrap/>
            <w:vAlign w:val="center"/>
          </w:tcPr>
          <w:p w14:paraId="56A0E0A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1.05</w:t>
            </w:r>
          </w:p>
        </w:tc>
        <w:tc>
          <w:tcPr>
            <w:tcW w:w="635" w:type="dxa"/>
            <w:tcBorders>
              <w:top w:val="single" w:color="7E7E7E" w:themeColor="text1" w:themeTint="80" w:sz="4" w:space="0"/>
              <w:bottom w:val="single" w:color="7E7E7E" w:themeColor="text1" w:themeTint="80" w:sz="4" w:space="0"/>
            </w:tcBorders>
            <w:noWrap/>
            <w:vAlign w:val="center"/>
          </w:tcPr>
          <w:p w14:paraId="74D7F63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1.75</w:t>
            </w:r>
          </w:p>
        </w:tc>
        <w:tc>
          <w:tcPr>
            <w:tcW w:w="635" w:type="dxa"/>
            <w:tcBorders>
              <w:top w:val="single" w:color="7E7E7E" w:themeColor="text1" w:themeTint="80" w:sz="4" w:space="0"/>
              <w:bottom w:val="single" w:color="7E7E7E" w:themeColor="text1" w:themeTint="80" w:sz="4" w:space="0"/>
            </w:tcBorders>
            <w:noWrap/>
            <w:vAlign w:val="center"/>
          </w:tcPr>
          <w:p w14:paraId="1C0D334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2.18</w:t>
            </w:r>
          </w:p>
        </w:tc>
        <w:tc>
          <w:tcPr>
            <w:tcW w:w="635" w:type="dxa"/>
            <w:tcBorders>
              <w:top w:val="single" w:color="7E7E7E" w:themeColor="text1" w:themeTint="80" w:sz="4" w:space="0"/>
              <w:bottom w:val="single" w:color="7E7E7E" w:themeColor="text1" w:themeTint="80" w:sz="4" w:space="0"/>
            </w:tcBorders>
            <w:noWrap/>
            <w:vAlign w:val="center"/>
          </w:tcPr>
          <w:p w14:paraId="41753DE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2.10</w:t>
            </w:r>
          </w:p>
        </w:tc>
        <w:tc>
          <w:tcPr>
            <w:tcW w:w="635" w:type="dxa"/>
            <w:tcBorders>
              <w:top w:val="single" w:color="7E7E7E" w:themeColor="text1" w:themeTint="80" w:sz="4" w:space="0"/>
              <w:bottom w:val="single" w:color="7E7E7E" w:themeColor="text1" w:themeTint="80" w:sz="4" w:space="0"/>
            </w:tcBorders>
            <w:noWrap/>
            <w:vAlign w:val="center"/>
          </w:tcPr>
          <w:p w14:paraId="49D3A9B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2.09</w:t>
            </w:r>
          </w:p>
        </w:tc>
        <w:tc>
          <w:tcPr>
            <w:tcW w:w="635" w:type="dxa"/>
            <w:tcBorders>
              <w:top w:val="single" w:color="7E7E7E" w:themeColor="text1" w:themeTint="80" w:sz="4" w:space="0"/>
              <w:bottom w:val="single" w:color="7E7E7E" w:themeColor="text1" w:themeTint="80" w:sz="4" w:space="0"/>
            </w:tcBorders>
            <w:noWrap/>
            <w:vAlign w:val="center"/>
          </w:tcPr>
          <w:p w14:paraId="5822CE8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1.64</w:t>
            </w:r>
          </w:p>
        </w:tc>
        <w:tc>
          <w:tcPr>
            <w:tcW w:w="635" w:type="dxa"/>
            <w:tcBorders>
              <w:top w:val="single" w:color="7E7E7E" w:themeColor="text1" w:themeTint="80" w:sz="4" w:space="0"/>
              <w:bottom w:val="single" w:color="7E7E7E" w:themeColor="text1" w:themeTint="80" w:sz="4" w:space="0"/>
            </w:tcBorders>
            <w:noWrap/>
            <w:vAlign w:val="center"/>
          </w:tcPr>
          <w:p w14:paraId="4A5A3DA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2.20</w:t>
            </w:r>
          </w:p>
        </w:tc>
        <w:tc>
          <w:tcPr>
            <w:tcW w:w="796" w:type="dxa"/>
            <w:tcBorders>
              <w:top w:val="single" w:color="7E7E7E" w:themeColor="text1" w:themeTint="80" w:sz="4" w:space="0"/>
              <w:bottom w:val="single" w:color="7E7E7E" w:themeColor="text1" w:themeTint="80" w:sz="4" w:space="0"/>
            </w:tcBorders>
            <w:noWrap/>
            <w:vAlign w:val="center"/>
          </w:tcPr>
          <w:p w14:paraId="02FD02D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2.55</w:t>
            </w:r>
          </w:p>
        </w:tc>
      </w:tr>
    </w:tbl>
    <w:p w14:paraId="4BEB2343">
      <w:pPr>
        <w:jc w:val="both"/>
        <w:rPr>
          <w:rFonts w:hint="eastAsia" w:ascii="华文楷体" w:hAnsi="华文楷体" w:eastAsia="华文楷体"/>
          <w:sz w:val="24"/>
        </w:rPr>
      </w:pPr>
    </w:p>
    <w:p w14:paraId="6675B6D6">
      <w:pPr>
        <w:jc w:val="center"/>
        <w:rPr>
          <w:rFonts w:hint="eastAsia" w:ascii="华文楷体" w:hAnsi="华文楷体" w:eastAsia="华文楷体"/>
          <w:sz w:val="24"/>
        </w:rPr>
      </w:pPr>
      <w:r>
        <w:rPr>
          <w14:ligatures w14:val="none"/>
        </w:rPr>
        <w:drawing>
          <wp:inline distT="0" distB="0" distL="0" distR="0">
            <wp:extent cx="3577590" cy="3335020"/>
            <wp:effectExtent l="0" t="0" r="3810" b="0"/>
            <wp:docPr id="3344526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5264" name="图片 1" descr="图表, 折线图&#10;&#10;AI 生成的内容可能不正确。"/>
                    <pic:cNvPicPr>
                      <a:picLocks noChangeAspect="1"/>
                    </pic:cNvPicPr>
                  </pic:nvPicPr>
                  <pic:blipFill>
                    <a:blip r:embed="rId12"/>
                    <a:stretch>
                      <a:fillRect/>
                    </a:stretch>
                  </pic:blipFill>
                  <pic:spPr>
                    <a:xfrm>
                      <a:off x="0" y="0"/>
                      <a:ext cx="3581074" cy="3337910"/>
                    </a:xfrm>
                    <a:prstGeom prst="rect">
                      <a:avLst/>
                    </a:prstGeom>
                  </pic:spPr>
                </pic:pic>
              </a:graphicData>
            </a:graphic>
          </wp:inline>
        </w:drawing>
      </w:r>
    </w:p>
    <w:p w14:paraId="7EDB5872">
      <w:pPr>
        <w:jc w:val="center"/>
        <w:rPr>
          <w:rFonts w:hint="eastAsia" w:ascii="华文楷体" w:hAnsi="华文楷体" w:eastAsia="华文楷体"/>
          <w:sz w:val="24"/>
        </w:rPr>
      </w:pPr>
      <w:r>
        <w:rPr>
          <w:rFonts w:hint="eastAsia" w:ascii="华文楷体" w:hAnsi="华文楷体" w:eastAsia="华文楷体"/>
          <w:sz w:val="24"/>
        </w:rPr>
        <w:t>图2-4 2025年浙江省各市区物流活力指数季节波动图（排名前五）</w:t>
      </w:r>
    </w:p>
    <w:p w14:paraId="0010FD0E">
      <w:pPr>
        <w:ind w:firstLine="480" w:firstLineChars="200"/>
        <w:jc w:val="both"/>
        <w:rPr>
          <w:rFonts w:hint="eastAsia" w:ascii="华文楷体" w:hAnsi="华文楷体" w:eastAsia="华文楷体"/>
          <w:sz w:val="24"/>
        </w:rPr>
      </w:pPr>
      <w:r>
        <w:rPr>
          <w:rFonts w:hint="eastAsia" w:ascii="华文楷体" w:hAnsi="华文楷体" w:eastAsia="华文楷体"/>
          <w:sz w:val="24"/>
        </w:rPr>
        <w:t>表2-4与图2-4显示杭州</w:t>
      </w:r>
      <w:bookmarkStart w:id="57" w:name="OLE_LINK52"/>
      <w:r>
        <w:rPr>
          <w:rFonts w:hint="eastAsia" w:ascii="华文楷体" w:hAnsi="华文楷体" w:eastAsia="华文楷体"/>
          <w:sz w:val="24"/>
        </w:rPr>
        <w:t>市</w:t>
      </w:r>
      <w:bookmarkEnd w:id="57"/>
      <w:r>
        <w:rPr>
          <w:rFonts w:hint="eastAsia" w:ascii="华文楷体" w:hAnsi="华文楷体" w:eastAsia="华文楷体"/>
          <w:sz w:val="24"/>
        </w:rPr>
        <w:t>、宁波市、舟山市等城市指数全年波动幅度较小，属“稳定型”；嘉兴市、温州市、金华市波动幅度较大，受季节性影响显著。</w:t>
      </w:r>
    </w:p>
    <w:p w14:paraId="087CE0C3">
      <w:pPr>
        <w:ind w:firstLine="480" w:firstLineChars="200"/>
        <w:jc w:val="both"/>
        <w:rPr>
          <w:rFonts w:hint="eastAsia" w:ascii="华文楷体" w:hAnsi="华文楷体" w:eastAsia="华文楷体"/>
          <w:sz w:val="24"/>
        </w:rPr>
      </w:pPr>
      <w:bookmarkStart w:id="58" w:name="OLE_LINK303"/>
      <w:r>
        <w:rPr>
          <w:rFonts w:ascii="华文楷体" w:hAnsi="华文楷体" w:eastAsia="华文楷体"/>
          <w:sz w:val="24"/>
        </w:rPr>
        <w:t>各市物流活力指数波动源于产业特征、政策落地与季节性需求的叠加影响。宁波港口经济主导，但受春节假期影响需求</w:t>
      </w:r>
      <w:r>
        <w:rPr>
          <w:rFonts w:hint="eastAsia" w:ascii="华文楷体" w:hAnsi="华文楷体" w:eastAsia="华文楷体"/>
          <w:sz w:val="24"/>
        </w:rPr>
        <w:t>；</w:t>
      </w:r>
      <w:r>
        <w:rPr>
          <w:rFonts w:ascii="华文楷体" w:hAnsi="华文楷体" w:eastAsia="华文楷体"/>
          <w:sz w:val="24"/>
        </w:rPr>
        <w:t>温州市场采购贸易试点季节性明显，年中外贸复苏带动指数反弹；金华义乌小商品市场</w:t>
      </w:r>
      <w:r>
        <w:rPr>
          <w:rFonts w:hint="eastAsia" w:ascii="华文楷体" w:hAnsi="华文楷体" w:eastAsia="华文楷体"/>
          <w:sz w:val="24"/>
        </w:rPr>
        <w:t>“</w:t>
      </w:r>
      <w:r>
        <w:rPr>
          <w:rFonts w:ascii="华文楷体" w:hAnsi="华文楷体" w:eastAsia="华文楷体"/>
          <w:sz w:val="24"/>
        </w:rPr>
        <w:t>春节停工、年后复工</w:t>
      </w:r>
      <w:r>
        <w:rPr>
          <w:rFonts w:hint="eastAsia" w:ascii="华文楷体" w:hAnsi="华文楷体" w:eastAsia="华文楷体"/>
          <w:sz w:val="24"/>
        </w:rPr>
        <w:t>”</w:t>
      </w:r>
      <w:r>
        <w:rPr>
          <w:rFonts w:ascii="华文楷体" w:hAnsi="华文楷体" w:eastAsia="华文楷体"/>
          <w:sz w:val="24"/>
        </w:rPr>
        <w:t>特征显著，导致年初指数回落。</w:t>
      </w:r>
    </w:p>
    <w:p w14:paraId="600F770E">
      <w:pPr>
        <w:ind w:firstLine="480" w:firstLineChars="200"/>
        <w:jc w:val="both"/>
        <w:rPr>
          <w:rFonts w:hint="eastAsia" w:ascii="华文楷体" w:hAnsi="华文楷体" w:eastAsia="华文楷体"/>
          <w:sz w:val="24"/>
        </w:rPr>
      </w:pPr>
      <w:r>
        <w:rPr>
          <w:rFonts w:hint="eastAsia" w:ascii="华文楷体" w:hAnsi="华文楷体" w:eastAsia="华文楷体"/>
          <w:sz w:val="24"/>
        </w:rPr>
        <w:t>衢州市物流活力指数</w:t>
      </w:r>
      <w:r>
        <w:rPr>
          <w:rFonts w:ascii="华文楷体" w:hAnsi="华文楷体" w:eastAsia="华文楷体"/>
          <w:sz w:val="24"/>
        </w:rPr>
        <w:t>3月降至全年最低，此后逐步回升至12月</w:t>
      </w:r>
      <w:r>
        <w:rPr>
          <w:rFonts w:hint="eastAsia" w:ascii="华文楷体" w:hAnsi="华文楷体" w:eastAsia="华文楷体"/>
          <w:sz w:val="24"/>
        </w:rPr>
        <w:t>。这一数据特征与可能甬金衢上高速衢州段2025年4月9日开工建设相关，项目开工初期因施工占道、交通管制等因素，短期内对高速公路通行效率产生一定影响，导致3-4月指数降低；但随着项目推进，长期将强化衢州四省边际区域综合交通枢纽地位，预计2029年通车后衢州到宁波舟山港的时间将由4.5小时缩短至2.7小时，显著提升高速公路物流活力</w:t>
      </w:r>
      <w:r>
        <w:rPr>
          <w:rStyle w:val="24"/>
          <w:rFonts w:hint="eastAsia" w:ascii="华文楷体" w:hAnsi="华文楷体" w:eastAsia="华文楷体"/>
          <w:sz w:val="24"/>
        </w:rPr>
        <w:footnoteReference w:id="8"/>
      </w:r>
      <w:r>
        <w:rPr>
          <w:rFonts w:hint="eastAsia" w:ascii="华文楷体" w:hAnsi="华文楷体" w:eastAsia="华文楷体"/>
          <w:sz w:val="24"/>
        </w:rPr>
        <w:t>。</w:t>
      </w:r>
    </w:p>
    <w:p w14:paraId="1FB91B68">
      <w:pPr>
        <w:ind w:firstLine="480" w:firstLineChars="200"/>
        <w:jc w:val="both"/>
        <w:rPr>
          <w:rFonts w:hint="eastAsia" w:ascii="华文楷体" w:hAnsi="华文楷体" w:eastAsia="华文楷体"/>
          <w:sz w:val="24"/>
        </w:rPr>
      </w:pPr>
      <w:r>
        <w:rPr>
          <w:rFonts w:hint="eastAsia" w:ascii="华文楷体" w:hAnsi="华文楷体" w:eastAsia="华文楷体"/>
          <w:sz w:val="24"/>
        </w:rPr>
        <w:t>丽水市物流活力指数7月降至全年最低，11月回升至5.92，12月收于5.95。</w:t>
      </w:r>
      <w:bookmarkStart w:id="59" w:name="OLE_LINK365"/>
      <w:bookmarkStart w:id="60" w:name="OLE_LINK366"/>
      <w:r>
        <w:rPr>
          <w:rFonts w:hint="eastAsia" w:ascii="华文楷体" w:hAnsi="华文楷体" w:eastAsia="华文楷体"/>
          <w:sz w:val="24"/>
        </w:rPr>
        <w:t>义龙庆高速公路丽水段2024年2月全面开工建设</w:t>
      </w:r>
      <w:bookmarkEnd w:id="59"/>
      <w:r>
        <w:rPr>
          <w:rStyle w:val="24"/>
          <w:rFonts w:hint="eastAsia" w:ascii="华文楷体" w:hAnsi="华文楷体" w:eastAsia="华文楷体"/>
          <w:sz w:val="24"/>
        </w:rPr>
        <w:footnoteReference w:id="9"/>
      </w:r>
      <w:bookmarkEnd w:id="60"/>
      <w:r>
        <w:rPr>
          <w:rFonts w:hint="eastAsia" w:ascii="华文楷体" w:hAnsi="华文楷体" w:eastAsia="华文楷体"/>
          <w:sz w:val="24"/>
        </w:rPr>
        <w:t>。2025年项目进入主体施工阶段，短期内施工可能会对现有高速公路网络产生一定扰动，但长期将改善丽水高速公路物流条件。</w:t>
      </w:r>
    </w:p>
    <w:bookmarkEnd w:id="46"/>
    <w:bookmarkEnd w:id="58"/>
    <w:p w14:paraId="48CBBD8B">
      <w:pPr>
        <w:pStyle w:val="4"/>
        <w:rPr>
          <w:rFonts w:hint="eastAsia" w:ascii="华文楷体" w:hAnsi="华文楷体" w:eastAsia="华文楷体"/>
          <w:b/>
          <w:bCs/>
          <w:color w:val="000000" w:themeColor="text1"/>
          <w:sz w:val="24"/>
          <w:szCs w:val="24"/>
          <w14:textFill>
            <w14:solidFill>
              <w14:schemeClr w14:val="tx1"/>
            </w14:solidFill>
          </w14:textFill>
        </w:rPr>
      </w:pPr>
      <w:r>
        <w:rPr>
          <w:rFonts w:ascii="华文楷体" w:hAnsi="华文楷体" w:eastAsia="华文楷体"/>
          <w:b/>
          <w:bCs/>
          <w:color w:val="000000" w:themeColor="text1"/>
          <w:sz w:val="24"/>
          <w:szCs w:val="24"/>
          <w14:textFill>
            <w14:solidFill>
              <w14:schemeClr w14:val="tx1"/>
            </w14:solidFill>
          </w14:textFill>
        </w:rPr>
        <w:t>2.2.</w:t>
      </w:r>
      <w:r>
        <w:rPr>
          <w:rFonts w:hint="eastAsia" w:ascii="华文楷体" w:hAnsi="华文楷体" w:eastAsia="华文楷体"/>
          <w:b/>
          <w:bCs/>
          <w:color w:val="000000" w:themeColor="text1"/>
          <w:sz w:val="24"/>
          <w:szCs w:val="24"/>
          <w14:textFill>
            <w14:solidFill>
              <w14:schemeClr w14:val="tx1"/>
            </w14:solidFill>
          </w14:textFill>
        </w:rPr>
        <w:t xml:space="preserve">4 </w:t>
      </w:r>
      <w:bookmarkStart w:id="61" w:name="OLE_LINK22"/>
      <w:r>
        <w:rPr>
          <w:rFonts w:hint="eastAsia" w:ascii="华文楷体" w:hAnsi="华文楷体" w:eastAsia="华文楷体"/>
          <w:b/>
          <w:bCs/>
          <w:color w:val="000000" w:themeColor="text1"/>
          <w:sz w:val="24"/>
          <w:szCs w:val="24"/>
          <w14:textFill>
            <w14:solidFill>
              <w14:schemeClr w14:val="tx1"/>
            </w14:solidFill>
          </w14:textFill>
        </w:rPr>
        <w:t>绿色</w:t>
      </w:r>
      <w:r>
        <w:rPr>
          <w:rFonts w:ascii="华文楷体" w:hAnsi="华文楷体" w:eastAsia="华文楷体"/>
          <w:b/>
          <w:bCs/>
          <w:color w:val="000000" w:themeColor="text1"/>
          <w:sz w:val="24"/>
          <w:szCs w:val="24"/>
          <w14:textFill>
            <w14:solidFill>
              <w14:schemeClr w14:val="tx1"/>
            </w14:solidFill>
          </w14:textFill>
        </w:rPr>
        <w:t>交通</w:t>
      </w:r>
      <w:bookmarkEnd w:id="61"/>
      <w:r>
        <w:rPr>
          <w:rFonts w:hint="eastAsia" w:ascii="华文楷体" w:hAnsi="华文楷体" w:eastAsia="华文楷体"/>
          <w:b/>
          <w:bCs/>
          <w:color w:val="000000" w:themeColor="text1"/>
          <w:sz w:val="24"/>
          <w:szCs w:val="24"/>
          <w14:textFill>
            <w14:solidFill>
              <w14:schemeClr w14:val="tx1"/>
            </w14:solidFill>
          </w14:textFill>
        </w:rPr>
        <w:t>发展</w:t>
      </w:r>
      <w:r>
        <w:rPr>
          <w:rFonts w:ascii="华文楷体" w:hAnsi="华文楷体" w:eastAsia="华文楷体"/>
          <w:b/>
          <w:bCs/>
          <w:color w:val="000000" w:themeColor="text1"/>
          <w:sz w:val="24"/>
          <w:szCs w:val="24"/>
          <w14:textFill>
            <w14:solidFill>
              <w14:schemeClr w14:val="tx1"/>
            </w14:solidFill>
          </w14:textFill>
        </w:rPr>
        <w:t>分析</w:t>
      </w:r>
    </w:p>
    <w:p w14:paraId="4B335324">
      <w:pPr>
        <w:ind w:firstLine="480" w:firstLineChars="200"/>
        <w:jc w:val="both"/>
        <w:rPr>
          <w:rFonts w:hint="eastAsia" w:ascii="华文楷体" w:hAnsi="华文楷体" w:eastAsia="华文楷体"/>
          <w:sz w:val="24"/>
        </w:rPr>
      </w:pPr>
      <w:bookmarkStart w:id="62" w:name="OLE_LINK149"/>
      <w:r>
        <w:rPr>
          <w:rFonts w:hint="eastAsia" w:ascii="华文楷体" w:hAnsi="华文楷体" w:eastAsia="华文楷体"/>
          <w:sz w:val="24"/>
        </w:rPr>
        <w:t>绿色</w:t>
      </w:r>
      <w:r>
        <w:rPr>
          <w:rFonts w:ascii="华文楷体" w:hAnsi="华文楷体" w:eastAsia="华文楷体"/>
          <w:sz w:val="24"/>
        </w:rPr>
        <w:t>交通发展分析</w:t>
      </w:r>
      <w:bookmarkEnd w:id="62"/>
      <w:r>
        <w:rPr>
          <w:rFonts w:hint="eastAsia" w:ascii="华文楷体" w:hAnsi="华文楷体" w:eastAsia="华文楷体"/>
          <w:sz w:val="24"/>
        </w:rPr>
        <w:t>的</w:t>
      </w:r>
      <w:r>
        <w:rPr>
          <w:rFonts w:ascii="华文楷体" w:hAnsi="华文楷体" w:eastAsia="华文楷体"/>
          <w:sz w:val="24"/>
        </w:rPr>
        <w:t>核心指标</w:t>
      </w:r>
      <w:r>
        <w:rPr>
          <w:rFonts w:hint="eastAsia" w:ascii="华文楷体" w:hAnsi="华文楷体" w:eastAsia="华文楷体"/>
          <w:sz w:val="24"/>
        </w:rPr>
        <w:t>包括</w:t>
      </w:r>
      <w:r>
        <w:rPr>
          <w:rFonts w:ascii="华文楷体" w:hAnsi="华文楷体" w:eastAsia="华文楷体"/>
          <w:sz w:val="24"/>
        </w:rPr>
        <w:t>绿色物流指数、</w:t>
      </w:r>
      <w:bookmarkStart w:id="63" w:name="OLE_LINK1"/>
      <w:bookmarkStart w:id="64" w:name="OLE_LINK125"/>
      <w:r>
        <w:rPr>
          <w:rFonts w:hint="eastAsia" w:ascii="华文楷体" w:hAnsi="华文楷体" w:eastAsia="华文楷体"/>
          <w:sz w:val="24"/>
        </w:rPr>
        <w:t>碳减排贡献度</w:t>
      </w:r>
      <w:r>
        <w:rPr>
          <w:rFonts w:ascii="华文楷体" w:hAnsi="华文楷体" w:eastAsia="华文楷体"/>
          <w:sz w:val="24"/>
        </w:rPr>
        <w:t xml:space="preserve"> (吨CO</w:t>
      </w:r>
      <w:r>
        <w:rPr>
          <w:rFonts w:ascii="Cambria Math" w:hAnsi="Cambria Math" w:eastAsia="华文楷体" w:cs="Cambria Math"/>
          <w:sz w:val="24"/>
        </w:rPr>
        <w:t>₂</w:t>
      </w:r>
      <w:r>
        <w:rPr>
          <w:rFonts w:ascii="华文楷体" w:hAnsi="华文楷体" w:eastAsia="华文楷体"/>
          <w:sz w:val="24"/>
        </w:rPr>
        <w:t>)</w:t>
      </w:r>
      <w:bookmarkEnd w:id="63"/>
      <w:r>
        <w:rPr>
          <w:rFonts w:hint="eastAsia" w:ascii="华文楷体" w:hAnsi="华文楷体" w:eastAsia="华文楷体"/>
          <w:sz w:val="24"/>
        </w:rPr>
        <w:t>。</w:t>
      </w:r>
    </w:p>
    <w:bookmarkEnd w:id="64"/>
    <w:p w14:paraId="0B095729">
      <w:pPr>
        <w:ind w:firstLine="480" w:firstLineChars="200"/>
        <w:jc w:val="both"/>
        <w:rPr>
          <w:rFonts w:hint="eastAsia" w:ascii="华文楷体" w:hAnsi="华文楷体" w:eastAsia="华文楷体"/>
          <w:sz w:val="24"/>
        </w:rPr>
      </w:pPr>
      <w:r>
        <w:rPr>
          <w:rFonts w:hint="eastAsia" w:ascii="华文楷体" w:hAnsi="华文楷体" w:eastAsia="华文楷体"/>
          <w:sz w:val="24"/>
        </w:rPr>
        <w:t>绿色</w:t>
      </w:r>
      <w:r>
        <w:rPr>
          <w:rFonts w:ascii="华文楷体" w:hAnsi="华文楷体" w:eastAsia="华文楷体"/>
          <w:sz w:val="24"/>
        </w:rPr>
        <w:t>交通发展分析</w:t>
      </w:r>
      <w:r>
        <w:rPr>
          <w:rFonts w:hint="eastAsia" w:ascii="华文楷体" w:hAnsi="华文楷体" w:eastAsia="华文楷体"/>
          <w:sz w:val="24"/>
        </w:rPr>
        <w:t>相关指标</w:t>
      </w:r>
      <w:r>
        <w:rPr>
          <w:rFonts w:ascii="华文楷体" w:hAnsi="华文楷体" w:eastAsia="华文楷体"/>
          <w:sz w:val="24"/>
        </w:rPr>
        <w:t>展示新能源交通发展</w:t>
      </w:r>
      <w:r>
        <w:rPr>
          <w:rFonts w:hint="eastAsia" w:ascii="华文楷体" w:hAnsi="华文楷体" w:eastAsia="华文楷体"/>
          <w:sz w:val="24"/>
        </w:rPr>
        <w:t>情况</w:t>
      </w:r>
      <w:r>
        <w:rPr>
          <w:rFonts w:ascii="华文楷体" w:hAnsi="华文楷体" w:eastAsia="华文楷体"/>
          <w:sz w:val="24"/>
        </w:rPr>
        <w:t>，</w:t>
      </w:r>
      <w:r>
        <w:rPr>
          <w:rFonts w:hint="eastAsia" w:ascii="华文楷体" w:hAnsi="华文楷体" w:eastAsia="华文楷体"/>
          <w:sz w:val="24"/>
        </w:rPr>
        <w:t>对</w:t>
      </w:r>
      <w:r>
        <w:rPr>
          <w:rFonts w:ascii="华文楷体" w:hAnsi="华文楷体" w:eastAsia="华文楷体"/>
          <w:sz w:val="24"/>
        </w:rPr>
        <w:t>绿色物流指数、</w:t>
      </w:r>
      <w:r>
        <w:rPr>
          <w:rFonts w:hint="eastAsia" w:ascii="华文楷体" w:hAnsi="华文楷体" w:eastAsia="华文楷体"/>
          <w:sz w:val="24"/>
        </w:rPr>
        <w:t>碳减排贡献度 (吨CO</w:t>
      </w:r>
      <w:r>
        <w:rPr>
          <w:rFonts w:ascii="Cambria Math" w:hAnsi="Cambria Math" w:eastAsia="华文楷体" w:cs="Cambria Math"/>
          <w:sz w:val="24"/>
        </w:rPr>
        <w:t>₂</w:t>
      </w:r>
      <w:r>
        <w:rPr>
          <w:rFonts w:hint="eastAsia" w:ascii="华文楷体" w:hAnsi="华文楷体" w:eastAsia="华文楷体"/>
          <w:sz w:val="24"/>
        </w:rPr>
        <w:t>)进行</w:t>
      </w:r>
      <w:r>
        <w:rPr>
          <w:rFonts w:ascii="华文楷体" w:hAnsi="华文楷体" w:eastAsia="华文楷体"/>
          <w:sz w:val="24"/>
        </w:rPr>
        <w:t>对比分析与趋势</w:t>
      </w:r>
      <w:r>
        <w:rPr>
          <w:rFonts w:hint="eastAsia" w:ascii="华文楷体" w:hAnsi="华文楷体" w:eastAsia="华文楷体"/>
          <w:sz w:val="24"/>
        </w:rPr>
        <w:t>分析</w:t>
      </w:r>
      <w:r>
        <w:rPr>
          <w:rFonts w:ascii="华文楷体" w:hAnsi="华文楷体" w:eastAsia="华文楷体"/>
          <w:sz w:val="24"/>
        </w:rPr>
        <w:t>。</w:t>
      </w:r>
    </w:p>
    <w:p w14:paraId="60BBD26D">
      <w:pPr>
        <w:ind w:firstLine="480" w:firstLineChars="200"/>
        <w:rPr>
          <w:rFonts w:hint="eastAsia" w:ascii="华文楷体" w:hAnsi="华文楷体" w:eastAsia="华文楷体"/>
          <w:sz w:val="24"/>
        </w:rPr>
      </w:pPr>
      <w:bookmarkStart w:id="65" w:name="OLE_LINK279"/>
      <w:r>
        <w:rPr>
          <w:rFonts w:ascii="华文楷体" w:hAnsi="华文楷体" w:eastAsia="华文楷体"/>
          <w:sz w:val="24"/>
        </w:rPr>
        <w:t>绿色物流指数</w:t>
      </w:r>
      <w:bookmarkEnd w:id="65"/>
      <w:r>
        <w:rPr>
          <w:rFonts w:hint="eastAsia" w:ascii="华文楷体" w:hAnsi="华文楷体" w:eastAsia="华文楷体"/>
          <w:sz w:val="24"/>
        </w:rPr>
        <w:t>根据城市</w:t>
      </w:r>
      <w:bookmarkStart w:id="66" w:name="OLE_LINK367"/>
      <w:r>
        <w:rPr>
          <w:rFonts w:hint="eastAsia" w:ascii="华文楷体" w:hAnsi="华文楷体" w:eastAsia="华文楷体"/>
          <w:sz w:val="24"/>
        </w:rPr>
        <w:t>新能源货车</w:t>
      </w:r>
      <w:bookmarkEnd w:id="66"/>
      <w:r>
        <w:rPr>
          <w:rFonts w:hint="eastAsia" w:ascii="华文楷体" w:hAnsi="华文楷体" w:eastAsia="华文楷体"/>
          <w:sz w:val="24"/>
        </w:rPr>
        <w:t>车流量占货车流量比重以及新能源货车行</w:t>
      </w:r>
      <w:r>
        <w:rPr>
          <w:rFonts w:hint="eastAsia" w:ascii="华文楷体" w:hAnsi="华文楷体" w:eastAsia="华文楷体"/>
          <w:sz w:val="24"/>
          <w:lang w:val="en-US" w:eastAsia="zh-CN"/>
        </w:rPr>
        <w:t>驶</w:t>
      </w:r>
      <w:r>
        <w:rPr>
          <w:rFonts w:hint="eastAsia" w:ascii="华文楷体" w:hAnsi="华文楷体" w:eastAsia="华文楷体"/>
          <w:sz w:val="24"/>
        </w:rPr>
        <w:t>里程占货车行</w:t>
      </w:r>
      <w:r>
        <w:rPr>
          <w:rFonts w:hint="eastAsia" w:ascii="华文楷体" w:hAnsi="华文楷体" w:eastAsia="华文楷体"/>
          <w:sz w:val="24"/>
          <w:lang w:val="en-US" w:eastAsia="zh-CN"/>
        </w:rPr>
        <w:t>驶</w:t>
      </w:r>
      <w:r>
        <w:rPr>
          <w:rFonts w:hint="eastAsia" w:ascii="华文楷体" w:hAnsi="华文楷体" w:eastAsia="华文楷体"/>
          <w:sz w:val="24"/>
        </w:rPr>
        <w:t>里程比重进行加权计算。</w:t>
      </w:r>
    </w:p>
    <w:p w14:paraId="7766F572">
      <w:pPr>
        <w:jc w:val="center"/>
        <w:rPr>
          <w:rFonts w:hint="eastAsia" w:ascii="华文楷体" w:hAnsi="华文楷体" w:eastAsia="华文楷体"/>
          <w:sz w:val="24"/>
        </w:rPr>
      </w:pPr>
      <w:bookmarkStart w:id="67" w:name="OLE_LINK364"/>
      <w:bookmarkStart w:id="68" w:name="OLE_LINK278"/>
      <w:r>
        <w:rPr>
          <w:rFonts w:hint="eastAsia" w:ascii="华文楷体" w:hAnsi="华文楷体" w:eastAsia="华文楷体"/>
          <w:sz w:val="24"/>
        </w:rPr>
        <w:t>表2-6 2025年各城市绿色物流指数均值</w:t>
      </w:r>
    </w:p>
    <w:bookmarkEnd w:id="67"/>
    <w:tbl>
      <w:tblPr>
        <w:tblStyle w:val="48"/>
        <w:tblW w:w="83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82"/>
        <w:gridCol w:w="4182"/>
      </w:tblGrid>
      <w:tr w14:paraId="0964145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bottom w:val="single" w:color="7E7E7E" w:themeColor="text1" w:themeTint="80" w:sz="4" w:space="0"/>
              <w:insideH w:val="single" w:sz="4" w:space="0"/>
            </w:tcBorders>
            <w:noWrap/>
          </w:tcPr>
          <w:p w14:paraId="43E31DE2">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城市</w:t>
            </w:r>
          </w:p>
        </w:tc>
        <w:tc>
          <w:tcPr>
            <w:tcW w:w="4182" w:type="dxa"/>
            <w:tcBorders>
              <w:bottom w:val="single" w:color="7E7E7E" w:themeColor="text1" w:themeTint="80" w:sz="4" w:space="0"/>
              <w:insideH w:val="single" w:sz="4" w:space="0"/>
            </w:tcBorders>
            <w:noWrap/>
          </w:tcPr>
          <w:p w14:paraId="7AFE5086">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2025年均值</w:t>
            </w:r>
          </w:p>
        </w:tc>
      </w:tr>
      <w:tr w14:paraId="43E41A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5F6C808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w:t>
            </w:r>
          </w:p>
        </w:tc>
        <w:tc>
          <w:tcPr>
            <w:tcW w:w="4182" w:type="dxa"/>
            <w:tcBorders>
              <w:top w:val="single" w:color="7E7E7E" w:themeColor="text1" w:themeTint="80" w:sz="4" w:space="0"/>
              <w:bottom w:val="single" w:color="7E7E7E" w:themeColor="text1" w:themeTint="80" w:sz="4" w:space="0"/>
            </w:tcBorders>
            <w:noWrap/>
            <w:vAlign w:val="bottom"/>
          </w:tcPr>
          <w:p w14:paraId="608AB23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72.22 </w:t>
            </w:r>
          </w:p>
        </w:tc>
      </w:tr>
      <w:tr w14:paraId="05DEE5F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20EC0D1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绍兴市</w:t>
            </w:r>
          </w:p>
        </w:tc>
        <w:tc>
          <w:tcPr>
            <w:tcW w:w="4182" w:type="dxa"/>
            <w:noWrap/>
            <w:vAlign w:val="bottom"/>
          </w:tcPr>
          <w:p w14:paraId="1ABDFEA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66.92 </w:t>
            </w:r>
          </w:p>
        </w:tc>
      </w:tr>
      <w:tr w14:paraId="071ACD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532A2A3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温州市</w:t>
            </w:r>
          </w:p>
        </w:tc>
        <w:tc>
          <w:tcPr>
            <w:tcW w:w="4182" w:type="dxa"/>
            <w:tcBorders>
              <w:top w:val="single" w:color="7E7E7E" w:themeColor="text1" w:themeTint="80" w:sz="4" w:space="0"/>
              <w:bottom w:val="single" w:color="7E7E7E" w:themeColor="text1" w:themeTint="80" w:sz="4" w:space="0"/>
            </w:tcBorders>
            <w:noWrap/>
            <w:vAlign w:val="bottom"/>
          </w:tcPr>
          <w:p w14:paraId="13A39F1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66.45 </w:t>
            </w:r>
          </w:p>
        </w:tc>
      </w:tr>
      <w:tr w14:paraId="32A725F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2A4CB42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w:t>
            </w:r>
          </w:p>
        </w:tc>
        <w:tc>
          <w:tcPr>
            <w:tcW w:w="4182" w:type="dxa"/>
            <w:noWrap/>
            <w:vAlign w:val="bottom"/>
          </w:tcPr>
          <w:p w14:paraId="5BA70CE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66.12 </w:t>
            </w:r>
          </w:p>
        </w:tc>
      </w:tr>
      <w:tr w14:paraId="6BC89CD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5167DD47">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金华市</w:t>
            </w:r>
          </w:p>
        </w:tc>
        <w:tc>
          <w:tcPr>
            <w:tcW w:w="4182" w:type="dxa"/>
            <w:tcBorders>
              <w:top w:val="single" w:color="7E7E7E" w:themeColor="text1" w:themeTint="80" w:sz="4" w:space="0"/>
              <w:bottom w:val="single" w:color="7E7E7E" w:themeColor="text1" w:themeTint="80" w:sz="4" w:space="0"/>
            </w:tcBorders>
            <w:noWrap/>
            <w:vAlign w:val="bottom"/>
          </w:tcPr>
          <w:p w14:paraId="18A0CC4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50.08 </w:t>
            </w:r>
          </w:p>
        </w:tc>
      </w:tr>
      <w:tr w14:paraId="31E0BFA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0A3521D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w:t>
            </w:r>
          </w:p>
        </w:tc>
        <w:tc>
          <w:tcPr>
            <w:tcW w:w="4182" w:type="dxa"/>
            <w:noWrap/>
            <w:vAlign w:val="bottom"/>
          </w:tcPr>
          <w:p w14:paraId="33612BF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48.23 </w:t>
            </w:r>
          </w:p>
        </w:tc>
      </w:tr>
      <w:tr w14:paraId="3D041FE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16246AF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w:t>
            </w:r>
          </w:p>
        </w:tc>
        <w:tc>
          <w:tcPr>
            <w:tcW w:w="4182" w:type="dxa"/>
            <w:tcBorders>
              <w:top w:val="single" w:color="7E7E7E" w:themeColor="text1" w:themeTint="80" w:sz="4" w:space="0"/>
              <w:bottom w:val="single" w:color="7E7E7E" w:themeColor="text1" w:themeTint="80" w:sz="4" w:space="0"/>
            </w:tcBorders>
            <w:noWrap/>
            <w:vAlign w:val="bottom"/>
          </w:tcPr>
          <w:p w14:paraId="0E2859A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46.75 </w:t>
            </w:r>
          </w:p>
        </w:tc>
      </w:tr>
      <w:tr w14:paraId="4D5B9CB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6249B32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宁波市</w:t>
            </w:r>
          </w:p>
        </w:tc>
        <w:tc>
          <w:tcPr>
            <w:tcW w:w="4182" w:type="dxa"/>
            <w:tcBorders>
              <w:top w:val="single" w:color="7E7E7E" w:themeColor="text1" w:themeTint="80" w:sz="4" w:space="0"/>
              <w:bottom w:val="single" w:color="7E7E7E" w:themeColor="text1" w:themeTint="80" w:sz="4" w:space="0"/>
            </w:tcBorders>
            <w:noWrap/>
            <w:vAlign w:val="bottom"/>
          </w:tcPr>
          <w:p w14:paraId="406A696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44.88 </w:t>
            </w:r>
          </w:p>
        </w:tc>
      </w:tr>
      <w:tr w14:paraId="79E7B57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4E99018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湖州市</w:t>
            </w:r>
          </w:p>
        </w:tc>
        <w:tc>
          <w:tcPr>
            <w:tcW w:w="4182" w:type="dxa"/>
            <w:tcBorders>
              <w:top w:val="single" w:color="7E7E7E" w:themeColor="text1" w:themeTint="80" w:sz="4" w:space="0"/>
              <w:bottom w:val="single" w:color="7E7E7E" w:themeColor="text1" w:themeTint="80" w:sz="4" w:space="0"/>
            </w:tcBorders>
            <w:noWrap/>
            <w:vAlign w:val="bottom"/>
          </w:tcPr>
          <w:p w14:paraId="5EDDB14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37.87 </w:t>
            </w:r>
          </w:p>
        </w:tc>
      </w:tr>
      <w:tr w14:paraId="01C19C3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49292537">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舟山市</w:t>
            </w:r>
          </w:p>
        </w:tc>
        <w:tc>
          <w:tcPr>
            <w:tcW w:w="4182" w:type="dxa"/>
            <w:noWrap/>
            <w:vAlign w:val="bottom"/>
          </w:tcPr>
          <w:p w14:paraId="4A85956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34.00 </w:t>
            </w:r>
          </w:p>
        </w:tc>
      </w:tr>
      <w:tr w14:paraId="3E32ED3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7B93816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衢州市</w:t>
            </w:r>
          </w:p>
        </w:tc>
        <w:tc>
          <w:tcPr>
            <w:tcW w:w="4182" w:type="dxa"/>
            <w:tcBorders>
              <w:top w:val="single" w:color="7E7E7E" w:themeColor="text1" w:themeTint="80" w:sz="4" w:space="0"/>
              <w:bottom w:val="single" w:color="7E7E7E" w:themeColor="text1" w:themeTint="80" w:sz="4" w:space="0"/>
            </w:tcBorders>
            <w:noWrap/>
            <w:vAlign w:val="bottom"/>
          </w:tcPr>
          <w:p w14:paraId="64D799C4">
            <w:pPr>
              <w:widowControl/>
              <w:spacing w:after="0" w:line="240" w:lineRule="auto"/>
              <w:jc w:val="center"/>
              <w:rPr>
                <w:rFonts w:hint="eastAsia" w:ascii="华文楷体" w:hAnsi="华文楷体" w:eastAsia="华文楷体" w:cs="宋体"/>
                <w:color w:val="000000"/>
                <w:kern w:val="0"/>
                <w:sz w:val="18"/>
                <w:szCs w:val="18"/>
                <w14:ligatures w14:val="none"/>
              </w:rPr>
            </w:pPr>
            <w:bookmarkStart w:id="69" w:name="OLE_LINK377"/>
            <w:r>
              <w:rPr>
                <w:rFonts w:hint="eastAsia" w:ascii="华文楷体" w:hAnsi="华文楷体" w:eastAsia="华文楷体" w:cs="宋体"/>
                <w:color w:val="000000"/>
                <w:kern w:val="0"/>
                <w:sz w:val="18"/>
                <w:szCs w:val="18"/>
                <w14:ligatures w14:val="none"/>
              </w:rPr>
              <w:t xml:space="preserve">15.83 </w:t>
            </w:r>
            <w:bookmarkEnd w:id="69"/>
          </w:p>
        </w:tc>
      </w:tr>
      <w:bookmarkEnd w:id="68"/>
    </w:tbl>
    <w:p w14:paraId="1A953706">
      <w:pPr>
        <w:ind w:firstLine="480" w:firstLineChars="200"/>
        <w:rPr>
          <w:rFonts w:hint="eastAsia" w:ascii="华文楷体" w:hAnsi="华文楷体" w:eastAsia="华文楷体"/>
          <w:sz w:val="24"/>
        </w:rPr>
      </w:pPr>
      <w:r>
        <w:rPr>
          <w:rFonts w:hint="eastAsia" w:ascii="华文楷体" w:hAnsi="华文楷体" w:eastAsia="华文楷体"/>
          <w:sz w:val="24"/>
        </w:rPr>
        <w:t>表2-6显示2025年浙江省各城市绿色物流指数呈现梯度分化，杭州市、绍兴市、温州市、嘉兴市领跑全省。这一格局直接源于高速公路差异化收费政策及新能源货车通行便利政策的落地成效.</w:t>
      </w:r>
    </w:p>
    <w:p w14:paraId="305D4905">
      <w:pPr>
        <w:ind w:firstLine="480" w:firstLineChars="200"/>
        <w:rPr>
          <w:rFonts w:hint="eastAsia" w:ascii="华文楷体" w:hAnsi="华文楷体" w:eastAsia="华文楷体"/>
          <w:sz w:val="24"/>
        </w:rPr>
      </w:pPr>
      <w:r>
        <w:rPr>
          <w:rFonts w:hint="eastAsia" w:ascii="华文楷体" w:hAnsi="华文楷体" w:eastAsia="华文楷体"/>
          <w:sz w:val="24"/>
        </w:rPr>
        <w:t>杭州市依托2025年1月1日起实施的国四柴油货车限行政策</w:t>
      </w:r>
      <w:r>
        <w:rPr>
          <w:rStyle w:val="24"/>
          <w:rFonts w:hint="eastAsia" w:ascii="华文楷体" w:hAnsi="华文楷体" w:eastAsia="华文楷体"/>
          <w:sz w:val="24"/>
        </w:rPr>
        <w:footnoteReference w:id="10"/>
      </w:r>
      <w:r>
        <w:rPr>
          <w:rFonts w:hint="eastAsia" w:ascii="华文楷体" w:hAnsi="华文楷体" w:eastAsia="华文楷体"/>
          <w:sz w:val="24"/>
        </w:rPr>
        <w:t>以及2025年杭州市对新购置新能源重型营运货车给予每辆6万元补助</w:t>
      </w:r>
      <w:r>
        <w:rPr>
          <w:rStyle w:val="24"/>
          <w:rFonts w:hint="eastAsia" w:ascii="华文楷体" w:hAnsi="华文楷体" w:eastAsia="华文楷体"/>
          <w:sz w:val="24"/>
        </w:rPr>
        <w:footnoteReference w:id="11"/>
      </w:r>
      <w:r>
        <w:rPr>
          <w:rFonts w:hint="eastAsia" w:ascii="华文楷体" w:hAnsi="华文楷体" w:eastAsia="华文楷体"/>
          <w:sz w:val="24"/>
        </w:rPr>
        <w:t>，</w:t>
      </w:r>
      <w:r>
        <w:rPr>
          <w:rFonts w:ascii="华文楷体" w:hAnsi="华文楷体" w:eastAsia="华文楷体"/>
          <w:sz w:val="24"/>
        </w:rPr>
        <w:t>提升高速公路新能源货车占比</w:t>
      </w:r>
      <w:r>
        <w:rPr>
          <w:rFonts w:hint="eastAsia" w:ascii="华文楷体" w:hAnsi="华文楷体" w:eastAsia="华文楷体"/>
          <w:sz w:val="24"/>
        </w:rPr>
        <w:t>，推动新能源物流车渗透率提升。嘉兴市实施重载营运货车新能源化补助政策，推动新能源货车在高速公路的通行占比</w:t>
      </w:r>
      <w:r>
        <w:rPr>
          <w:rStyle w:val="24"/>
          <w:rFonts w:hint="eastAsia" w:ascii="华文楷体" w:hAnsi="华文楷体" w:eastAsia="华文楷体"/>
          <w:sz w:val="24"/>
        </w:rPr>
        <w:footnoteReference w:id="12"/>
      </w:r>
      <w:r>
        <w:rPr>
          <w:rFonts w:hint="eastAsia" w:ascii="华文楷体" w:hAnsi="华文楷体" w:eastAsia="华文楷体"/>
          <w:sz w:val="24"/>
        </w:rPr>
        <w:t>。宁波市、金华市依托甬金高速电动集卡运输线路</w:t>
      </w:r>
      <w:r>
        <w:rPr>
          <w:rStyle w:val="24"/>
          <w:rFonts w:hint="eastAsia" w:ascii="华文楷体" w:hAnsi="华文楷体" w:eastAsia="华文楷体"/>
          <w:sz w:val="24"/>
        </w:rPr>
        <w:footnoteReference w:id="13"/>
      </w:r>
      <w:r>
        <w:rPr>
          <w:rFonts w:hint="eastAsia" w:ascii="华文楷体" w:hAnsi="华文楷体" w:eastAsia="华文楷体"/>
          <w:sz w:val="24"/>
        </w:rPr>
        <w:t>，连接宁波舟山港与义乌，形成绿色物流走廊。</w:t>
      </w:r>
    </w:p>
    <w:p w14:paraId="20849AEF">
      <w:pPr>
        <w:jc w:val="center"/>
        <w:rPr>
          <w:rFonts w:hint="eastAsia" w:ascii="华文楷体" w:hAnsi="华文楷体" w:eastAsia="华文楷体"/>
          <w:sz w:val="24"/>
        </w:rPr>
      </w:pPr>
      <w:bookmarkStart w:id="70" w:name="_Hlk218806670"/>
      <w:bookmarkStart w:id="71" w:name="OLE_LINK122"/>
      <w:bookmarkStart w:id="72" w:name="OLE_LINK130"/>
      <w:r>
        <w:rPr>
          <w:rFonts w:hint="eastAsia" w:ascii="华文楷体" w:hAnsi="华文楷体" w:eastAsia="华文楷体"/>
          <w:sz w:val="24"/>
        </w:rPr>
        <w:t>表2-7 2025年区域</w:t>
      </w:r>
      <w:r>
        <w:rPr>
          <w:rFonts w:ascii="华文楷体" w:hAnsi="华文楷体" w:eastAsia="华文楷体"/>
          <w:sz w:val="24"/>
        </w:rPr>
        <w:t>绿色</w:t>
      </w:r>
      <w:r>
        <w:rPr>
          <w:rFonts w:hint="eastAsia" w:ascii="华文楷体" w:hAnsi="华文楷体" w:eastAsia="华文楷体"/>
          <w:sz w:val="24"/>
        </w:rPr>
        <w:t>物流</w:t>
      </w:r>
      <w:r>
        <w:rPr>
          <w:rFonts w:ascii="华文楷体" w:hAnsi="华文楷体" w:eastAsia="华文楷体"/>
          <w:sz w:val="24"/>
        </w:rPr>
        <w:t>指数</w:t>
      </w:r>
    </w:p>
    <w:bookmarkEnd w:id="70"/>
    <w:tbl>
      <w:tblPr>
        <w:tblStyle w:val="48"/>
        <w:tblW w:w="8800"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2"/>
        <w:gridCol w:w="664"/>
        <w:gridCol w:w="664"/>
        <w:gridCol w:w="664"/>
        <w:gridCol w:w="664"/>
        <w:gridCol w:w="664"/>
        <w:gridCol w:w="664"/>
        <w:gridCol w:w="664"/>
        <w:gridCol w:w="664"/>
        <w:gridCol w:w="664"/>
        <w:gridCol w:w="664"/>
        <w:gridCol w:w="664"/>
        <w:gridCol w:w="664"/>
      </w:tblGrid>
      <w:tr w14:paraId="14DF54E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832" w:type="dxa"/>
            <w:tcBorders>
              <w:bottom w:val="single" w:color="7E7E7E" w:themeColor="text1" w:themeTint="80" w:sz="4" w:space="0"/>
              <w:insideH w:val="single" w:sz="4" w:space="0"/>
            </w:tcBorders>
            <w:noWrap/>
          </w:tcPr>
          <w:p w14:paraId="1A38758E">
            <w:pPr>
              <w:widowControl/>
              <w:spacing w:after="0" w:line="240" w:lineRule="auto"/>
              <w:jc w:val="center"/>
              <w:rPr>
                <w:rFonts w:hint="eastAsia" w:ascii="华文楷体" w:hAnsi="华文楷体" w:eastAsia="华文楷体" w:cs="宋体"/>
                <w:b/>
                <w:bCs/>
                <w:color w:val="000000"/>
                <w:kern w:val="0"/>
                <w:sz w:val="16"/>
                <w:szCs w:val="16"/>
                <w14:ligatures w14:val="none"/>
              </w:rPr>
            </w:pPr>
            <w:bookmarkStart w:id="73" w:name="_Hlk222782659"/>
            <w:bookmarkStart w:id="74" w:name="OLE_LINK135"/>
            <w:r>
              <w:rPr>
                <w:rFonts w:hint="eastAsia" w:ascii="华文楷体" w:hAnsi="华文楷体" w:eastAsia="华文楷体" w:cs="宋体"/>
                <w:b/>
                <w:bCs/>
                <w:color w:val="000000"/>
                <w:kern w:val="0"/>
                <w:sz w:val="18"/>
                <w:szCs w:val="18"/>
                <w14:ligatures w14:val="none"/>
              </w:rPr>
              <w:t>城市</w:t>
            </w:r>
          </w:p>
        </w:tc>
        <w:tc>
          <w:tcPr>
            <w:tcW w:w="664" w:type="dxa"/>
            <w:tcBorders>
              <w:bottom w:val="single" w:color="7E7E7E" w:themeColor="text1" w:themeTint="80" w:sz="4" w:space="0"/>
              <w:insideH w:val="single" w:sz="4" w:space="0"/>
            </w:tcBorders>
            <w:noWrap/>
          </w:tcPr>
          <w:p w14:paraId="03027AF1">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1月</w:t>
            </w:r>
          </w:p>
        </w:tc>
        <w:tc>
          <w:tcPr>
            <w:tcW w:w="664" w:type="dxa"/>
            <w:tcBorders>
              <w:bottom w:val="single" w:color="7E7E7E" w:themeColor="text1" w:themeTint="80" w:sz="4" w:space="0"/>
              <w:insideH w:val="single" w:sz="4" w:space="0"/>
            </w:tcBorders>
            <w:noWrap/>
          </w:tcPr>
          <w:p w14:paraId="1133256D">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2月</w:t>
            </w:r>
          </w:p>
        </w:tc>
        <w:tc>
          <w:tcPr>
            <w:tcW w:w="664" w:type="dxa"/>
            <w:tcBorders>
              <w:bottom w:val="single" w:color="7E7E7E" w:themeColor="text1" w:themeTint="80" w:sz="4" w:space="0"/>
              <w:insideH w:val="single" w:sz="4" w:space="0"/>
            </w:tcBorders>
            <w:noWrap/>
          </w:tcPr>
          <w:p w14:paraId="722F9113">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3月</w:t>
            </w:r>
          </w:p>
        </w:tc>
        <w:tc>
          <w:tcPr>
            <w:tcW w:w="664" w:type="dxa"/>
            <w:tcBorders>
              <w:bottom w:val="single" w:color="7E7E7E" w:themeColor="text1" w:themeTint="80" w:sz="4" w:space="0"/>
              <w:insideH w:val="single" w:sz="4" w:space="0"/>
            </w:tcBorders>
            <w:noWrap/>
          </w:tcPr>
          <w:p w14:paraId="25DD8BE0">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4月</w:t>
            </w:r>
          </w:p>
        </w:tc>
        <w:tc>
          <w:tcPr>
            <w:tcW w:w="664" w:type="dxa"/>
            <w:tcBorders>
              <w:bottom w:val="single" w:color="7E7E7E" w:themeColor="text1" w:themeTint="80" w:sz="4" w:space="0"/>
              <w:insideH w:val="single" w:sz="4" w:space="0"/>
            </w:tcBorders>
            <w:noWrap/>
          </w:tcPr>
          <w:p w14:paraId="3F4BE186">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5月</w:t>
            </w:r>
          </w:p>
        </w:tc>
        <w:tc>
          <w:tcPr>
            <w:tcW w:w="664" w:type="dxa"/>
            <w:tcBorders>
              <w:bottom w:val="single" w:color="7E7E7E" w:themeColor="text1" w:themeTint="80" w:sz="4" w:space="0"/>
              <w:insideH w:val="single" w:sz="4" w:space="0"/>
            </w:tcBorders>
            <w:noWrap/>
          </w:tcPr>
          <w:p w14:paraId="5D17A0A7">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6月</w:t>
            </w:r>
          </w:p>
        </w:tc>
        <w:tc>
          <w:tcPr>
            <w:tcW w:w="664" w:type="dxa"/>
            <w:tcBorders>
              <w:bottom w:val="single" w:color="7E7E7E" w:themeColor="text1" w:themeTint="80" w:sz="4" w:space="0"/>
              <w:insideH w:val="single" w:sz="4" w:space="0"/>
            </w:tcBorders>
            <w:noWrap/>
          </w:tcPr>
          <w:p w14:paraId="6E7B11BD">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7月</w:t>
            </w:r>
          </w:p>
        </w:tc>
        <w:tc>
          <w:tcPr>
            <w:tcW w:w="664" w:type="dxa"/>
            <w:tcBorders>
              <w:bottom w:val="single" w:color="7E7E7E" w:themeColor="text1" w:themeTint="80" w:sz="4" w:space="0"/>
              <w:insideH w:val="single" w:sz="4" w:space="0"/>
            </w:tcBorders>
            <w:noWrap/>
          </w:tcPr>
          <w:p w14:paraId="02646F28">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8月</w:t>
            </w:r>
          </w:p>
        </w:tc>
        <w:tc>
          <w:tcPr>
            <w:tcW w:w="664" w:type="dxa"/>
            <w:tcBorders>
              <w:bottom w:val="single" w:color="7E7E7E" w:themeColor="text1" w:themeTint="80" w:sz="4" w:space="0"/>
              <w:insideH w:val="single" w:sz="4" w:space="0"/>
            </w:tcBorders>
            <w:noWrap/>
          </w:tcPr>
          <w:p w14:paraId="62090FCB">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9月</w:t>
            </w:r>
          </w:p>
        </w:tc>
        <w:tc>
          <w:tcPr>
            <w:tcW w:w="664" w:type="dxa"/>
            <w:tcBorders>
              <w:bottom w:val="single" w:color="7E7E7E" w:themeColor="text1" w:themeTint="80" w:sz="4" w:space="0"/>
              <w:insideH w:val="single" w:sz="4" w:space="0"/>
            </w:tcBorders>
            <w:noWrap/>
          </w:tcPr>
          <w:p w14:paraId="10AFDCC8">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10月</w:t>
            </w:r>
          </w:p>
        </w:tc>
        <w:tc>
          <w:tcPr>
            <w:tcW w:w="664" w:type="dxa"/>
            <w:tcBorders>
              <w:bottom w:val="single" w:color="7E7E7E" w:themeColor="text1" w:themeTint="80" w:sz="4" w:space="0"/>
              <w:insideH w:val="single" w:sz="4" w:space="0"/>
            </w:tcBorders>
            <w:noWrap/>
          </w:tcPr>
          <w:p w14:paraId="45B59CB4">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11月</w:t>
            </w:r>
          </w:p>
        </w:tc>
        <w:tc>
          <w:tcPr>
            <w:tcW w:w="664" w:type="dxa"/>
            <w:tcBorders>
              <w:bottom w:val="single" w:color="7E7E7E" w:themeColor="text1" w:themeTint="80" w:sz="4" w:space="0"/>
              <w:insideH w:val="single" w:sz="4" w:space="0"/>
            </w:tcBorders>
            <w:noWrap/>
          </w:tcPr>
          <w:p w14:paraId="63497A22">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12月</w:t>
            </w:r>
          </w:p>
        </w:tc>
      </w:tr>
      <w:bookmarkEnd w:id="73"/>
      <w:tr w14:paraId="395B926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tcBorders>
              <w:top w:val="single" w:color="7E7E7E" w:themeColor="text1" w:themeTint="80" w:sz="4" w:space="0"/>
              <w:bottom w:val="single" w:color="7E7E7E" w:themeColor="text1" w:themeTint="80" w:sz="4" w:space="0"/>
            </w:tcBorders>
            <w:noWrap/>
            <w:vAlign w:val="bottom"/>
          </w:tcPr>
          <w:p w14:paraId="56C8E0A2">
            <w:pPr>
              <w:widowControl/>
              <w:spacing w:after="0" w:line="240" w:lineRule="auto"/>
              <w:jc w:val="center"/>
              <w:rPr>
                <w:rFonts w:hint="eastAsia" w:ascii="华文楷体" w:hAnsi="华文楷体" w:eastAsia="华文楷体" w:cs="宋体"/>
                <w:b/>
                <w:bCs/>
                <w:color w:val="000000"/>
                <w:kern w:val="0"/>
                <w:sz w:val="18"/>
                <w:szCs w:val="18"/>
                <w14:ligatures w14:val="none"/>
              </w:rPr>
            </w:pPr>
            <w:bookmarkStart w:id="75" w:name="_Hlk219802771"/>
            <w:bookmarkStart w:id="76" w:name="OLE_LINK286"/>
            <w:r>
              <w:rPr>
                <w:rFonts w:hint="eastAsia" w:ascii="华文楷体" w:hAnsi="华文楷体" w:eastAsia="华文楷体" w:cs="宋体"/>
                <w:b/>
                <w:bCs/>
                <w:color w:val="000000"/>
                <w:kern w:val="0"/>
                <w:sz w:val="18"/>
                <w:szCs w:val="18"/>
                <w14:ligatures w14:val="none"/>
              </w:rPr>
              <w:t>杭州市</w:t>
            </w:r>
          </w:p>
        </w:tc>
        <w:tc>
          <w:tcPr>
            <w:tcW w:w="664" w:type="dxa"/>
            <w:tcBorders>
              <w:top w:val="single" w:color="7E7E7E" w:themeColor="text1" w:themeTint="80" w:sz="4" w:space="0"/>
              <w:bottom w:val="single" w:color="7E7E7E" w:themeColor="text1" w:themeTint="80" w:sz="4" w:space="0"/>
            </w:tcBorders>
            <w:noWrap/>
            <w:vAlign w:val="center"/>
          </w:tcPr>
          <w:p w14:paraId="735E81F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42.92 </w:t>
            </w:r>
          </w:p>
        </w:tc>
        <w:tc>
          <w:tcPr>
            <w:tcW w:w="664" w:type="dxa"/>
            <w:tcBorders>
              <w:top w:val="single" w:color="7E7E7E" w:themeColor="text1" w:themeTint="80" w:sz="4" w:space="0"/>
              <w:bottom w:val="single" w:color="7E7E7E" w:themeColor="text1" w:themeTint="80" w:sz="4" w:space="0"/>
            </w:tcBorders>
            <w:noWrap/>
            <w:vAlign w:val="center"/>
          </w:tcPr>
          <w:p w14:paraId="0BACB5C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47.47 </w:t>
            </w:r>
          </w:p>
        </w:tc>
        <w:tc>
          <w:tcPr>
            <w:tcW w:w="664" w:type="dxa"/>
            <w:tcBorders>
              <w:top w:val="single" w:color="7E7E7E" w:themeColor="text1" w:themeTint="80" w:sz="4" w:space="0"/>
              <w:bottom w:val="single" w:color="7E7E7E" w:themeColor="text1" w:themeTint="80" w:sz="4" w:space="0"/>
            </w:tcBorders>
            <w:noWrap/>
            <w:vAlign w:val="center"/>
          </w:tcPr>
          <w:p w14:paraId="7BC64D0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51.31 </w:t>
            </w:r>
          </w:p>
        </w:tc>
        <w:tc>
          <w:tcPr>
            <w:tcW w:w="664" w:type="dxa"/>
            <w:tcBorders>
              <w:top w:val="single" w:color="7E7E7E" w:themeColor="text1" w:themeTint="80" w:sz="4" w:space="0"/>
              <w:bottom w:val="single" w:color="7E7E7E" w:themeColor="text1" w:themeTint="80" w:sz="4" w:space="0"/>
            </w:tcBorders>
            <w:noWrap/>
            <w:vAlign w:val="center"/>
          </w:tcPr>
          <w:p w14:paraId="01873A6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56.76 </w:t>
            </w:r>
          </w:p>
        </w:tc>
        <w:tc>
          <w:tcPr>
            <w:tcW w:w="664" w:type="dxa"/>
            <w:tcBorders>
              <w:top w:val="single" w:color="7E7E7E" w:themeColor="text1" w:themeTint="80" w:sz="4" w:space="0"/>
              <w:bottom w:val="single" w:color="7E7E7E" w:themeColor="text1" w:themeTint="80" w:sz="4" w:space="0"/>
            </w:tcBorders>
            <w:noWrap/>
            <w:vAlign w:val="center"/>
          </w:tcPr>
          <w:p w14:paraId="3BD74D8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62.94 </w:t>
            </w:r>
          </w:p>
        </w:tc>
        <w:tc>
          <w:tcPr>
            <w:tcW w:w="664" w:type="dxa"/>
            <w:tcBorders>
              <w:top w:val="single" w:color="7E7E7E" w:themeColor="text1" w:themeTint="80" w:sz="4" w:space="0"/>
              <w:bottom w:val="single" w:color="7E7E7E" w:themeColor="text1" w:themeTint="80" w:sz="4" w:space="0"/>
            </w:tcBorders>
            <w:noWrap/>
            <w:vAlign w:val="center"/>
          </w:tcPr>
          <w:p w14:paraId="4DC5963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69.76 </w:t>
            </w:r>
          </w:p>
        </w:tc>
        <w:tc>
          <w:tcPr>
            <w:tcW w:w="664" w:type="dxa"/>
            <w:tcBorders>
              <w:top w:val="single" w:color="7E7E7E" w:themeColor="text1" w:themeTint="80" w:sz="4" w:space="0"/>
              <w:bottom w:val="single" w:color="7E7E7E" w:themeColor="text1" w:themeTint="80" w:sz="4" w:space="0"/>
            </w:tcBorders>
            <w:noWrap/>
            <w:vAlign w:val="center"/>
          </w:tcPr>
          <w:p w14:paraId="3020E2C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75.35 </w:t>
            </w:r>
          </w:p>
        </w:tc>
        <w:tc>
          <w:tcPr>
            <w:tcW w:w="664" w:type="dxa"/>
            <w:tcBorders>
              <w:top w:val="single" w:color="7E7E7E" w:themeColor="text1" w:themeTint="80" w:sz="4" w:space="0"/>
              <w:bottom w:val="single" w:color="7E7E7E" w:themeColor="text1" w:themeTint="80" w:sz="4" w:space="0"/>
            </w:tcBorders>
            <w:noWrap/>
            <w:vAlign w:val="center"/>
          </w:tcPr>
          <w:p w14:paraId="78A8862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79.35 </w:t>
            </w:r>
          </w:p>
        </w:tc>
        <w:tc>
          <w:tcPr>
            <w:tcW w:w="664" w:type="dxa"/>
            <w:tcBorders>
              <w:top w:val="single" w:color="7E7E7E" w:themeColor="text1" w:themeTint="80" w:sz="4" w:space="0"/>
              <w:bottom w:val="single" w:color="7E7E7E" w:themeColor="text1" w:themeTint="80" w:sz="4" w:space="0"/>
            </w:tcBorders>
            <w:noWrap/>
            <w:vAlign w:val="center"/>
          </w:tcPr>
          <w:p w14:paraId="742F067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87.79 </w:t>
            </w:r>
          </w:p>
        </w:tc>
        <w:tc>
          <w:tcPr>
            <w:tcW w:w="664" w:type="dxa"/>
            <w:tcBorders>
              <w:top w:val="single" w:color="7E7E7E" w:themeColor="text1" w:themeTint="80" w:sz="4" w:space="0"/>
              <w:bottom w:val="single" w:color="7E7E7E" w:themeColor="text1" w:themeTint="80" w:sz="4" w:space="0"/>
            </w:tcBorders>
            <w:noWrap/>
            <w:vAlign w:val="center"/>
          </w:tcPr>
          <w:p w14:paraId="4B17F8F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93.11 </w:t>
            </w:r>
          </w:p>
        </w:tc>
        <w:tc>
          <w:tcPr>
            <w:tcW w:w="664" w:type="dxa"/>
            <w:tcBorders>
              <w:top w:val="single" w:color="7E7E7E" w:themeColor="text1" w:themeTint="80" w:sz="4" w:space="0"/>
              <w:bottom w:val="single" w:color="7E7E7E" w:themeColor="text1" w:themeTint="80" w:sz="4" w:space="0"/>
            </w:tcBorders>
            <w:noWrap/>
            <w:vAlign w:val="center"/>
          </w:tcPr>
          <w:p w14:paraId="71B61D2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100</w:t>
            </w:r>
          </w:p>
        </w:tc>
        <w:tc>
          <w:tcPr>
            <w:tcW w:w="664" w:type="dxa"/>
            <w:tcBorders>
              <w:top w:val="single" w:color="7E7E7E" w:themeColor="text1" w:themeTint="80" w:sz="4" w:space="0"/>
              <w:bottom w:val="single" w:color="7E7E7E" w:themeColor="text1" w:themeTint="80" w:sz="4" w:space="0"/>
            </w:tcBorders>
            <w:noWrap/>
            <w:vAlign w:val="center"/>
          </w:tcPr>
          <w:p w14:paraId="728A293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99.93 </w:t>
            </w:r>
          </w:p>
        </w:tc>
      </w:tr>
      <w:bookmarkEnd w:id="75"/>
      <w:tr w14:paraId="479B3D9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noWrap/>
            <w:vAlign w:val="bottom"/>
          </w:tcPr>
          <w:p w14:paraId="090D0DA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湖州市</w:t>
            </w:r>
          </w:p>
        </w:tc>
        <w:tc>
          <w:tcPr>
            <w:tcW w:w="664" w:type="dxa"/>
            <w:noWrap/>
            <w:vAlign w:val="center"/>
          </w:tcPr>
          <w:p w14:paraId="54D29AE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15.82 </w:t>
            </w:r>
          </w:p>
        </w:tc>
        <w:tc>
          <w:tcPr>
            <w:tcW w:w="664" w:type="dxa"/>
            <w:noWrap/>
            <w:vAlign w:val="center"/>
          </w:tcPr>
          <w:p w14:paraId="2E8CC5AA">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15.95 </w:t>
            </w:r>
          </w:p>
        </w:tc>
        <w:tc>
          <w:tcPr>
            <w:tcW w:w="664" w:type="dxa"/>
            <w:noWrap/>
            <w:vAlign w:val="center"/>
          </w:tcPr>
          <w:p w14:paraId="6987E45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18.86 </w:t>
            </w:r>
          </w:p>
        </w:tc>
        <w:tc>
          <w:tcPr>
            <w:tcW w:w="664" w:type="dxa"/>
            <w:noWrap/>
            <w:vAlign w:val="center"/>
          </w:tcPr>
          <w:p w14:paraId="1D50F3A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25.91 </w:t>
            </w:r>
          </w:p>
        </w:tc>
        <w:tc>
          <w:tcPr>
            <w:tcW w:w="664" w:type="dxa"/>
            <w:noWrap/>
            <w:vAlign w:val="center"/>
          </w:tcPr>
          <w:p w14:paraId="459FC05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29.23 </w:t>
            </w:r>
          </w:p>
        </w:tc>
        <w:tc>
          <w:tcPr>
            <w:tcW w:w="664" w:type="dxa"/>
            <w:noWrap/>
            <w:vAlign w:val="center"/>
          </w:tcPr>
          <w:p w14:paraId="1CA249FC">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36.55 </w:t>
            </w:r>
          </w:p>
        </w:tc>
        <w:tc>
          <w:tcPr>
            <w:tcW w:w="664" w:type="dxa"/>
            <w:noWrap/>
            <w:vAlign w:val="center"/>
          </w:tcPr>
          <w:p w14:paraId="18FCF88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44.98 </w:t>
            </w:r>
          </w:p>
        </w:tc>
        <w:tc>
          <w:tcPr>
            <w:tcW w:w="664" w:type="dxa"/>
            <w:noWrap/>
            <w:vAlign w:val="center"/>
          </w:tcPr>
          <w:p w14:paraId="3BD629EE">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48.12 </w:t>
            </w:r>
          </w:p>
        </w:tc>
        <w:tc>
          <w:tcPr>
            <w:tcW w:w="664" w:type="dxa"/>
            <w:noWrap/>
            <w:vAlign w:val="center"/>
          </w:tcPr>
          <w:p w14:paraId="22136ABA">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51.13 </w:t>
            </w:r>
          </w:p>
        </w:tc>
        <w:tc>
          <w:tcPr>
            <w:tcW w:w="664" w:type="dxa"/>
            <w:noWrap/>
            <w:vAlign w:val="center"/>
          </w:tcPr>
          <w:p w14:paraId="5DF21E3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51.89 </w:t>
            </w:r>
          </w:p>
        </w:tc>
        <w:tc>
          <w:tcPr>
            <w:tcW w:w="664" w:type="dxa"/>
            <w:noWrap/>
            <w:vAlign w:val="center"/>
          </w:tcPr>
          <w:p w14:paraId="2C7CEF4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57.56 </w:t>
            </w:r>
          </w:p>
        </w:tc>
        <w:tc>
          <w:tcPr>
            <w:tcW w:w="664" w:type="dxa"/>
            <w:noWrap/>
            <w:vAlign w:val="center"/>
          </w:tcPr>
          <w:p w14:paraId="4FF365F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58.46 </w:t>
            </w:r>
          </w:p>
        </w:tc>
      </w:tr>
      <w:tr w14:paraId="47124A5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tcBorders>
              <w:top w:val="single" w:color="7E7E7E" w:themeColor="text1" w:themeTint="80" w:sz="4" w:space="0"/>
              <w:bottom w:val="single" w:color="7E7E7E" w:themeColor="text1" w:themeTint="80" w:sz="4" w:space="0"/>
            </w:tcBorders>
            <w:noWrap/>
            <w:vAlign w:val="bottom"/>
          </w:tcPr>
          <w:p w14:paraId="2995F48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w:t>
            </w:r>
          </w:p>
        </w:tc>
        <w:tc>
          <w:tcPr>
            <w:tcW w:w="664" w:type="dxa"/>
            <w:tcBorders>
              <w:top w:val="single" w:color="7E7E7E" w:themeColor="text1" w:themeTint="80" w:sz="4" w:space="0"/>
              <w:bottom w:val="single" w:color="7E7E7E" w:themeColor="text1" w:themeTint="80" w:sz="4" w:space="0"/>
            </w:tcBorders>
            <w:noWrap/>
            <w:vAlign w:val="center"/>
          </w:tcPr>
          <w:p w14:paraId="78D223B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36.22 </w:t>
            </w:r>
          </w:p>
        </w:tc>
        <w:tc>
          <w:tcPr>
            <w:tcW w:w="664" w:type="dxa"/>
            <w:tcBorders>
              <w:top w:val="single" w:color="7E7E7E" w:themeColor="text1" w:themeTint="80" w:sz="4" w:space="0"/>
              <w:bottom w:val="single" w:color="7E7E7E" w:themeColor="text1" w:themeTint="80" w:sz="4" w:space="0"/>
            </w:tcBorders>
            <w:noWrap/>
            <w:vAlign w:val="center"/>
          </w:tcPr>
          <w:p w14:paraId="30B0694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39.88 </w:t>
            </w:r>
          </w:p>
        </w:tc>
        <w:tc>
          <w:tcPr>
            <w:tcW w:w="664" w:type="dxa"/>
            <w:tcBorders>
              <w:top w:val="single" w:color="7E7E7E" w:themeColor="text1" w:themeTint="80" w:sz="4" w:space="0"/>
              <w:bottom w:val="single" w:color="7E7E7E" w:themeColor="text1" w:themeTint="80" w:sz="4" w:space="0"/>
            </w:tcBorders>
            <w:noWrap/>
            <w:vAlign w:val="center"/>
          </w:tcPr>
          <w:p w14:paraId="7AC3041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45.67 </w:t>
            </w:r>
          </w:p>
        </w:tc>
        <w:tc>
          <w:tcPr>
            <w:tcW w:w="664" w:type="dxa"/>
            <w:tcBorders>
              <w:top w:val="single" w:color="7E7E7E" w:themeColor="text1" w:themeTint="80" w:sz="4" w:space="0"/>
              <w:bottom w:val="single" w:color="7E7E7E" w:themeColor="text1" w:themeTint="80" w:sz="4" w:space="0"/>
            </w:tcBorders>
            <w:noWrap/>
            <w:vAlign w:val="center"/>
          </w:tcPr>
          <w:p w14:paraId="2680842E">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52.16 </w:t>
            </w:r>
          </w:p>
        </w:tc>
        <w:tc>
          <w:tcPr>
            <w:tcW w:w="664" w:type="dxa"/>
            <w:tcBorders>
              <w:top w:val="single" w:color="7E7E7E" w:themeColor="text1" w:themeTint="80" w:sz="4" w:space="0"/>
              <w:bottom w:val="single" w:color="7E7E7E" w:themeColor="text1" w:themeTint="80" w:sz="4" w:space="0"/>
            </w:tcBorders>
            <w:noWrap/>
            <w:vAlign w:val="center"/>
          </w:tcPr>
          <w:p w14:paraId="2B5B979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55.52 </w:t>
            </w:r>
          </w:p>
        </w:tc>
        <w:tc>
          <w:tcPr>
            <w:tcW w:w="664" w:type="dxa"/>
            <w:tcBorders>
              <w:top w:val="single" w:color="7E7E7E" w:themeColor="text1" w:themeTint="80" w:sz="4" w:space="0"/>
              <w:bottom w:val="single" w:color="7E7E7E" w:themeColor="text1" w:themeTint="80" w:sz="4" w:space="0"/>
            </w:tcBorders>
            <w:noWrap/>
            <w:vAlign w:val="center"/>
          </w:tcPr>
          <w:p w14:paraId="73D2CB7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62.91 </w:t>
            </w:r>
          </w:p>
        </w:tc>
        <w:tc>
          <w:tcPr>
            <w:tcW w:w="664" w:type="dxa"/>
            <w:tcBorders>
              <w:top w:val="single" w:color="7E7E7E" w:themeColor="text1" w:themeTint="80" w:sz="4" w:space="0"/>
              <w:bottom w:val="single" w:color="7E7E7E" w:themeColor="text1" w:themeTint="80" w:sz="4" w:space="0"/>
            </w:tcBorders>
            <w:noWrap/>
            <w:vAlign w:val="center"/>
          </w:tcPr>
          <w:p w14:paraId="78D3EDF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73.50 </w:t>
            </w:r>
          </w:p>
        </w:tc>
        <w:tc>
          <w:tcPr>
            <w:tcW w:w="664" w:type="dxa"/>
            <w:tcBorders>
              <w:top w:val="single" w:color="7E7E7E" w:themeColor="text1" w:themeTint="80" w:sz="4" w:space="0"/>
              <w:bottom w:val="single" w:color="7E7E7E" w:themeColor="text1" w:themeTint="80" w:sz="4" w:space="0"/>
            </w:tcBorders>
            <w:noWrap/>
            <w:vAlign w:val="center"/>
          </w:tcPr>
          <w:p w14:paraId="755C176E">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76.91 </w:t>
            </w:r>
          </w:p>
        </w:tc>
        <w:tc>
          <w:tcPr>
            <w:tcW w:w="664" w:type="dxa"/>
            <w:tcBorders>
              <w:top w:val="single" w:color="7E7E7E" w:themeColor="text1" w:themeTint="80" w:sz="4" w:space="0"/>
              <w:bottom w:val="single" w:color="7E7E7E" w:themeColor="text1" w:themeTint="80" w:sz="4" w:space="0"/>
            </w:tcBorders>
            <w:noWrap/>
            <w:vAlign w:val="center"/>
          </w:tcPr>
          <w:p w14:paraId="68FBD1E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84.50 </w:t>
            </w:r>
          </w:p>
        </w:tc>
        <w:tc>
          <w:tcPr>
            <w:tcW w:w="664" w:type="dxa"/>
            <w:tcBorders>
              <w:top w:val="single" w:color="7E7E7E" w:themeColor="text1" w:themeTint="80" w:sz="4" w:space="0"/>
              <w:bottom w:val="single" w:color="7E7E7E" w:themeColor="text1" w:themeTint="80" w:sz="4" w:space="0"/>
            </w:tcBorders>
            <w:noWrap/>
            <w:vAlign w:val="center"/>
          </w:tcPr>
          <w:p w14:paraId="1FB1010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85.77 </w:t>
            </w:r>
          </w:p>
        </w:tc>
        <w:tc>
          <w:tcPr>
            <w:tcW w:w="664" w:type="dxa"/>
            <w:tcBorders>
              <w:top w:val="single" w:color="7E7E7E" w:themeColor="text1" w:themeTint="80" w:sz="4" w:space="0"/>
              <w:bottom w:val="single" w:color="7E7E7E" w:themeColor="text1" w:themeTint="80" w:sz="4" w:space="0"/>
            </w:tcBorders>
            <w:noWrap/>
            <w:vAlign w:val="center"/>
          </w:tcPr>
          <w:p w14:paraId="64826A5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90.60 </w:t>
            </w:r>
          </w:p>
        </w:tc>
        <w:tc>
          <w:tcPr>
            <w:tcW w:w="664" w:type="dxa"/>
            <w:tcBorders>
              <w:top w:val="single" w:color="7E7E7E" w:themeColor="text1" w:themeTint="80" w:sz="4" w:space="0"/>
              <w:bottom w:val="single" w:color="7E7E7E" w:themeColor="text1" w:themeTint="80" w:sz="4" w:space="0"/>
            </w:tcBorders>
            <w:noWrap/>
            <w:vAlign w:val="center"/>
          </w:tcPr>
          <w:p w14:paraId="7A37BB1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89.84 </w:t>
            </w:r>
          </w:p>
        </w:tc>
      </w:tr>
      <w:tr w14:paraId="7D6ABC7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noWrap/>
            <w:vAlign w:val="bottom"/>
          </w:tcPr>
          <w:p w14:paraId="23BB8AF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金华市</w:t>
            </w:r>
          </w:p>
        </w:tc>
        <w:tc>
          <w:tcPr>
            <w:tcW w:w="664" w:type="dxa"/>
            <w:noWrap/>
            <w:vAlign w:val="center"/>
          </w:tcPr>
          <w:p w14:paraId="6CCEA32E">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24.21 </w:t>
            </w:r>
          </w:p>
        </w:tc>
        <w:tc>
          <w:tcPr>
            <w:tcW w:w="664" w:type="dxa"/>
            <w:noWrap/>
            <w:vAlign w:val="center"/>
          </w:tcPr>
          <w:p w14:paraId="4E57152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32.15 </w:t>
            </w:r>
          </w:p>
        </w:tc>
        <w:tc>
          <w:tcPr>
            <w:tcW w:w="664" w:type="dxa"/>
            <w:noWrap/>
            <w:vAlign w:val="center"/>
          </w:tcPr>
          <w:p w14:paraId="7DD3FD6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31.21 </w:t>
            </w:r>
          </w:p>
        </w:tc>
        <w:tc>
          <w:tcPr>
            <w:tcW w:w="664" w:type="dxa"/>
            <w:noWrap/>
            <w:vAlign w:val="center"/>
          </w:tcPr>
          <w:p w14:paraId="48ACDF5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36.99 </w:t>
            </w:r>
          </w:p>
        </w:tc>
        <w:tc>
          <w:tcPr>
            <w:tcW w:w="664" w:type="dxa"/>
            <w:noWrap/>
            <w:vAlign w:val="center"/>
          </w:tcPr>
          <w:p w14:paraId="2AFFCED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43.82 </w:t>
            </w:r>
          </w:p>
        </w:tc>
        <w:tc>
          <w:tcPr>
            <w:tcW w:w="664" w:type="dxa"/>
            <w:noWrap/>
            <w:vAlign w:val="center"/>
          </w:tcPr>
          <w:p w14:paraId="32ADD7B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50.47 </w:t>
            </w:r>
          </w:p>
        </w:tc>
        <w:tc>
          <w:tcPr>
            <w:tcW w:w="664" w:type="dxa"/>
            <w:noWrap/>
            <w:vAlign w:val="center"/>
          </w:tcPr>
          <w:p w14:paraId="5239F66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54.54 </w:t>
            </w:r>
          </w:p>
        </w:tc>
        <w:tc>
          <w:tcPr>
            <w:tcW w:w="664" w:type="dxa"/>
            <w:noWrap/>
            <w:vAlign w:val="center"/>
          </w:tcPr>
          <w:p w14:paraId="14AF971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59.28 </w:t>
            </w:r>
          </w:p>
        </w:tc>
        <w:tc>
          <w:tcPr>
            <w:tcW w:w="664" w:type="dxa"/>
            <w:noWrap/>
            <w:vAlign w:val="center"/>
          </w:tcPr>
          <w:p w14:paraId="2F44A2A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64.23 </w:t>
            </w:r>
          </w:p>
        </w:tc>
        <w:tc>
          <w:tcPr>
            <w:tcW w:w="664" w:type="dxa"/>
            <w:noWrap/>
            <w:vAlign w:val="center"/>
          </w:tcPr>
          <w:p w14:paraId="7721A5B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65.88 </w:t>
            </w:r>
          </w:p>
        </w:tc>
        <w:tc>
          <w:tcPr>
            <w:tcW w:w="664" w:type="dxa"/>
            <w:noWrap/>
            <w:vAlign w:val="center"/>
          </w:tcPr>
          <w:p w14:paraId="60DEE8F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69.05 </w:t>
            </w:r>
          </w:p>
        </w:tc>
        <w:tc>
          <w:tcPr>
            <w:tcW w:w="664" w:type="dxa"/>
            <w:noWrap/>
            <w:vAlign w:val="center"/>
          </w:tcPr>
          <w:p w14:paraId="629B5DC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69.15 </w:t>
            </w:r>
          </w:p>
        </w:tc>
      </w:tr>
      <w:tr w14:paraId="4410B5F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tcBorders>
              <w:top w:val="single" w:color="7E7E7E" w:themeColor="text1" w:themeTint="80" w:sz="4" w:space="0"/>
              <w:bottom w:val="single" w:color="7E7E7E" w:themeColor="text1" w:themeTint="80" w:sz="4" w:space="0"/>
            </w:tcBorders>
            <w:noWrap/>
            <w:vAlign w:val="bottom"/>
          </w:tcPr>
          <w:p w14:paraId="02CE160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w:t>
            </w:r>
          </w:p>
        </w:tc>
        <w:tc>
          <w:tcPr>
            <w:tcW w:w="664" w:type="dxa"/>
            <w:tcBorders>
              <w:top w:val="single" w:color="7E7E7E" w:themeColor="text1" w:themeTint="80" w:sz="4" w:space="0"/>
              <w:bottom w:val="single" w:color="7E7E7E" w:themeColor="text1" w:themeTint="80" w:sz="4" w:space="0"/>
            </w:tcBorders>
            <w:noWrap/>
            <w:vAlign w:val="center"/>
          </w:tcPr>
          <w:p w14:paraId="372ECAF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18.80 </w:t>
            </w:r>
          </w:p>
        </w:tc>
        <w:tc>
          <w:tcPr>
            <w:tcW w:w="664" w:type="dxa"/>
            <w:tcBorders>
              <w:top w:val="single" w:color="7E7E7E" w:themeColor="text1" w:themeTint="80" w:sz="4" w:space="0"/>
              <w:bottom w:val="single" w:color="7E7E7E" w:themeColor="text1" w:themeTint="80" w:sz="4" w:space="0"/>
            </w:tcBorders>
            <w:noWrap/>
            <w:vAlign w:val="center"/>
          </w:tcPr>
          <w:p w14:paraId="192CBB0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19.73 </w:t>
            </w:r>
          </w:p>
        </w:tc>
        <w:tc>
          <w:tcPr>
            <w:tcW w:w="664" w:type="dxa"/>
            <w:tcBorders>
              <w:top w:val="single" w:color="7E7E7E" w:themeColor="text1" w:themeTint="80" w:sz="4" w:space="0"/>
              <w:bottom w:val="single" w:color="7E7E7E" w:themeColor="text1" w:themeTint="80" w:sz="4" w:space="0"/>
            </w:tcBorders>
            <w:noWrap/>
            <w:vAlign w:val="center"/>
          </w:tcPr>
          <w:p w14:paraId="640FB17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21.40 </w:t>
            </w:r>
          </w:p>
        </w:tc>
        <w:tc>
          <w:tcPr>
            <w:tcW w:w="664" w:type="dxa"/>
            <w:tcBorders>
              <w:top w:val="single" w:color="7E7E7E" w:themeColor="text1" w:themeTint="80" w:sz="4" w:space="0"/>
              <w:bottom w:val="single" w:color="7E7E7E" w:themeColor="text1" w:themeTint="80" w:sz="4" w:space="0"/>
            </w:tcBorders>
            <w:noWrap/>
            <w:vAlign w:val="center"/>
          </w:tcPr>
          <w:p w14:paraId="4919003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29.99 </w:t>
            </w:r>
          </w:p>
        </w:tc>
        <w:tc>
          <w:tcPr>
            <w:tcW w:w="664" w:type="dxa"/>
            <w:tcBorders>
              <w:top w:val="single" w:color="7E7E7E" w:themeColor="text1" w:themeTint="80" w:sz="4" w:space="0"/>
              <w:bottom w:val="single" w:color="7E7E7E" w:themeColor="text1" w:themeTint="80" w:sz="4" w:space="0"/>
            </w:tcBorders>
            <w:noWrap/>
            <w:vAlign w:val="center"/>
          </w:tcPr>
          <w:p w14:paraId="5F2A4F3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41.67 </w:t>
            </w:r>
          </w:p>
        </w:tc>
        <w:tc>
          <w:tcPr>
            <w:tcW w:w="664" w:type="dxa"/>
            <w:tcBorders>
              <w:top w:val="single" w:color="7E7E7E" w:themeColor="text1" w:themeTint="80" w:sz="4" w:space="0"/>
              <w:bottom w:val="single" w:color="7E7E7E" w:themeColor="text1" w:themeTint="80" w:sz="4" w:space="0"/>
            </w:tcBorders>
            <w:noWrap/>
            <w:vAlign w:val="center"/>
          </w:tcPr>
          <w:p w14:paraId="752CE56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48.08 </w:t>
            </w:r>
          </w:p>
        </w:tc>
        <w:tc>
          <w:tcPr>
            <w:tcW w:w="664" w:type="dxa"/>
            <w:tcBorders>
              <w:top w:val="single" w:color="7E7E7E" w:themeColor="text1" w:themeTint="80" w:sz="4" w:space="0"/>
              <w:bottom w:val="single" w:color="7E7E7E" w:themeColor="text1" w:themeTint="80" w:sz="4" w:space="0"/>
            </w:tcBorders>
            <w:noWrap/>
            <w:vAlign w:val="center"/>
          </w:tcPr>
          <w:p w14:paraId="5668F7F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53.45 </w:t>
            </w:r>
          </w:p>
        </w:tc>
        <w:tc>
          <w:tcPr>
            <w:tcW w:w="664" w:type="dxa"/>
            <w:tcBorders>
              <w:top w:val="single" w:color="7E7E7E" w:themeColor="text1" w:themeTint="80" w:sz="4" w:space="0"/>
              <w:bottom w:val="single" w:color="7E7E7E" w:themeColor="text1" w:themeTint="80" w:sz="4" w:space="0"/>
            </w:tcBorders>
            <w:noWrap/>
            <w:vAlign w:val="center"/>
          </w:tcPr>
          <w:p w14:paraId="13FD488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61.09 </w:t>
            </w:r>
          </w:p>
        </w:tc>
        <w:tc>
          <w:tcPr>
            <w:tcW w:w="664" w:type="dxa"/>
            <w:tcBorders>
              <w:top w:val="single" w:color="7E7E7E" w:themeColor="text1" w:themeTint="80" w:sz="4" w:space="0"/>
              <w:bottom w:val="single" w:color="7E7E7E" w:themeColor="text1" w:themeTint="80" w:sz="4" w:space="0"/>
            </w:tcBorders>
            <w:noWrap/>
            <w:vAlign w:val="center"/>
          </w:tcPr>
          <w:p w14:paraId="76D4F4D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66.67 </w:t>
            </w:r>
          </w:p>
        </w:tc>
        <w:tc>
          <w:tcPr>
            <w:tcW w:w="664" w:type="dxa"/>
            <w:tcBorders>
              <w:top w:val="single" w:color="7E7E7E" w:themeColor="text1" w:themeTint="80" w:sz="4" w:space="0"/>
              <w:bottom w:val="single" w:color="7E7E7E" w:themeColor="text1" w:themeTint="80" w:sz="4" w:space="0"/>
            </w:tcBorders>
            <w:noWrap/>
            <w:vAlign w:val="center"/>
          </w:tcPr>
          <w:p w14:paraId="62C15E4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65.61 </w:t>
            </w:r>
          </w:p>
        </w:tc>
        <w:tc>
          <w:tcPr>
            <w:tcW w:w="664" w:type="dxa"/>
            <w:tcBorders>
              <w:top w:val="single" w:color="7E7E7E" w:themeColor="text1" w:themeTint="80" w:sz="4" w:space="0"/>
              <w:bottom w:val="single" w:color="7E7E7E" w:themeColor="text1" w:themeTint="80" w:sz="4" w:space="0"/>
            </w:tcBorders>
            <w:noWrap/>
            <w:vAlign w:val="center"/>
          </w:tcPr>
          <w:p w14:paraId="2F4AADF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73.40 </w:t>
            </w:r>
          </w:p>
        </w:tc>
        <w:tc>
          <w:tcPr>
            <w:tcW w:w="664" w:type="dxa"/>
            <w:tcBorders>
              <w:top w:val="single" w:color="7E7E7E" w:themeColor="text1" w:themeTint="80" w:sz="4" w:space="0"/>
              <w:bottom w:val="single" w:color="7E7E7E" w:themeColor="text1" w:themeTint="80" w:sz="4" w:space="0"/>
            </w:tcBorders>
            <w:noWrap/>
            <w:vAlign w:val="center"/>
          </w:tcPr>
          <w:p w14:paraId="5F00FDA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78.80 </w:t>
            </w:r>
          </w:p>
        </w:tc>
      </w:tr>
      <w:tr w14:paraId="3D347D6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noWrap/>
            <w:vAlign w:val="bottom"/>
          </w:tcPr>
          <w:p w14:paraId="502239B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宁波市</w:t>
            </w:r>
          </w:p>
        </w:tc>
        <w:tc>
          <w:tcPr>
            <w:tcW w:w="664" w:type="dxa"/>
            <w:noWrap/>
            <w:vAlign w:val="center"/>
          </w:tcPr>
          <w:p w14:paraId="4C0E2CE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19.76 </w:t>
            </w:r>
          </w:p>
        </w:tc>
        <w:tc>
          <w:tcPr>
            <w:tcW w:w="664" w:type="dxa"/>
            <w:noWrap/>
            <w:vAlign w:val="center"/>
          </w:tcPr>
          <w:p w14:paraId="56DC7B1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27.32 </w:t>
            </w:r>
          </w:p>
        </w:tc>
        <w:tc>
          <w:tcPr>
            <w:tcW w:w="664" w:type="dxa"/>
            <w:noWrap/>
            <w:vAlign w:val="center"/>
          </w:tcPr>
          <w:p w14:paraId="636A386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29.44 </w:t>
            </w:r>
          </w:p>
        </w:tc>
        <w:tc>
          <w:tcPr>
            <w:tcW w:w="664" w:type="dxa"/>
            <w:noWrap/>
            <w:vAlign w:val="center"/>
          </w:tcPr>
          <w:p w14:paraId="7D01CF1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33.96 </w:t>
            </w:r>
          </w:p>
        </w:tc>
        <w:tc>
          <w:tcPr>
            <w:tcW w:w="664" w:type="dxa"/>
            <w:noWrap/>
            <w:vAlign w:val="center"/>
          </w:tcPr>
          <w:p w14:paraId="49723D6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38.26 </w:t>
            </w:r>
          </w:p>
        </w:tc>
        <w:tc>
          <w:tcPr>
            <w:tcW w:w="664" w:type="dxa"/>
            <w:noWrap/>
            <w:vAlign w:val="center"/>
          </w:tcPr>
          <w:p w14:paraId="3EAAA47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43.99 </w:t>
            </w:r>
          </w:p>
        </w:tc>
        <w:tc>
          <w:tcPr>
            <w:tcW w:w="664" w:type="dxa"/>
            <w:noWrap/>
            <w:vAlign w:val="center"/>
          </w:tcPr>
          <w:p w14:paraId="3374090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49.05 </w:t>
            </w:r>
          </w:p>
        </w:tc>
        <w:tc>
          <w:tcPr>
            <w:tcW w:w="664" w:type="dxa"/>
            <w:noWrap/>
            <w:vAlign w:val="center"/>
          </w:tcPr>
          <w:p w14:paraId="058A1F7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50.41 </w:t>
            </w:r>
          </w:p>
        </w:tc>
        <w:tc>
          <w:tcPr>
            <w:tcW w:w="664" w:type="dxa"/>
            <w:noWrap/>
            <w:vAlign w:val="center"/>
          </w:tcPr>
          <w:p w14:paraId="1EE4EEB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57.70 </w:t>
            </w:r>
          </w:p>
        </w:tc>
        <w:tc>
          <w:tcPr>
            <w:tcW w:w="664" w:type="dxa"/>
            <w:noWrap/>
            <w:vAlign w:val="center"/>
          </w:tcPr>
          <w:p w14:paraId="4FA7CDC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62.44 </w:t>
            </w:r>
          </w:p>
        </w:tc>
        <w:tc>
          <w:tcPr>
            <w:tcW w:w="664" w:type="dxa"/>
            <w:noWrap/>
            <w:vAlign w:val="center"/>
          </w:tcPr>
          <w:p w14:paraId="738F4F6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63.07 </w:t>
            </w:r>
          </w:p>
        </w:tc>
        <w:tc>
          <w:tcPr>
            <w:tcW w:w="664" w:type="dxa"/>
            <w:noWrap/>
            <w:vAlign w:val="center"/>
          </w:tcPr>
          <w:p w14:paraId="5BE6B82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63.18 </w:t>
            </w:r>
          </w:p>
        </w:tc>
      </w:tr>
      <w:tr w14:paraId="36595E3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tcBorders>
              <w:top w:val="single" w:color="7E7E7E" w:themeColor="text1" w:themeTint="80" w:sz="4" w:space="0"/>
              <w:bottom w:val="single" w:color="7E7E7E" w:themeColor="text1" w:themeTint="80" w:sz="4" w:space="0"/>
            </w:tcBorders>
            <w:noWrap/>
            <w:vAlign w:val="bottom"/>
          </w:tcPr>
          <w:p w14:paraId="21BA9C5A">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衢州市</w:t>
            </w:r>
          </w:p>
        </w:tc>
        <w:tc>
          <w:tcPr>
            <w:tcW w:w="664" w:type="dxa"/>
            <w:tcBorders>
              <w:top w:val="single" w:color="7E7E7E" w:themeColor="text1" w:themeTint="80" w:sz="4" w:space="0"/>
              <w:bottom w:val="single" w:color="7E7E7E" w:themeColor="text1" w:themeTint="80" w:sz="4" w:space="0"/>
            </w:tcBorders>
            <w:noWrap/>
            <w:vAlign w:val="center"/>
          </w:tcPr>
          <w:p w14:paraId="0F0CDF5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0.00 </w:t>
            </w:r>
          </w:p>
        </w:tc>
        <w:tc>
          <w:tcPr>
            <w:tcW w:w="664" w:type="dxa"/>
            <w:tcBorders>
              <w:top w:val="single" w:color="7E7E7E" w:themeColor="text1" w:themeTint="80" w:sz="4" w:space="0"/>
              <w:bottom w:val="single" w:color="7E7E7E" w:themeColor="text1" w:themeTint="80" w:sz="4" w:space="0"/>
            </w:tcBorders>
            <w:noWrap/>
            <w:vAlign w:val="center"/>
          </w:tcPr>
          <w:p w14:paraId="7BE0103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0.09 </w:t>
            </w:r>
          </w:p>
        </w:tc>
        <w:tc>
          <w:tcPr>
            <w:tcW w:w="664" w:type="dxa"/>
            <w:tcBorders>
              <w:top w:val="single" w:color="7E7E7E" w:themeColor="text1" w:themeTint="80" w:sz="4" w:space="0"/>
              <w:bottom w:val="single" w:color="7E7E7E" w:themeColor="text1" w:themeTint="80" w:sz="4" w:space="0"/>
            </w:tcBorders>
            <w:noWrap/>
            <w:vAlign w:val="center"/>
          </w:tcPr>
          <w:p w14:paraId="5DDB46D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5.26 </w:t>
            </w:r>
          </w:p>
        </w:tc>
        <w:tc>
          <w:tcPr>
            <w:tcW w:w="664" w:type="dxa"/>
            <w:tcBorders>
              <w:top w:val="single" w:color="7E7E7E" w:themeColor="text1" w:themeTint="80" w:sz="4" w:space="0"/>
              <w:bottom w:val="single" w:color="7E7E7E" w:themeColor="text1" w:themeTint="80" w:sz="4" w:space="0"/>
            </w:tcBorders>
            <w:noWrap/>
            <w:vAlign w:val="center"/>
          </w:tcPr>
          <w:p w14:paraId="4039110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8.31 </w:t>
            </w:r>
          </w:p>
        </w:tc>
        <w:tc>
          <w:tcPr>
            <w:tcW w:w="664" w:type="dxa"/>
            <w:tcBorders>
              <w:top w:val="single" w:color="7E7E7E" w:themeColor="text1" w:themeTint="80" w:sz="4" w:space="0"/>
              <w:bottom w:val="single" w:color="7E7E7E" w:themeColor="text1" w:themeTint="80" w:sz="4" w:space="0"/>
            </w:tcBorders>
            <w:noWrap/>
            <w:vAlign w:val="center"/>
          </w:tcPr>
          <w:p w14:paraId="684FF7FC">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11.28 </w:t>
            </w:r>
          </w:p>
        </w:tc>
        <w:tc>
          <w:tcPr>
            <w:tcW w:w="664" w:type="dxa"/>
            <w:tcBorders>
              <w:top w:val="single" w:color="7E7E7E" w:themeColor="text1" w:themeTint="80" w:sz="4" w:space="0"/>
              <w:bottom w:val="single" w:color="7E7E7E" w:themeColor="text1" w:themeTint="80" w:sz="4" w:space="0"/>
            </w:tcBorders>
            <w:noWrap/>
            <w:vAlign w:val="center"/>
          </w:tcPr>
          <w:p w14:paraId="5EE97DB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14.15 </w:t>
            </w:r>
          </w:p>
        </w:tc>
        <w:tc>
          <w:tcPr>
            <w:tcW w:w="664" w:type="dxa"/>
            <w:tcBorders>
              <w:top w:val="single" w:color="7E7E7E" w:themeColor="text1" w:themeTint="80" w:sz="4" w:space="0"/>
              <w:bottom w:val="single" w:color="7E7E7E" w:themeColor="text1" w:themeTint="80" w:sz="4" w:space="0"/>
            </w:tcBorders>
            <w:noWrap/>
            <w:vAlign w:val="center"/>
          </w:tcPr>
          <w:p w14:paraId="3E881F3C">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19.74 </w:t>
            </w:r>
          </w:p>
        </w:tc>
        <w:tc>
          <w:tcPr>
            <w:tcW w:w="664" w:type="dxa"/>
            <w:tcBorders>
              <w:top w:val="single" w:color="7E7E7E" w:themeColor="text1" w:themeTint="80" w:sz="4" w:space="0"/>
              <w:bottom w:val="single" w:color="7E7E7E" w:themeColor="text1" w:themeTint="80" w:sz="4" w:space="0"/>
            </w:tcBorders>
            <w:noWrap/>
            <w:vAlign w:val="center"/>
          </w:tcPr>
          <w:p w14:paraId="0723072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22.15 </w:t>
            </w:r>
          </w:p>
        </w:tc>
        <w:tc>
          <w:tcPr>
            <w:tcW w:w="664" w:type="dxa"/>
            <w:tcBorders>
              <w:top w:val="single" w:color="7E7E7E" w:themeColor="text1" w:themeTint="80" w:sz="4" w:space="0"/>
              <w:bottom w:val="single" w:color="7E7E7E" w:themeColor="text1" w:themeTint="80" w:sz="4" w:space="0"/>
            </w:tcBorders>
            <w:noWrap/>
            <w:vAlign w:val="center"/>
          </w:tcPr>
          <w:p w14:paraId="65D6528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24.68 </w:t>
            </w:r>
          </w:p>
        </w:tc>
        <w:tc>
          <w:tcPr>
            <w:tcW w:w="664" w:type="dxa"/>
            <w:tcBorders>
              <w:top w:val="single" w:color="7E7E7E" w:themeColor="text1" w:themeTint="80" w:sz="4" w:space="0"/>
              <w:bottom w:val="single" w:color="7E7E7E" w:themeColor="text1" w:themeTint="80" w:sz="4" w:space="0"/>
            </w:tcBorders>
            <w:noWrap/>
            <w:vAlign w:val="center"/>
          </w:tcPr>
          <w:p w14:paraId="6A28424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25.69 </w:t>
            </w:r>
          </w:p>
        </w:tc>
        <w:tc>
          <w:tcPr>
            <w:tcW w:w="664" w:type="dxa"/>
            <w:tcBorders>
              <w:top w:val="single" w:color="7E7E7E" w:themeColor="text1" w:themeTint="80" w:sz="4" w:space="0"/>
              <w:bottom w:val="single" w:color="7E7E7E" w:themeColor="text1" w:themeTint="80" w:sz="4" w:space="0"/>
            </w:tcBorders>
            <w:noWrap/>
            <w:vAlign w:val="center"/>
          </w:tcPr>
          <w:p w14:paraId="2583A41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28.06 </w:t>
            </w:r>
          </w:p>
        </w:tc>
        <w:tc>
          <w:tcPr>
            <w:tcW w:w="664" w:type="dxa"/>
            <w:tcBorders>
              <w:top w:val="single" w:color="7E7E7E" w:themeColor="text1" w:themeTint="80" w:sz="4" w:space="0"/>
              <w:bottom w:val="single" w:color="7E7E7E" w:themeColor="text1" w:themeTint="80" w:sz="4" w:space="0"/>
            </w:tcBorders>
            <w:noWrap/>
            <w:vAlign w:val="center"/>
          </w:tcPr>
          <w:p w14:paraId="4639E6D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30.52 </w:t>
            </w:r>
          </w:p>
        </w:tc>
      </w:tr>
      <w:tr w14:paraId="612084F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noWrap/>
            <w:vAlign w:val="bottom"/>
          </w:tcPr>
          <w:p w14:paraId="1D80EA0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绍兴市</w:t>
            </w:r>
          </w:p>
        </w:tc>
        <w:tc>
          <w:tcPr>
            <w:tcW w:w="664" w:type="dxa"/>
            <w:noWrap/>
            <w:vAlign w:val="center"/>
          </w:tcPr>
          <w:p w14:paraId="759E09C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34.90 </w:t>
            </w:r>
          </w:p>
        </w:tc>
        <w:tc>
          <w:tcPr>
            <w:tcW w:w="664" w:type="dxa"/>
            <w:noWrap/>
            <w:vAlign w:val="center"/>
          </w:tcPr>
          <w:p w14:paraId="4AE9A98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41.83 </w:t>
            </w:r>
          </w:p>
        </w:tc>
        <w:tc>
          <w:tcPr>
            <w:tcW w:w="664" w:type="dxa"/>
            <w:noWrap/>
            <w:vAlign w:val="center"/>
          </w:tcPr>
          <w:p w14:paraId="011872B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43.57 </w:t>
            </w:r>
          </w:p>
        </w:tc>
        <w:tc>
          <w:tcPr>
            <w:tcW w:w="664" w:type="dxa"/>
            <w:noWrap/>
            <w:vAlign w:val="center"/>
          </w:tcPr>
          <w:p w14:paraId="21F66AF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49.47 </w:t>
            </w:r>
          </w:p>
        </w:tc>
        <w:tc>
          <w:tcPr>
            <w:tcW w:w="664" w:type="dxa"/>
            <w:noWrap/>
            <w:vAlign w:val="center"/>
          </w:tcPr>
          <w:p w14:paraId="0572695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55.41 </w:t>
            </w:r>
          </w:p>
        </w:tc>
        <w:tc>
          <w:tcPr>
            <w:tcW w:w="664" w:type="dxa"/>
            <w:noWrap/>
            <w:vAlign w:val="center"/>
          </w:tcPr>
          <w:p w14:paraId="113EF06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63.48 </w:t>
            </w:r>
          </w:p>
        </w:tc>
        <w:tc>
          <w:tcPr>
            <w:tcW w:w="664" w:type="dxa"/>
            <w:noWrap/>
            <w:vAlign w:val="center"/>
          </w:tcPr>
          <w:p w14:paraId="3699627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71.50 </w:t>
            </w:r>
          </w:p>
        </w:tc>
        <w:tc>
          <w:tcPr>
            <w:tcW w:w="664" w:type="dxa"/>
            <w:noWrap/>
            <w:vAlign w:val="center"/>
          </w:tcPr>
          <w:p w14:paraId="3562620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75.06 </w:t>
            </w:r>
          </w:p>
        </w:tc>
        <w:tc>
          <w:tcPr>
            <w:tcW w:w="664" w:type="dxa"/>
            <w:noWrap/>
            <w:vAlign w:val="center"/>
          </w:tcPr>
          <w:p w14:paraId="1A5787F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84.89 </w:t>
            </w:r>
          </w:p>
        </w:tc>
        <w:tc>
          <w:tcPr>
            <w:tcW w:w="664" w:type="dxa"/>
            <w:noWrap/>
            <w:vAlign w:val="center"/>
          </w:tcPr>
          <w:p w14:paraId="2B07543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88.01 </w:t>
            </w:r>
          </w:p>
        </w:tc>
        <w:tc>
          <w:tcPr>
            <w:tcW w:w="664" w:type="dxa"/>
            <w:noWrap/>
            <w:vAlign w:val="center"/>
          </w:tcPr>
          <w:p w14:paraId="53367AC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96.50 </w:t>
            </w:r>
          </w:p>
        </w:tc>
        <w:tc>
          <w:tcPr>
            <w:tcW w:w="664" w:type="dxa"/>
            <w:noWrap/>
            <w:vAlign w:val="center"/>
          </w:tcPr>
          <w:p w14:paraId="6C10F1FE">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98.46 </w:t>
            </w:r>
          </w:p>
        </w:tc>
      </w:tr>
      <w:tr w14:paraId="0D76622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tcBorders>
              <w:top w:val="single" w:color="7E7E7E" w:themeColor="text1" w:themeTint="80" w:sz="4" w:space="0"/>
              <w:bottom w:val="single" w:color="7E7E7E" w:themeColor="text1" w:themeTint="80" w:sz="4" w:space="0"/>
            </w:tcBorders>
            <w:noWrap/>
            <w:vAlign w:val="bottom"/>
          </w:tcPr>
          <w:p w14:paraId="379A2D4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w:t>
            </w:r>
          </w:p>
        </w:tc>
        <w:tc>
          <w:tcPr>
            <w:tcW w:w="664" w:type="dxa"/>
            <w:tcBorders>
              <w:top w:val="single" w:color="7E7E7E" w:themeColor="text1" w:themeTint="80" w:sz="4" w:space="0"/>
              <w:bottom w:val="single" w:color="7E7E7E" w:themeColor="text1" w:themeTint="80" w:sz="4" w:space="0"/>
            </w:tcBorders>
            <w:noWrap/>
            <w:vAlign w:val="center"/>
          </w:tcPr>
          <w:p w14:paraId="30C8016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24.76 </w:t>
            </w:r>
          </w:p>
        </w:tc>
        <w:tc>
          <w:tcPr>
            <w:tcW w:w="664" w:type="dxa"/>
            <w:tcBorders>
              <w:top w:val="single" w:color="7E7E7E" w:themeColor="text1" w:themeTint="80" w:sz="4" w:space="0"/>
              <w:bottom w:val="single" w:color="7E7E7E" w:themeColor="text1" w:themeTint="80" w:sz="4" w:space="0"/>
            </w:tcBorders>
            <w:noWrap/>
            <w:vAlign w:val="center"/>
          </w:tcPr>
          <w:p w14:paraId="03EB2CAF">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29.17 </w:t>
            </w:r>
          </w:p>
        </w:tc>
        <w:tc>
          <w:tcPr>
            <w:tcW w:w="664" w:type="dxa"/>
            <w:tcBorders>
              <w:top w:val="single" w:color="7E7E7E" w:themeColor="text1" w:themeTint="80" w:sz="4" w:space="0"/>
              <w:bottom w:val="single" w:color="7E7E7E" w:themeColor="text1" w:themeTint="80" w:sz="4" w:space="0"/>
            </w:tcBorders>
            <w:noWrap/>
            <w:vAlign w:val="center"/>
          </w:tcPr>
          <w:p w14:paraId="701DDBA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31.60 </w:t>
            </w:r>
          </w:p>
        </w:tc>
        <w:tc>
          <w:tcPr>
            <w:tcW w:w="664" w:type="dxa"/>
            <w:tcBorders>
              <w:top w:val="single" w:color="7E7E7E" w:themeColor="text1" w:themeTint="80" w:sz="4" w:space="0"/>
              <w:bottom w:val="single" w:color="7E7E7E" w:themeColor="text1" w:themeTint="80" w:sz="4" w:space="0"/>
            </w:tcBorders>
            <w:noWrap/>
            <w:vAlign w:val="center"/>
          </w:tcPr>
          <w:p w14:paraId="447FE08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37.25 </w:t>
            </w:r>
          </w:p>
        </w:tc>
        <w:tc>
          <w:tcPr>
            <w:tcW w:w="664" w:type="dxa"/>
            <w:tcBorders>
              <w:top w:val="single" w:color="7E7E7E" w:themeColor="text1" w:themeTint="80" w:sz="4" w:space="0"/>
              <w:bottom w:val="single" w:color="7E7E7E" w:themeColor="text1" w:themeTint="80" w:sz="4" w:space="0"/>
            </w:tcBorders>
            <w:noWrap/>
            <w:vAlign w:val="center"/>
          </w:tcPr>
          <w:p w14:paraId="78D616B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44.65 </w:t>
            </w:r>
          </w:p>
        </w:tc>
        <w:tc>
          <w:tcPr>
            <w:tcW w:w="664" w:type="dxa"/>
            <w:tcBorders>
              <w:top w:val="single" w:color="7E7E7E" w:themeColor="text1" w:themeTint="80" w:sz="4" w:space="0"/>
              <w:bottom w:val="single" w:color="7E7E7E" w:themeColor="text1" w:themeTint="80" w:sz="4" w:space="0"/>
            </w:tcBorders>
            <w:noWrap/>
            <w:vAlign w:val="center"/>
          </w:tcPr>
          <w:p w14:paraId="4832BC6E">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47.84 </w:t>
            </w:r>
          </w:p>
        </w:tc>
        <w:tc>
          <w:tcPr>
            <w:tcW w:w="664" w:type="dxa"/>
            <w:tcBorders>
              <w:top w:val="single" w:color="7E7E7E" w:themeColor="text1" w:themeTint="80" w:sz="4" w:space="0"/>
              <w:bottom w:val="single" w:color="7E7E7E" w:themeColor="text1" w:themeTint="80" w:sz="4" w:space="0"/>
            </w:tcBorders>
            <w:noWrap/>
            <w:vAlign w:val="center"/>
          </w:tcPr>
          <w:p w14:paraId="5D73A04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49.27 </w:t>
            </w:r>
          </w:p>
        </w:tc>
        <w:tc>
          <w:tcPr>
            <w:tcW w:w="664" w:type="dxa"/>
            <w:tcBorders>
              <w:top w:val="single" w:color="7E7E7E" w:themeColor="text1" w:themeTint="80" w:sz="4" w:space="0"/>
              <w:bottom w:val="single" w:color="7E7E7E" w:themeColor="text1" w:themeTint="80" w:sz="4" w:space="0"/>
            </w:tcBorders>
            <w:noWrap/>
            <w:vAlign w:val="center"/>
          </w:tcPr>
          <w:p w14:paraId="37D989B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52.44 </w:t>
            </w:r>
          </w:p>
        </w:tc>
        <w:tc>
          <w:tcPr>
            <w:tcW w:w="664" w:type="dxa"/>
            <w:tcBorders>
              <w:top w:val="single" w:color="7E7E7E" w:themeColor="text1" w:themeTint="80" w:sz="4" w:space="0"/>
              <w:bottom w:val="single" w:color="7E7E7E" w:themeColor="text1" w:themeTint="80" w:sz="4" w:space="0"/>
            </w:tcBorders>
            <w:noWrap/>
            <w:vAlign w:val="center"/>
          </w:tcPr>
          <w:p w14:paraId="2F85AA0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57.08 </w:t>
            </w:r>
          </w:p>
        </w:tc>
        <w:tc>
          <w:tcPr>
            <w:tcW w:w="664" w:type="dxa"/>
            <w:tcBorders>
              <w:top w:val="single" w:color="7E7E7E" w:themeColor="text1" w:themeTint="80" w:sz="4" w:space="0"/>
              <w:bottom w:val="single" w:color="7E7E7E" w:themeColor="text1" w:themeTint="80" w:sz="4" w:space="0"/>
            </w:tcBorders>
            <w:noWrap/>
            <w:vAlign w:val="center"/>
          </w:tcPr>
          <w:p w14:paraId="35D8488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57.58 </w:t>
            </w:r>
          </w:p>
        </w:tc>
        <w:tc>
          <w:tcPr>
            <w:tcW w:w="664" w:type="dxa"/>
            <w:tcBorders>
              <w:top w:val="single" w:color="7E7E7E" w:themeColor="text1" w:themeTint="80" w:sz="4" w:space="0"/>
              <w:bottom w:val="single" w:color="7E7E7E" w:themeColor="text1" w:themeTint="80" w:sz="4" w:space="0"/>
            </w:tcBorders>
            <w:noWrap/>
            <w:vAlign w:val="center"/>
          </w:tcPr>
          <w:p w14:paraId="45640EAE">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63.65 </w:t>
            </w:r>
          </w:p>
        </w:tc>
        <w:tc>
          <w:tcPr>
            <w:tcW w:w="664" w:type="dxa"/>
            <w:tcBorders>
              <w:top w:val="single" w:color="7E7E7E" w:themeColor="text1" w:themeTint="80" w:sz="4" w:space="0"/>
              <w:bottom w:val="single" w:color="7E7E7E" w:themeColor="text1" w:themeTint="80" w:sz="4" w:space="0"/>
            </w:tcBorders>
            <w:noWrap/>
            <w:vAlign w:val="center"/>
          </w:tcPr>
          <w:p w14:paraId="2A9411AA">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65.75 </w:t>
            </w:r>
          </w:p>
        </w:tc>
      </w:tr>
      <w:tr w14:paraId="1F5053A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noWrap/>
            <w:vAlign w:val="bottom"/>
          </w:tcPr>
          <w:p w14:paraId="11A133C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温州市</w:t>
            </w:r>
          </w:p>
        </w:tc>
        <w:tc>
          <w:tcPr>
            <w:tcW w:w="664" w:type="dxa"/>
            <w:noWrap/>
            <w:vAlign w:val="center"/>
          </w:tcPr>
          <w:p w14:paraId="704B8A6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46.37 </w:t>
            </w:r>
          </w:p>
        </w:tc>
        <w:tc>
          <w:tcPr>
            <w:tcW w:w="664" w:type="dxa"/>
            <w:noWrap/>
            <w:vAlign w:val="center"/>
          </w:tcPr>
          <w:p w14:paraId="1D09144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49.35 </w:t>
            </w:r>
          </w:p>
        </w:tc>
        <w:tc>
          <w:tcPr>
            <w:tcW w:w="664" w:type="dxa"/>
            <w:noWrap/>
            <w:vAlign w:val="center"/>
          </w:tcPr>
          <w:p w14:paraId="005B4AF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49.00 </w:t>
            </w:r>
          </w:p>
        </w:tc>
        <w:tc>
          <w:tcPr>
            <w:tcW w:w="664" w:type="dxa"/>
            <w:noWrap/>
            <w:vAlign w:val="center"/>
          </w:tcPr>
          <w:p w14:paraId="4957026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55.17 </w:t>
            </w:r>
          </w:p>
        </w:tc>
        <w:tc>
          <w:tcPr>
            <w:tcW w:w="664" w:type="dxa"/>
            <w:noWrap/>
            <w:vAlign w:val="center"/>
          </w:tcPr>
          <w:p w14:paraId="2A02FC4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60.44 </w:t>
            </w:r>
          </w:p>
        </w:tc>
        <w:tc>
          <w:tcPr>
            <w:tcW w:w="664" w:type="dxa"/>
            <w:noWrap/>
            <w:vAlign w:val="center"/>
          </w:tcPr>
          <w:p w14:paraId="4F9460F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66.10 </w:t>
            </w:r>
          </w:p>
        </w:tc>
        <w:tc>
          <w:tcPr>
            <w:tcW w:w="664" w:type="dxa"/>
            <w:noWrap/>
            <w:vAlign w:val="center"/>
          </w:tcPr>
          <w:p w14:paraId="0A58E0A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69.92 </w:t>
            </w:r>
          </w:p>
        </w:tc>
        <w:tc>
          <w:tcPr>
            <w:tcW w:w="664" w:type="dxa"/>
            <w:noWrap/>
            <w:vAlign w:val="center"/>
          </w:tcPr>
          <w:p w14:paraId="0EAE9F3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71.68 </w:t>
            </w:r>
          </w:p>
        </w:tc>
        <w:tc>
          <w:tcPr>
            <w:tcW w:w="664" w:type="dxa"/>
            <w:noWrap/>
            <w:vAlign w:val="center"/>
          </w:tcPr>
          <w:p w14:paraId="5C1DC35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79.69 </w:t>
            </w:r>
          </w:p>
        </w:tc>
        <w:tc>
          <w:tcPr>
            <w:tcW w:w="664" w:type="dxa"/>
            <w:noWrap/>
            <w:vAlign w:val="center"/>
          </w:tcPr>
          <w:p w14:paraId="7CDB9E58">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78.70 </w:t>
            </w:r>
          </w:p>
        </w:tc>
        <w:tc>
          <w:tcPr>
            <w:tcW w:w="664" w:type="dxa"/>
            <w:noWrap/>
            <w:vAlign w:val="center"/>
          </w:tcPr>
          <w:p w14:paraId="1056899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79.30 </w:t>
            </w:r>
          </w:p>
        </w:tc>
        <w:tc>
          <w:tcPr>
            <w:tcW w:w="664" w:type="dxa"/>
            <w:noWrap/>
            <w:vAlign w:val="center"/>
          </w:tcPr>
          <w:p w14:paraId="62E8FD7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91.61 </w:t>
            </w:r>
          </w:p>
        </w:tc>
      </w:tr>
      <w:tr w14:paraId="12E6D7C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dxa"/>
            <w:tcBorders>
              <w:top w:val="single" w:color="7E7E7E" w:themeColor="text1" w:themeTint="80" w:sz="4" w:space="0"/>
              <w:bottom w:val="single" w:color="7E7E7E" w:themeColor="text1" w:themeTint="80" w:sz="4" w:space="0"/>
            </w:tcBorders>
            <w:noWrap/>
            <w:vAlign w:val="bottom"/>
          </w:tcPr>
          <w:p w14:paraId="67A65249">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舟山市</w:t>
            </w:r>
          </w:p>
        </w:tc>
        <w:tc>
          <w:tcPr>
            <w:tcW w:w="664" w:type="dxa"/>
            <w:tcBorders>
              <w:top w:val="single" w:color="7E7E7E" w:themeColor="text1" w:themeTint="80" w:sz="4" w:space="0"/>
              <w:bottom w:val="single" w:color="7E7E7E" w:themeColor="text1" w:themeTint="80" w:sz="4" w:space="0"/>
            </w:tcBorders>
            <w:noWrap/>
            <w:vAlign w:val="center"/>
          </w:tcPr>
          <w:p w14:paraId="72AF96D4">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15.38 </w:t>
            </w:r>
          </w:p>
        </w:tc>
        <w:tc>
          <w:tcPr>
            <w:tcW w:w="664" w:type="dxa"/>
            <w:tcBorders>
              <w:top w:val="single" w:color="7E7E7E" w:themeColor="text1" w:themeTint="80" w:sz="4" w:space="0"/>
              <w:bottom w:val="single" w:color="7E7E7E" w:themeColor="text1" w:themeTint="80" w:sz="4" w:space="0"/>
            </w:tcBorders>
            <w:noWrap/>
            <w:vAlign w:val="center"/>
          </w:tcPr>
          <w:p w14:paraId="553A3AD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26.47 </w:t>
            </w:r>
          </w:p>
        </w:tc>
        <w:tc>
          <w:tcPr>
            <w:tcW w:w="664" w:type="dxa"/>
            <w:tcBorders>
              <w:top w:val="single" w:color="7E7E7E" w:themeColor="text1" w:themeTint="80" w:sz="4" w:space="0"/>
              <w:bottom w:val="single" w:color="7E7E7E" w:themeColor="text1" w:themeTint="80" w:sz="4" w:space="0"/>
            </w:tcBorders>
            <w:noWrap/>
            <w:vAlign w:val="center"/>
          </w:tcPr>
          <w:p w14:paraId="35EF9B9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20.30 </w:t>
            </w:r>
          </w:p>
        </w:tc>
        <w:tc>
          <w:tcPr>
            <w:tcW w:w="664" w:type="dxa"/>
            <w:tcBorders>
              <w:top w:val="single" w:color="7E7E7E" w:themeColor="text1" w:themeTint="80" w:sz="4" w:space="0"/>
              <w:bottom w:val="single" w:color="7E7E7E" w:themeColor="text1" w:themeTint="80" w:sz="4" w:space="0"/>
            </w:tcBorders>
            <w:noWrap/>
            <w:vAlign w:val="center"/>
          </w:tcPr>
          <w:p w14:paraId="443037F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23.58 </w:t>
            </w:r>
          </w:p>
        </w:tc>
        <w:tc>
          <w:tcPr>
            <w:tcW w:w="664" w:type="dxa"/>
            <w:tcBorders>
              <w:top w:val="single" w:color="7E7E7E" w:themeColor="text1" w:themeTint="80" w:sz="4" w:space="0"/>
              <w:bottom w:val="single" w:color="7E7E7E" w:themeColor="text1" w:themeTint="80" w:sz="4" w:space="0"/>
            </w:tcBorders>
            <w:noWrap/>
            <w:vAlign w:val="center"/>
          </w:tcPr>
          <w:p w14:paraId="08DF9EE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32.24 </w:t>
            </w:r>
          </w:p>
        </w:tc>
        <w:tc>
          <w:tcPr>
            <w:tcW w:w="664" w:type="dxa"/>
            <w:tcBorders>
              <w:top w:val="single" w:color="7E7E7E" w:themeColor="text1" w:themeTint="80" w:sz="4" w:space="0"/>
              <w:bottom w:val="single" w:color="7E7E7E" w:themeColor="text1" w:themeTint="80" w:sz="4" w:space="0"/>
            </w:tcBorders>
            <w:noWrap/>
            <w:vAlign w:val="center"/>
          </w:tcPr>
          <w:p w14:paraId="05DECE4C">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29.91 </w:t>
            </w:r>
          </w:p>
        </w:tc>
        <w:tc>
          <w:tcPr>
            <w:tcW w:w="664" w:type="dxa"/>
            <w:tcBorders>
              <w:top w:val="single" w:color="7E7E7E" w:themeColor="text1" w:themeTint="80" w:sz="4" w:space="0"/>
              <w:bottom w:val="single" w:color="7E7E7E" w:themeColor="text1" w:themeTint="80" w:sz="4" w:space="0"/>
            </w:tcBorders>
            <w:noWrap/>
            <w:vAlign w:val="center"/>
          </w:tcPr>
          <w:p w14:paraId="4F9CE1B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33.23 </w:t>
            </w:r>
          </w:p>
        </w:tc>
        <w:tc>
          <w:tcPr>
            <w:tcW w:w="664" w:type="dxa"/>
            <w:tcBorders>
              <w:top w:val="single" w:color="7E7E7E" w:themeColor="text1" w:themeTint="80" w:sz="4" w:space="0"/>
              <w:bottom w:val="single" w:color="7E7E7E" w:themeColor="text1" w:themeTint="80" w:sz="4" w:space="0"/>
            </w:tcBorders>
            <w:noWrap/>
            <w:vAlign w:val="center"/>
          </w:tcPr>
          <w:p w14:paraId="508B4A5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43.16 </w:t>
            </w:r>
          </w:p>
        </w:tc>
        <w:tc>
          <w:tcPr>
            <w:tcW w:w="664" w:type="dxa"/>
            <w:tcBorders>
              <w:top w:val="single" w:color="7E7E7E" w:themeColor="text1" w:themeTint="80" w:sz="4" w:space="0"/>
              <w:bottom w:val="single" w:color="7E7E7E" w:themeColor="text1" w:themeTint="80" w:sz="4" w:space="0"/>
            </w:tcBorders>
            <w:noWrap/>
            <w:vAlign w:val="center"/>
          </w:tcPr>
          <w:p w14:paraId="0AAF11C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44.01 </w:t>
            </w:r>
          </w:p>
        </w:tc>
        <w:tc>
          <w:tcPr>
            <w:tcW w:w="664" w:type="dxa"/>
            <w:tcBorders>
              <w:top w:val="single" w:color="7E7E7E" w:themeColor="text1" w:themeTint="80" w:sz="4" w:space="0"/>
              <w:bottom w:val="single" w:color="7E7E7E" w:themeColor="text1" w:themeTint="80" w:sz="4" w:space="0"/>
            </w:tcBorders>
            <w:noWrap/>
            <w:vAlign w:val="center"/>
          </w:tcPr>
          <w:p w14:paraId="79496E35">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40.72 </w:t>
            </w:r>
          </w:p>
        </w:tc>
        <w:tc>
          <w:tcPr>
            <w:tcW w:w="664" w:type="dxa"/>
            <w:tcBorders>
              <w:top w:val="single" w:color="7E7E7E" w:themeColor="text1" w:themeTint="80" w:sz="4" w:space="0"/>
              <w:bottom w:val="single" w:color="7E7E7E" w:themeColor="text1" w:themeTint="80" w:sz="4" w:space="0"/>
            </w:tcBorders>
            <w:noWrap/>
            <w:vAlign w:val="center"/>
          </w:tcPr>
          <w:p w14:paraId="1115D79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50.90 </w:t>
            </w:r>
          </w:p>
        </w:tc>
        <w:tc>
          <w:tcPr>
            <w:tcW w:w="664" w:type="dxa"/>
            <w:tcBorders>
              <w:top w:val="single" w:color="7E7E7E" w:themeColor="text1" w:themeTint="80" w:sz="4" w:space="0"/>
              <w:bottom w:val="single" w:color="7E7E7E" w:themeColor="text1" w:themeTint="80" w:sz="4" w:space="0"/>
            </w:tcBorders>
            <w:noWrap/>
            <w:vAlign w:val="center"/>
          </w:tcPr>
          <w:p w14:paraId="0DFBE0AC">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 xml:space="preserve">48.08 </w:t>
            </w:r>
          </w:p>
        </w:tc>
      </w:tr>
      <w:bookmarkEnd w:id="71"/>
      <w:bookmarkEnd w:id="74"/>
      <w:bookmarkEnd w:id="76"/>
    </w:tbl>
    <w:p w14:paraId="367E8F99">
      <w:pPr>
        <w:jc w:val="center"/>
        <w:rPr>
          <w:rFonts w:hint="eastAsia" w:ascii="华文楷体" w:hAnsi="华文楷体" w:eastAsia="华文楷体"/>
          <w:sz w:val="24"/>
        </w:rPr>
      </w:pPr>
      <w:r>
        <w:rPr>
          <w14:ligatures w14:val="none"/>
        </w:rPr>
        <w:drawing>
          <wp:inline distT="0" distB="0" distL="0" distR="0">
            <wp:extent cx="4436110" cy="4220845"/>
            <wp:effectExtent l="0" t="0" r="2540" b="8255"/>
            <wp:docPr id="188613207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2079" name="图片 1" descr="图表, 折线图&#10;&#10;AI 生成的内容可能不正确。"/>
                    <pic:cNvPicPr>
                      <a:picLocks noChangeAspect="1"/>
                    </pic:cNvPicPr>
                  </pic:nvPicPr>
                  <pic:blipFill>
                    <a:blip r:embed="rId13"/>
                    <a:stretch>
                      <a:fillRect/>
                    </a:stretch>
                  </pic:blipFill>
                  <pic:spPr>
                    <a:xfrm>
                      <a:off x="0" y="0"/>
                      <a:ext cx="4441920" cy="4226402"/>
                    </a:xfrm>
                    <a:prstGeom prst="rect">
                      <a:avLst/>
                    </a:prstGeom>
                  </pic:spPr>
                </pic:pic>
              </a:graphicData>
            </a:graphic>
          </wp:inline>
        </w:drawing>
      </w:r>
    </w:p>
    <w:p w14:paraId="77444F98">
      <w:pPr>
        <w:jc w:val="center"/>
        <w:rPr>
          <w:rFonts w:hint="eastAsia" w:ascii="华文楷体" w:hAnsi="华文楷体" w:eastAsia="华文楷体"/>
          <w:sz w:val="24"/>
        </w:rPr>
      </w:pPr>
      <w:bookmarkStart w:id="77" w:name="OLE_LINK213"/>
      <w:r>
        <w:rPr>
          <w:rFonts w:hint="eastAsia" w:ascii="华文楷体" w:hAnsi="华文楷体" w:eastAsia="华文楷体"/>
          <w:sz w:val="24"/>
        </w:rPr>
        <w:t>图</w:t>
      </w:r>
      <w:bookmarkStart w:id="78" w:name="OLE_LINK19"/>
      <w:r>
        <w:rPr>
          <w:rFonts w:hint="eastAsia" w:ascii="华文楷体" w:hAnsi="华文楷体" w:eastAsia="华文楷体"/>
          <w:sz w:val="24"/>
        </w:rPr>
        <w:t>2-6</w:t>
      </w:r>
      <w:bookmarkEnd w:id="78"/>
      <w:r>
        <w:rPr>
          <w:rFonts w:hint="eastAsia" w:ascii="华文楷体" w:hAnsi="华文楷体" w:eastAsia="华文楷体"/>
          <w:sz w:val="24"/>
        </w:rPr>
        <w:t xml:space="preserve"> 2025年</w:t>
      </w:r>
      <w:bookmarkStart w:id="79" w:name="OLE_LINK382"/>
      <w:r>
        <w:rPr>
          <w:rFonts w:hint="eastAsia" w:ascii="华文楷体" w:hAnsi="华文楷体" w:eastAsia="华文楷体"/>
          <w:sz w:val="24"/>
        </w:rPr>
        <w:t>绿色物流指数</w:t>
      </w:r>
      <w:bookmarkEnd w:id="79"/>
      <w:r>
        <w:rPr>
          <w:rFonts w:hint="eastAsia" w:ascii="华文楷体" w:hAnsi="华文楷体" w:eastAsia="华文楷体"/>
          <w:sz w:val="24"/>
        </w:rPr>
        <w:t>趋势图（指数排名前五名）</w:t>
      </w:r>
      <w:bookmarkEnd w:id="77"/>
    </w:p>
    <w:p w14:paraId="72AA51B3">
      <w:pPr>
        <w:ind w:firstLine="480" w:firstLineChars="200"/>
        <w:jc w:val="both"/>
        <w:rPr>
          <w:rFonts w:hint="eastAsia" w:ascii="华文楷体" w:hAnsi="华文楷体" w:eastAsia="华文楷体"/>
          <w:sz w:val="24"/>
        </w:rPr>
      </w:pPr>
      <w:bookmarkStart w:id="80" w:name="OLE_LINK399"/>
      <w:r>
        <w:rPr>
          <w:rFonts w:hint="eastAsia" w:ascii="华文楷体" w:hAnsi="华文楷体" w:eastAsia="华文楷体"/>
          <w:sz w:val="24"/>
        </w:rPr>
        <w:t>浙江省2025年老旧营运货车报废更新补贴政策</w:t>
      </w:r>
      <w:r>
        <w:rPr>
          <w:rStyle w:val="24"/>
          <w:rFonts w:hint="eastAsia" w:ascii="华文楷体" w:hAnsi="华文楷体" w:eastAsia="华文楷体"/>
          <w:sz w:val="24"/>
        </w:rPr>
        <w:footnoteReference w:id="14"/>
      </w:r>
      <w:r>
        <w:rPr>
          <w:rFonts w:hint="eastAsia" w:ascii="华文楷体" w:hAnsi="华文楷体" w:eastAsia="华文楷体"/>
          <w:sz w:val="24"/>
        </w:rPr>
        <w:t>于2025年4月10日发布，补贴范围扩大至国四及以下老旧营运货车，车辆补贴标准最高可达14万元,</w:t>
      </w:r>
      <w:r>
        <w:rPr>
          <w:rFonts w:hint="eastAsia"/>
        </w:rPr>
        <w:t xml:space="preserve"> </w:t>
      </w:r>
      <w:r>
        <w:rPr>
          <w:rFonts w:hint="eastAsia" w:ascii="华文楷体" w:hAnsi="华文楷体" w:eastAsia="华文楷体"/>
          <w:sz w:val="24"/>
        </w:rPr>
        <w:t>新能源货车补贴远高于国六柴油货车。</w:t>
      </w:r>
      <w:bookmarkEnd w:id="80"/>
      <w:r>
        <w:rPr>
          <w:rFonts w:hint="eastAsia" w:ascii="华文楷体" w:hAnsi="华文楷体" w:eastAsia="华文楷体"/>
          <w:sz w:val="24"/>
        </w:rPr>
        <w:t>从表2-7以及图2-6可知，政策发布前后各城市绿色物流指数变化显著。</w:t>
      </w:r>
    </w:p>
    <w:p w14:paraId="7B38DA82">
      <w:pPr>
        <w:ind w:firstLine="480" w:firstLineChars="200"/>
        <w:jc w:val="both"/>
        <w:rPr>
          <w:rFonts w:hint="eastAsia" w:ascii="华文楷体" w:hAnsi="华文楷体" w:eastAsia="华文楷体"/>
          <w:sz w:val="24"/>
        </w:rPr>
      </w:pPr>
      <w:r>
        <w:rPr>
          <w:rFonts w:hint="eastAsia" w:ascii="华文楷体" w:hAnsi="华文楷体" w:eastAsia="华文楷体"/>
          <w:sz w:val="24"/>
        </w:rPr>
        <w:t>杭州市在政策发布前（1-3月）绿色物流指数均值为47.51，政策发布后（4-12月）指数均值为</w:t>
      </w:r>
      <w:bookmarkStart w:id="81" w:name="OLE_LINK381"/>
      <w:r>
        <w:rPr>
          <w:rFonts w:hint="eastAsia" w:ascii="华文楷体" w:hAnsi="华文楷体" w:eastAsia="华文楷体"/>
          <w:sz w:val="24"/>
        </w:rPr>
        <w:t>79.35</w:t>
      </w:r>
      <w:bookmarkEnd w:id="81"/>
      <w:r>
        <w:rPr>
          <w:rFonts w:hint="eastAsia" w:ascii="华文楷体" w:hAnsi="华文楷体" w:eastAsia="华文楷体"/>
          <w:sz w:val="24"/>
        </w:rPr>
        <w:t>，政策发布后</w:t>
      </w:r>
      <w:r>
        <w:rPr>
          <w:rFonts w:ascii="华文楷体" w:hAnsi="华文楷体" w:eastAsia="华文楷体"/>
          <w:sz w:val="24"/>
        </w:rPr>
        <w:t>（4-12月）</w:t>
      </w:r>
      <w:r>
        <w:rPr>
          <w:rFonts w:hint="eastAsia" w:ascii="华文楷体" w:hAnsi="华文楷体" w:eastAsia="华文楷体"/>
          <w:sz w:val="24"/>
        </w:rPr>
        <w:t>较发布前，</w:t>
      </w:r>
      <w:bookmarkStart w:id="82" w:name="OLE_LINK384"/>
      <w:r>
        <w:rPr>
          <w:rFonts w:hint="eastAsia" w:ascii="华文楷体" w:hAnsi="华文楷体" w:eastAsia="华文楷体"/>
          <w:sz w:val="24"/>
        </w:rPr>
        <w:t>均值</w:t>
      </w:r>
      <w:bookmarkEnd w:id="82"/>
      <w:r>
        <w:rPr>
          <w:rFonts w:hint="eastAsia" w:ascii="华文楷体" w:hAnsi="华文楷体" w:eastAsia="华文楷体"/>
          <w:sz w:val="24"/>
        </w:rPr>
        <w:t>增长67.02%。配套2025年6月13日发布的</w:t>
      </w:r>
      <w:bookmarkStart w:id="83" w:name="OLE_LINK390"/>
      <w:r>
        <w:rPr>
          <w:rFonts w:hint="eastAsia" w:ascii="华文楷体" w:hAnsi="华文楷体" w:eastAsia="华文楷体"/>
          <w:sz w:val="24"/>
        </w:rPr>
        <w:t>《2025年杭州市重载营运货车新能源化补助申请公告》</w:t>
      </w:r>
      <w:bookmarkEnd w:id="83"/>
      <w:r>
        <w:rPr>
          <w:rStyle w:val="24"/>
          <w:rFonts w:hint="eastAsia" w:ascii="华文楷体" w:hAnsi="华文楷体" w:eastAsia="华文楷体"/>
          <w:sz w:val="24"/>
        </w:rPr>
        <w:footnoteReference w:id="15"/>
      </w:r>
      <w:r>
        <w:rPr>
          <w:rFonts w:hint="eastAsia" w:ascii="华文楷体" w:hAnsi="华文楷体" w:eastAsia="华文楷体"/>
          <w:sz w:val="24"/>
        </w:rPr>
        <w:t>每车补助6万元政策，绿色物流指数11月达峰值100，位居全省第一。</w:t>
      </w:r>
    </w:p>
    <w:p w14:paraId="46647F6C">
      <w:pPr>
        <w:ind w:firstLine="480" w:firstLineChars="200"/>
        <w:jc w:val="both"/>
        <w:rPr>
          <w:rFonts w:hint="eastAsia" w:ascii="华文楷体" w:hAnsi="华文楷体" w:eastAsia="华文楷体"/>
          <w:sz w:val="24"/>
        </w:rPr>
      </w:pPr>
      <w:r>
        <w:rPr>
          <w:rFonts w:hint="eastAsia" w:ascii="华文楷体" w:hAnsi="华文楷体" w:eastAsia="华文楷体"/>
          <w:sz w:val="24"/>
        </w:rPr>
        <w:t>宁波市在政策发布前（1-3月）绿色物流指数均值为25.51，政策发布后（4-12月）指数均值为51.01，均值增长99.9%。宁波市依托甬金高速新能源重卡运输通道，与省级报废更新补贴政策形成协同，推动港口集疏运新能源化。</w:t>
      </w:r>
    </w:p>
    <w:p w14:paraId="3B69E815">
      <w:pPr>
        <w:ind w:firstLine="480" w:firstLineChars="200"/>
        <w:jc w:val="both"/>
        <w:rPr>
          <w:rFonts w:hint="eastAsia" w:ascii="华文楷体" w:hAnsi="华文楷体" w:eastAsia="华文楷体"/>
          <w:sz w:val="24"/>
        </w:rPr>
      </w:pPr>
      <w:r>
        <w:rPr>
          <w:rFonts w:hint="eastAsia" w:ascii="华文楷体" w:hAnsi="华文楷体" w:eastAsia="华文楷体"/>
          <w:sz w:val="24"/>
        </w:rPr>
        <w:t>绍兴市在</w:t>
      </w:r>
      <w:r>
        <w:rPr>
          <w:rFonts w:ascii="华文楷体" w:hAnsi="华文楷体" w:eastAsia="华文楷体"/>
          <w:sz w:val="24"/>
        </w:rPr>
        <w:t>政策发布前（1-3月）绿色物流指数均值</w:t>
      </w:r>
      <w:r>
        <w:rPr>
          <w:rFonts w:hint="eastAsia" w:ascii="华文楷体" w:hAnsi="华文楷体" w:eastAsia="华文楷体"/>
          <w:sz w:val="24"/>
        </w:rPr>
        <w:t>为</w:t>
      </w:r>
      <w:r>
        <w:rPr>
          <w:rFonts w:ascii="华文楷体" w:hAnsi="华文楷体" w:eastAsia="华文楷体"/>
          <w:sz w:val="24"/>
        </w:rPr>
        <w:t>39.47</w:t>
      </w:r>
      <w:r>
        <w:rPr>
          <w:rFonts w:hint="eastAsia" w:ascii="华文楷体" w:hAnsi="华文楷体" w:eastAsia="华文楷体"/>
          <w:sz w:val="24"/>
        </w:rPr>
        <w:t>，</w:t>
      </w:r>
      <w:r>
        <w:rPr>
          <w:rFonts w:ascii="华文楷体" w:hAnsi="华文楷体" w:eastAsia="华文楷体"/>
          <w:sz w:val="24"/>
        </w:rPr>
        <w:t>政策发布后</w:t>
      </w:r>
      <w:bookmarkStart w:id="84" w:name="OLE_LINK383"/>
      <w:r>
        <w:rPr>
          <w:rFonts w:ascii="华文楷体" w:hAnsi="华文楷体" w:eastAsia="华文楷体"/>
          <w:sz w:val="24"/>
        </w:rPr>
        <w:t>（4-12月）</w:t>
      </w:r>
      <w:bookmarkEnd w:id="84"/>
      <w:r>
        <w:rPr>
          <w:rFonts w:ascii="华文楷体" w:hAnsi="华文楷体" w:eastAsia="华文楷体"/>
          <w:sz w:val="24"/>
        </w:rPr>
        <w:t>指数均值</w:t>
      </w:r>
      <w:r>
        <w:rPr>
          <w:rFonts w:hint="eastAsia" w:ascii="华文楷体" w:hAnsi="华文楷体" w:eastAsia="华文楷体"/>
          <w:sz w:val="24"/>
        </w:rPr>
        <w:t>为</w:t>
      </w:r>
      <w:r>
        <w:rPr>
          <w:rFonts w:ascii="华文楷体" w:hAnsi="华文楷体" w:eastAsia="华文楷体"/>
          <w:sz w:val="24"/>
        </w:rPr>
        <w:t>73.03，</w:t>
      </w:r>
      <w:bookmarkStart w:id="85" w:name="OLE_LINK385"/>
      <w:r>
        <w:rPr>
          <w:rFonts w:hint="eastAsia" w:ascii="华文楷体" w:hAnsi="华文楷体" w:eastAsia="华文楷体"/>
          <w:sz w:val="24"/>
        </w:rPr>
        <w:t>均值</w:t>
      </w:r>
      <w:bookmarkEnd w:id="85"/>
      <w:r>
        <w:rPr>
          <w:rFonts w:hint="eastAsia" w:ascii="华文楷体" w:hAnsi="华文楷体" w:eastAsia="华文楷体"/>
          <w:sz w:val="24"/>
        </w:rPr>
        <w:t>增长85.0%</w:t>
      </w:r>
      <w:r>
        <w:rPr>
          <w:rFonts w:ascii="华文楷体" w:hAnsi="华文楷体" w:eastAsia="华文楷体"/>
          <w:sz w:val="24"/>
        </w:rPr>
        <w:t>。</w:t>
      </w:r>
      <w:r>
        <w:rPr>
          <w:rFonts w:hint="eastAsia" w:ascii="华文楷体" w:hAnsi="华文楷体" w:eastAsia="华文楷体"/>
          <w:sz w:val="24"/>
        </w:rPr>
        <w:t>嘉兴市在</w:t>
      </w:r>
      <w:r>
        <w:rPr>
          <w:rFonts w:ascii="华文楷体" w:hAnsi="华文楷体" w:eastAsia="华文楷体"/>
          <w:sz w:val="24"/>
        </w:rPr>
        <w:t>政策发布前（1-3月）绿色物流指数均值</w:t>
      </w:r>
      <w:r>
        <w:rPr>
          <w:rFonts w:hint="eastAsia" w:ascii="华文楷体" w:hAnsi="华文楷体" w:eastAsia="华文楷体"/>
          <w:sz w:val="24"/>
        </w:rPr>
        <w:t>为</w:t>
      </w:r>
      <w:r>
        <w:rPr>
          <w:rFonts w:ascii="华文楷体" w:hAnsi="华文楷体" w:eastAsia="华文楷体"/>
          <w:sz w:val="24"/>
        </w:rPr>
        <w:t>40.59</w:t>
      </w:r>
      <w:r>
        <w:rPr>
          <w:rFonts w:hint="eastAsia" w:ascii="华文楷体" w:hAnsi="华文楷体" w:eastAsia="华文楷体"/>
          <w:sz w:val="24"/>
        </w:rPr>
        <w:t>，</w:t>
      </w:r>
      <w:r>
        <w:rPr>
          <w:rFonts w:ascii="华文楷体" w:hAnsi="华文楷体" w:eastAsia="华文楷体"/>
          <w:sz w:val="24"/>
        </w:rPr>
        <w:t>政策发布后（4-12月）指数均值</w:t>
      </w:r>
      <w:r>
        <w:rPr>
          <w:rFonts w:hint="eastAsia" w:ascii="华文楷体" w:hAnsi="华文楷体" w:eastAsia="华文楷体"/>
          <w:sz w:val="24"/>
        </w:rPr>
        <w:t>为</w:t>
      </w:r>
      <w:r>
        <w:rPr>
          <w:rFonts w:ascii="华文楷体" w:hAnsi="华文楷体" w:eastAsia="华文楷体"/>
          <w:sz w:val="24"/>
        </w:rPr>
        <w:t>75.28，</w:t>
      </w:r>
      <w:r>
        <w:rPr>
          <w:rFonts w:hint="eastAsia" w:ascii="华文楷体" w:hAnsi="华文楷体" w:eastAsia="华文楷体"/>
          <w:sz w:val="24"/>
        </w:rPr>
        <w:t>均值增长85.5%</w:t>
      </w:r>
      <w:r>
        <w:rPr>
          <w:rFonts w:ascii="华文楷体" w:hAnsi="华文楷体" w:eastAsia="华文楷体"/>
          <w:sz w:val="24"/>
        </w:rPr>
        <w:t>。</w:t>
      </w:r>
      <w:r>
        <w:rPr>
          <w:rFonts w:hint="eastAsia" w:ascii="华文楷体" w:hAnsi="华文楷体" w:eastAsia="华文楷体"/>
          <w:sz w:val="24"/>
        </w:rPr>
        <w:t>温州市在政策发布前（1-3月）绿色物流指数均值为48.24；政策发布后（4-12月）指数均值为75.19，增长55.9%。</w:t>
      </w:r>
    </w:p>
    <w:bookmarkEnd w:id="72"/>
    <w:p w14:paraId="50D3749B">
      <w:pPr>
        <w:ind w:firstLine="480" w:firstLineChars="200"/>
        <w:jc w:val="both"/>
        <w:rPr>
          <w:rFonts w:hint="eastAsia" w:ascii="华文楷体" w:hAnsi="华文楷体" w:eastAsia="华文楷体"/>
          <w:sz w:val="24"/>
        </w:rPr>
      </w:pPr>
      <w:bookmarkStart w:id="86" w:name="OLE_LINK128"/>
      <w:r>
        <w:rPr>
          <w:rFonts w:hint="eastAsia" w:ascii="华文楷体" w:hAnsi="华文楷体" w:eastAsia="华文楷体"/>
          <w:sz w:val="24"/>
        </w:rPr>
        <w:t>碳减排贡献度</w:t>
      </w:r>
      <w:r>
        <w:rPr>
          <w:rFonts w:ascii="华文楷体" w:hAnsi="华文楷体" w:eastAsia="华文楷体"/>
          <w:sz w:val="24"/>
        </w:rPr>
        <w:t xml:space="preserve"> (吨CO</w:t>
      </w:r>
      <w:r>
        <w:rPr>
          <w:rFonts w:ascii="Cambria Math" w:hAnsi="Cambria Math" w:eastAsia="华文楷体" w:cs="Cambria Math"/>
          <w:sz w:val="24"/>
        </w:rPr>
        <w:t>₂</w:t>
      </w:r>
      <w:r>
        <w:rPr>
          <w:rFonts w:ascii="华文楷体" w:hAnsi="华文楷体" w:eastAsia="华文楷体"/>
          <w:sz w:val="24"/>
        </w:rPr>
        <w:t>)</w:t>
      </w:r>
      <w:bookmarkEnd w:id="86"/>
      <w:r>
        <w:rPr>
          <w:rFonts w:hint="eastAsia" w:ascii="华文楷体" w:hAnsi="华文楷体" w:eastAsia="华文楷体"/>
          <w:sz w:val="24"/>
        </w:rPr>
        <w:t>：</w:t>
      </w:r>
    </w:p>
    <w:p w14:paraId="5B2D3EAA">
      <w:pPr>
        <w:jc w:val="center"/>
        <w:rPr>
          <w:rFonts w:hint="eastAsia" w:ascii="华文楷体" w:hAnsi="华文楷体" w:eastAsia="华文楷体"/>
          <w:sz w:val="24"/>
        </w:rPr>
      </w:pPr>
      <w:bookmarkStart w:id="87" w:name="OLE_LINK78"/>
      <w:bookmarkStart w:id="88" w:name="OLE_LINK155"/>
      <w:bookmarkStart w:id="89" w:name="_Hlk218806733"/>
      <w:r>
        <w:rPr>
          <w:rFonts w:hint="eastAsia" w:ascii="华文楷体" w:hAnsi="华文楷体" w:eastAsia="华文楷体"/>
          <w:sz w:val="24"/>
        </w:rPr>
        <w:t>表2-8</w:t>
      </w:r>
      <w:bookmarkEnd w:id="87"/>
      <w:r>
        <w:rPr>
          <w:rFonts w:hint="eastAsia" w:ascii="华文楷体" w:hAnsi="华文楷体" w:eastAsia="华文楷体"/>
          <w:sz w:val="24"/>
        </w:rPr>
        <w:t xml:space="preserve"> </w:t>
      </w:r>
      <w:bookmarkStart w:id="90" w:name="OLE_LINK141"/>
      <w:r>
        <w:rPr>
          <w:rFonts w:hint="eastAsia" w:ascii="华文楷体" w:hAnsi="华文楷体" w:eastAsia="华文楷体"/>
          <w:sz w:val="24"/>
        </w:rPr>
        <w:t>2025年</w:t>
      </w:r>
      <w:bookmarkStart w:id="91" w:name="OLE_LINK124"/>
      <w:bookmarkStart w:id="92" w:name="OLE_LINK244"/>
      <w:r>
        <w:rPr>
          <w:rFonts w:hint="eastAsia" w:ascii="华文楷体" w:hAnsi="华文楷体" w:eastAsia="华文楷体"/>
          <w:sz w:val="24"/>
        </w:rPr>
        <w:t>各城市</w:t>
      </w:r>
      <w:bookmarkEnd w:id="91"/>
      <w:bookmarkStart w:id="93" w:name="OLE_LINK123"/>
      <w:r>
        <w:rPr>
          <w:rFonts w:hint="eastAsia" w:ascii="华文楷体" w:hAnsi="华文楷体" w:eastAsia="华文楷体"/>
          <w:sz w:val="24"/>
        </w:rPr>
        <w:t>碳减排</w:t>
      </w:r>
      <w:bookmarkEnd w:id="92"/>
      <w:r>
        <w:rPr>
          <w:rFonts w:hint="eastAsia" w:ascii="华文楷体" w:hAnsi="华文楷体" w:eastAsia="华文楷体"/>
          <w:sz w:val="24"/>
        </w:rPr>
        <w:t>贡献度</w:t>
      </w:r>
      <w:r>
        <w:rPr>
          <w:rFonts w:ascii="华文楷体" w:hAnsi="华文楷体" w:eastAsia="华文楷体"/>
          <w:sz w:val="24"/>
        </w:rPr>
        <w:t xml:space="preserve"> (</w:t>
      </w:r>
      <w:bookmarkStart w:id="94" w:name="OLE_LINK246"/>
      <w:r>
        <w:rPr>
          <w:rFonts w:ascii="华文楷体" w:hAnsi="华文楷体" w:eastAsia="华文楷体"/>
          <w:sz w:val="24"/>
        </w:rPr>
        <w:t>吨CO</w:t>
      </w:r>
      <w:r>
        <w:rPr>
          <w:rFonts w:ascii="Cambria Math" w:hAnsi="Cambria Math" w:eastAsia="华文楷体" w:cs="Cambria Math"/>
          <w:sz w:val="24"/>
        </w:rPr>
        <w:t>₂</w:t>
      </w:r>
      <w:bookmarkEnd w:id="94"/>
      <w:r>
        <w:rPr>
          <w:rFonts w:ascii="华文楷体" w:hAnsi="华文楷体" w:eastAsia="华文楷体"/>
          <w:sz w:val="24"/>
        </w:rPr>
        <w:t>)</w:t>
      </w:r>
      <w:bookmarkEnd w:id="88"/>
      <w:bookmarkEnd w:id="90"/>
      <w:bookmarkEnd w:id="93"/>
      <w:r>
        <w:rPr>
          <w:rFonts w:hint="eastAsia" w:ascii="华文楷体" w:hAnsi="华文楷体" w:eastAsia="华文楷体"/>
          <w:sz w:val="24"/>
        </w:rPr>
        <w:t>排名</w:t>
      </w:r>
    </w:p>
    <w:bookmarkEnd w:id="89"/>
    <w:tbl>
      <w:tblPr>
        <w:tblStyle w:val="48"/>
        <w:tblW w:w="83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82"/>
        <w:gridCol w:w="4182"/>
      </w:tblGrid>
      <w:tr w14:paraId="094E7BD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bottom w:val="single" w:color="7E7E7E" w:themeColor="text1" w:themeTint="80" w:sz="4" w:space="0"/>
              <w:insideH w:val="single" w:sz="4" w:space="0"/>
            </w:tcBorders>
            <w:noWrap/>
          </w:tcPr>
          <w:p w14:paraId="6B5F0BB2">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城市</w:t>
            </w:r>
          </w:p>
        </w:tc>
        <w:tc>
          <w:tcPr>
            <w:tcW w:w="4182" w:type="dxa"/>
            <w:tcBorders>
              <w:bottom w:val="single" w:color="7E7E7E" w:themeColor="text1" w:themeTint="80" w:sz="4" w:space="0"/>
              <w:insideH w:val="single" w:sz="4" w:space="0"/>
            </w:tcBorders>
            <w:noWrap/>
          </w:tcPr>
          <w:p w14:paraId="3850A81F">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2025年均值</w:t>
            </w:r>
          </w:p>
        </w:tc>
      </w:tr>
      <w:tr w14:paraId="01F930B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22F2958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w:t>
            </w:r>
          </w:p>
        </w:tc>
        <w:tc>
          <w:tcPr>
            <w:tcW w:w="4182" w:type="dxa"/>
            <w:tcBorders>
              <w:top w:val="single" w:color="7E7E7E" w:themeColor="text1" w:themeTint="80" w:sz="4" w:space="0"/>
              <w:bottom w:val="single" w:color="7E7E7E" w:themeColor="text1" w:themeTint="80" w:sz="4" w:space="0"/>
            </w:tcBorders>
            <w:noWrap/>
            <w:vAlign w:val="center"/>
          </w:tcPr>
          <w:p w14:paraId="4F5EC6B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w:t>
            </w:r>
          </w:p>
        </w:tc>
      </w:tr>
      <w:tr w14:paraId="2C9CD99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4FCDDF9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w:t>
            </w:r>
          </w:p>
        </w:tc>
        <w:tc>
          <w:tcPr>
            <w:tcW w:w="4182" w:type="dxa"/>
            <w:noWrap/>
            <w:vAlign w:val="center"/>
          </w:tcPr>
          <w:p w14:paraId="2806EC1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2</w:t>
            </w:r>
          </w:p>
        </w:tc>
      </w:tr>
      <w:tr w14:paraId="37061B4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18556E5F">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金华市</w:t>
            </w:r>
          </w:p>
        </w:tc>
        <w:tc>
          <w:tcPr>
            <w:tcW w:w="4182" w:type="dxa"/>
            <w:tcBorders>
              <w:top w:val="single" w:color="7E7E7E" w:themeColor="text1" w:themeTint="80" w:sz="4" w:space="0"/>
              <w:bottom w:val="single" w:color="7E7E7E" w:themeColor="text1" w:themeTint="80" w:sz="4" w:space="0"/>
            </w:tcBorders>
            <w:noWrap/>
            <w:vAlign w:val="center"/>
          </w:tcPr>
          <w:p w14:paraId="2078028A">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3</w:t>
            </w:r>
          </w:p>
        </w:tc>
      </w:tr>
      <w:tr w14:paraId="334064D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005281DD">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温州市</w:t>
            </w:r>
          </w:p>
        </w:tc>
        <w:tc>
          <w:tcPr>
            <w:tcW w:w="4182" w:type="dxa"/>
            <w:noWrap/>
            <w:vAlign w:val="center"/>
          </w:tcPr>
          <w:p w14:paraId="784CBEC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4</w:t>
            </w:r>
          </w:p>
        </w:tc>
      </w:tr>
      <w:tr w14:paraId="7262E4D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48694DF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宁波市</w:t>
            </w:r>
          </w:p>
        </w:tc>
        <w:tc>
          <w:tcPr>
            <w:tcW w:w="4182" w:type="dxa"/>
            <w:tcBorders>
              <w:top w:val="single" w:color="7E7E7E" w:themeColor="text1" w:themeTint="80" w:sz="4" w:space="0"/>
              <w:bottom w:val="single" w:color="7E7E7E" w:themeColor="text1" w:themeTint="80" w:sz="4" w:space="0"/>
            </w:tcBorders>
            <w:noWrap/>
            <w:vAlign w:val="center"/>
          </w:tcPr>
          <w:p w14:paraId="0AE0EFF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5</w:t>
            </w:r>
          </w:p>
        </w:tc>
      </w:tr>
      <w:tr w14:paraId="0A756B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56F3087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湖州市</w:t>
            </w:r>
          </w:p>
        </w:tc>
        <w:tc>
          <w:tcPr>
            <w:tcW w:w="4182" w:type="dxa"/>
            <w:noWrap/>
            <w:vAlign w:val="center"/>
          </w:tcPr>
          <w:p w14:paraId="4497B13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6</w:t>
            </w:r>
          </w:p>
        </w:tc>
      </w:tr>
      <w:tr w14:paraId="315AD25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55BC6B7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绍兴市</w:t>
            </w:r>
          </w:p>
        </w:tc>
        <w:tc>
          <w:tcPr>
            <w:tcW w:w="4182" w:type="dxa"/>
            <w:tcBorders>
              <w:top w:val="single" w:color="7E7E7E" w:themeColor="text1" w:themeTint="80" w:sz="4" w:space="0"/>
              <w:bottom w:val="single" w:color="7E7E7E" w:themeColor="text1" w:themeTint="80" w:sz="4" w:space="0"/>
            </w:tcBorders>
            <w:noWrap/>
            <w:vAlign w:val="center"/>
          </w:tcPr>
          <w:p w14:paraId="387310D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7</w:t>
            </w:r>
          </w:p>
        </w:tc>
      </w:tr>
      <w:tr w14:paraId="6C36BFC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044333B6">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w:t>
            </w:r>
          </w:p>
        </w:tc>
        <w:tc>
          <w:tcPr>
            <w:tcW w:w="4182" w:type="dxa"/>
            <w:tcBorders>
              <w:top w:val="single" w:color="7E7E7E" w:themeColor="text1" w:themeTint="80" w:sz="4" w:space="0"/>
              <w:bottom w:val="single" w:color="7E7E7E" w:themeColor="text1" w:themeTint="80" w:sz="4" w:space="0"/>
            </w:tcBorders>
            <w:noWrap/>
            <w:vAlign w:val="center"/>
          </w:tcPr>
          <w:p w14:paraId="21238F2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8</w:t>
            </w:r>
          </w:p>
        </w:tc>
      </w:tr>
      <w:tr w14:paraId="1BF388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0B68FB0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衢州市</w:t>
            </w:r>
          </w:p>
        </w:tc>
        <w:tc>
          <w:tcPr>
            <w:tcW w:w="4182" w:type="dxa"/>
            <w:tcBorders>
              <w:top w:val="single" w:color="7E7E7E" w:themeColor="text1" w:themeTint="80" w:sz="4" w:space="0"/>
              <w:bottom w:val="single" w:color="7E7E7E" w:themeColor="text1" w:themeTint="80" w:sz="4" w:space="0"/>
            </w:tcBorders>
            <w:noWrap/>
            <w:vAlign w:val="center"/>
          </w:tcPr>
          <w:p w14:paraId="557245FB">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9</w:t>
            </w:r>
          </w:p>
        </w:tc>
      </w:tr>
      <w:tr w14:paraId="130A845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68BEBF76">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w:t>
            </w:r>
          </w:p>
        </w:tc>
        <w:tc>
          <w:tcPr>
            <w:tcW w:w="4182" w:type="dxa"/>
            <w:noWrap/>
            <w:vAlign w:val="center"/>
          </w:tcPr>
          <w:p w14:paraId="78C4054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10</w:t>
            </w:r>
          </w:p>
        </w:tc>
      </w:tr>
      <w:tr w14:paraId="17C2DB3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15834BC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舟山市</w:t>
            </w:r>
          </w:p>
        </w:tc>
        <w:tc>
          <w:tcPr>
            <w:tcW w:w="4182" w:type="dxa"/>
            <w:tcBorders>
              <w:top w:val="single" w:color="7E7E7E" w:themeColor="text1" w:themeTint="80" w:sz="4" w:space="0"/>
              <w:bottom w:val="single" w:color="7E7E7E" w:themeColor="text1" w:themeTint="80" w:sz="4" w:space="0"/>
            </w:tcBorders>
            <w:noWrap/>
            <w:vAlign w:val="center"/>
          </w:tcPr>
          <w:p w14:paraId="68FEF326">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11</w:t>
            </w:r>
          </w:p>
        </w:tc>
      </w:tr>
    </w:tbl>
    <w:p w14:paraId="78A09470">
      <w:pPr>
        <w:jc w:val="both"/>
        <w:rPr>
          <w:rFonts w:hint="eastAsia" w:ascii="华文楷体" w:hAnsi="华文楷体" w:eastAsia="华文楷体"/>
          <w:sz w:val="21"/>
          <w:szCs w:val="21"/>
        </w:rPr>
      </w:pPr>
      <w:r>
        <w:rPr>
          <w:rFonts w:hint="eastAsia" w:ascii="华文楷体" w:hAnsi="华文楷体" w:eastAsia="华文楷体"/>
          <w:sz w:val="21"/>
          <w:szCs w:val="21"/>
        </w:rPr>
        <w:t>注1：</w:t>
      </w:r>
      <w:r>
        <w:rPr>
          <w:rFonts w:ascii="华文楷体" w:hAnsi="华文楷体" w:eastAsia="华文楷体"/>
          <w:sz w:val="21"/>
          <w:szCs w:val="21"/>
        </w:rPr>
        <w:t>燃油车平均每公里碳排放因子为200克/公里</w:t>
      </w:r>
      <w:r>
        <w:rPr>
          <w:rFonts w:hint="eastAsia" w:ascii="华文楷体" w:hAnsi="华文楷体" w:eastAsia="华文楷体"/>
          <w:sz w:val="21"/>
          <w:szCs w:val="21"/>
        </w:rPr>
        <w:t>引用自</w:t>
      </w:r>
      <w:r>
        <w:rPr>
          <w:rFonts w:ascii="华文楷体" w:hAnsi="华文楷体" w:eastAsia="华文楷体"/>
          <w:sz w:val="21"/>
          <w:szCs w:val="21"/>
        </w:rPr>
        <w:t>《中国汽车低碳行动计划研究报告（2023）》</w:t>
      </w:r>
      <w:r>
        <w:rPr>
          <w:rFonts w:hint="eastAsia" w:ascii="华文楷体" w:hAnsi="华文楷体" w:eastAsia="华文楷体"/>
          <w:sz w:val="21"/>
          <w:szCs w:val="21"/>
        </w:rPr>
        <w:t>；</w:t>
      </w:r>
      <w:r>
        <w:rPr>
          <w:rFonts w:ascii="华文楷体" w:hAnsi="华文楷体" w:eastAsia="华文楷体"/>
          <w:sz w:val="21"/>
          <w:szCs w:val="21"/>
        </w:rPr>
        <w:t>新能源车平均每公里碳排放因子为100克/公里</w:t>
      </w:r>
      <w:r>
        <w:rPr>
          <w:rFonts w:hint="eastAsia" w:ascii="华文楷体" w:hAnsi="华文楷体" w:eastAsia="华文楷体"/>
          <w:sz w:val="21"/>
          <w:szCs w:val="21"/>
        </w:rPr>
        <w:t>引用自</w:t>
      </w:r>
      <w:r>
        <w:rPr>
          <w:rFonts w:ascii="华文楷体" w:hAnsi="华文楷体" w:eastAsia="华文楷体"/>
          <w:sz w:val="21"/>
          <w:szCs w:val="21"/>
        </w:rPr>
        <w:t>国网山东省电力公司研究（2024年）</w:t>
      </w:r>
      <w:r>
        <w:rPr>
          <w:rFonts w:hint="eastAsia" w:ascii="华文楷体" w:hAnsi="华文楷体" w:eastAsia="华文楷体"/>
          <w:sz w:val="21"/>
          <w:szCs w:val="21"/>
        </w:rPr>
        <w:t>；</w:t>
      </w:r>
    </w:p>
    <w:p w14:paraId="4A6DF3E9">
      <w:pPr>
        <w:jc w:val="both"/>
        <w:rPr>
          <w:rFonts w:hint="eastAsia" w:ascii="华文楷体" w:hAnsi="华文楷体" w:eastAsia="华文楷体"/>
          <w:sz w:val="21"/>
          <w:szCs w:val="21"/>
        </w:rPr>
      </w:pPr>
      <w:r>
        <w:rPr>
          <w:rFonts w:hint="eastAsia" w:ascii="华文楷体" w:hAnsi="华文楷体" w:eastAsia="华文楷体"/>
          <w:sz w:val="21"/>
          <w:szCs w:val="21"/>
        </w:rPr>
        <w:t>注2：碳减排贡献度</w:t>
      </w:r>
      <w:r>
        <w:rPr>
          <w:rFonts w:ascii="华文楷体" w:hAnsi="华文楷体" w:eastAsia="华文楷体"/>
          <w:sz w:val="21"/>
          <w:szCs w:val="21"/>
        </w:rPr>
        <w:t xml:space="preserve"> (吨CO</w:t>
      </w:r>
      <w:r>
        <w:rPr>
          <w:rFonts w:ascii="Cambria Math" w:hAnsi="Cambria Math" w:eastAsia="华文楷体" w:cs="Cambria Math"/>
          <w:sz w:val="21"/>
          <w:szCs w:val="21"/>
        </w:rPr>
        <w:t>₂</w:t>
      </w:r>
      <w:r>
        <w:rPr>
          <w:rFonts w:ascii="华文楷体" w:hAnsi="华文楷体" w:eastAsia="华文楷体"/>
          <w:sz w:val="21"/>
          <w:szCs w:val="21"/>
        </w:rPr>
        <w:t>)=区域内所有新能源汽车总行驶里程×（燃油车平均每公里碳排放因子-新能源车平均每公里碳排放因子）</w:t>
      </w:r>
    </w:p>
    <w:p w14:paraId="76934647">
      <w:pPr>
        <w:ind w:firstLine="480" w:firstLineChars="200"/>
        <w:jc w:val="both"/>
        <w:rPr>
          <w:rFonts w:hint="eastAsia" w:ascii="华文楷体" w:hAnsi="华文楷体" w:eastAsia="华文楷体"/>
          <w:sz w:val="24"/>
        </w:rPr>
      </w:pPr>
      <w:r>
        <w:rPr>
          <w:rFonts w:hint="eastAsia" w:ascii="华文楷体" w:hAnsi="华文楷体" w:eastAsia="华文楷体"/>
          <w:sz w:val="24"/>
        </w:rPr>
        <w:t>表2-8显示2025年浙江省各城市碳减排贡献度呈现显著梯度分化，杭州市领跑全省。杭州市</w:t>
      </w:r>
      <w:r>
        <w:rPr>
          <w:rFonts w:ascii="华文楷体" w:hAnsi="华文楷体" w:eastAsia="华文楷体"/>
          <w:sz w:val="24"/>
        </w:rPr>
        <w:t>依托浙江省2025年老旧营运货车报废更新补贴政策</w:t>
      </w:r>
      <w:r>
        <w:rPr>
          <w:rFonts w:hint="eastAsia" w:ascii="华文楷体" w:hAnsi="华文楷体" w:eastAsia="华文楷体"/>
          <w:sz w:val="24"/>
        </w:rPr>
        <w:t>以及《2025年杭州市重载营运货车新能源化补助申请公告》政策</w:t>
      </w:r>
      <w:r>
        <w:rPr>
          <w:rFonts w:ascii="华文楷体" w:hAnsi="华文楷体" w:eastAsia="华文楷体"/>
          <w:sz w:val="24"/>
        </w:rPr>
        <w:t>，</w:t>
      </w:r>
      <w:bookmarkStart w:id="95" w:name="OLE_LINK391"/>
      <w:r>
        <w:rPr>
          <w:rFonts w:ascii="华文楷体" w:hAnsi="华文楷体" w:eastAsia="华文楷体"/>
          <w:sz w:val="24"/>
        </w:rPr>
        <w:t>新能源货车更新</w:t>
      </w:r>
      <w:bookmarkEnd w:id="95"/>
      <w:r>
        <w:rPr>
          <w:rFonts w:hint="eastAsia" w:ascii="华文楷体" w:hAnsi="华文楷体" w:eastAsia="华文楷体"/>
          <w:sz w:val="24"/>
        </w:rPr>
        <w:t>较快</w:t>
      </w:r>
      <w:r>
        <w:rPr>
          <w:rFonts w:ascii="华文楷体" w:hAnsi="华文楷体" w:eastAsia="华文楷体"/>
          <w:sz w:val="24"/>
        </w:rPr>
        <w:t>，碳减排贡献度领跑全省。</w:t>
      </w:r>
      <w:r>
        <w:rPr>
          <w:rFonts w:hint="eastAsia" w:ascii="华文楷体" w:hAnsi="华文楷体" w:eastAsia="华文楷体"/>
          <w:sz w:val="24"/>
        </w:rPr>
        <w:t>金华市、宁波市</w:t>
      </w:r>
      <w:r>
        <w:rPr>
          <w:rFonts w:ascii="华文楷体" w:hAnsi="华文楷体" w:eastAsia="华文楷体"/>
          <w:sz w:val="24"/>
        </w:rPr>
        <w:t>依托甬金高速电动集卡运输线路，</w:t>
      </w:r>
      <w:r>
        <w:rPr>
          <w:rFonts w:hint="eastAsia" w:ascii="华文楷体" w:hAnsi="华文楷体" w:eastAsia="华文楷体"/>
          <w:sz w:val="24"/>
        </w:rPr>
        <w:t>项目一期在沿线关键节点布局10座充换电站及配套大型停车场，可满足首批400多辆新能源集装箱卡车的补能需求，</w:t>
      </w:r>
      <w:r>
        <w:rPr>
          <w:rFonts w:ascii="华文楷体" w:hAnsi="华文楷体" w:eastAsia="华文楷体"/>
          <w:sz w:val="24"/>
        </w:rPr>
        <w:t>新能源重卡</w:t>
      </w:r>
      <w:r>
        <w:rPr>
          <w:rFonts w:hint="eastAsia" w:ascii="华文楷体" w:hAnsi="华文楷体" w:eastAsia="华文楷体"/>
          <w:sz w:val="24"/>
        </w:rPr>
        <w:t>“降碳降本”</w:t>
      </w:r>
      <w:r>
        <w:rPr>
          <w:rStyle w:val="24"/>
          <w:rFonts w:hint="eastAsia" w:ascii="华文楷体" w:hAnsi="华文楷体" w:eastAsia="华文楷体"/>
          <w:sz w:val="24"/>
        </w:rPr>
        <w:t xml:space="preserve"> </w:t>
      </w:r>
      <w:r>
        <w:rPr>
          <w:rStyle w:val="24"/>
          <w:rFonts w:hint="eastAsia" w:ascii="华文楷体" w:hAnsi="华文楷体" w:eastAsia="华文楷体"/>
          <w:sz w:val="24"/>
        </w:rPr>
        <w:footnoteReference w:id="16"/>
      </w:r>
      <w:r>
        <w:rPr>
          <w:rFonts w:hint="eastAsia" w:ascii="华文楷体" w:hAnsi="华文楷体" w:eastAsia="华文楷体"/>
          <w:sz w:val="24"/>
        </w:rPr>
        <w:t>，</w:t>
      </w:r>
      <w:r>
        <w:rPr>
          <w:rFonts w:ascii="华文楷体" w:hAnsi="华文楷体" w:eastAsia="华文楷体"/>
          <w:sz w:val="24"/>
        </w:rPr>
        <w:t>拉动碳减排贡献度提升。</w:t>
      </w:r>
      <w:r>
        <w:rPr>
          <w:rFonts w:hint="eastAsia" w:ascii="华文楷体" w:hAnsi="华文楷体" w:eastAsia="华文楷体"/>
          <w:sz w:val="24"/>
        </w:rPr>
        <w:t>绍兴市的嵊州服务区重卡换电站于2025年8月1日投运</w:t>
      </w:r>
      <w:bookmarkStart w:id="96" w:name="OLE_LINK401"/>
      <w:r>
        <w:rPr>
          <w:rStyle w:val="24"/>
          <w:rFonts w:hint="eastAsia" w:ascii="华文楷体" w:hAnsi="华文楷体" w:eastAsia="华文楷体"/>
          <w:sz w:val="24"/>
        </w:rPr>
        <w:footnoteReference w:id="17"/>
      </w:r>
      <w:bookmarkEnd w:id="96"/>
      <w:r>
        <w:rPr>
          <w:rFonts w:hint="eastAsia" w:ascii="华文楷体" w:hAnsi="华文楷体" w:eastAsia="华文楷体"/>
          <w:sz w:val="24"/>
        </w:rPr>
        <w:t>，运营半年减碳千吨。</w:t>
      </w:r>
    </w:p>
    <w:p w14:paraId="3565C113">
      <w:pPr>
        <w:jc w:val="center"/>
        <w:rPr>
          <w:rFonts w:hint="eastAsia" w:ascii="华文楷体" w:hAnsi="华文楷体" w:eastAsia="华文楷体"/>
          <w:sz w:val="24"/>
        </w:rPr>
      </w:pPr>
      <w:bookmarkStart w:id="97" w:name="OLE_LINK131"/>
      <w:bookmarkStart w:id="98" w:name="OLE_LINK126"/>
      <w:r>
        <w:rPr>
          <w:rFonts w:hint="eastAsia" w:ascii="华文楷体" w:hAnsi="华文楷体" w:eastAsia="华文楷体"/>
          <w:sz w:val="24"/>
        </w:rPr>
        <w:t>表2-9</w:t>
      </w:r>
      <w:bookmarkEnd w:id="97"/>
      <w:r>
        <w:rPr>
          <w:rFonts w:hint="eastAsia" w:ascii="华文楷体" w:hAnsi="华文楷体" w:eastAsia="华文楷体"/>
          <w:sz w:val="24"/>
        </w:rPr>
        <w:t xml:space="preserve"> </w:t>
      </w:r>
      <w:bookmarkStart w:id="99" w:name="OLE_LINK214"/>
      <w:r>
        <w:rPr>
          <w:rFonts w:hint="eastAsia" w:ascii="华文楷体" w:hAnsi="华文楷体" w:eastAsia="华文楷体"/>
          <w:sz w:val="24"/>
        </w:rPr>
        <w:t>2025年各城市</w:t>
      </w:r>
      <w:bookmarkStart w:id="100" w:name="OLE_LINK132"/>
      <w:r>
        <w:rPr>
          <w:rFonts w:hint="eastAsia" w:ascii="华文楷体" w:hAnsi="华文楷体" w:eastAsia="华文楷体"/>
          <w:sz w:val="24"/>
        </w:rPr>
        <w:t>碳减排贡献度</w:t>
      </w:r>
      <w:bookmarkEnd w:id="100"/>
      <w:r>
        <w:rPr>
          <w:rFonts w:ascii="华文楷体" w:hAnsi="华文楷体" w:eastAsia="华文楷体"/>
          <w:sz w:val="24"/>
        </w:rPr>
        <w:t xml:space="preserve"> (</w:t>
      </w:r>
      <w:bookmarkStart w:id="101" w:name="OLE_LINK138"/>
      <w:r>
        <w:rPr>
          <w:rFonts w:ascii="华文楷体" w:hAnsi="华文楷体" w:eastAsia="华文楷体"/>
          <w:sz w:val="24"/>
        </w:rPr>
        <w:t>吨CO</w:t>
      </w:r>
      <w:r>
        <w:rPr>
          <w:rFonts w:ascii="Cambria Math" w:hAnsi="Cambria Math" w:eastAsia="华文楷体" w:cs="Cambria Math"/>
          <w:sz w:val="24"/>
        </w:rPr>
        <w:t>₂</w:t>
      </w:r>
      <w:bookmarkEnd w:id="101"/>
      <w:r>
        <w:rPr>
          <w:rFonts w:ascii="华文楷体" w:hAnsi="华文楷体" w:eastAsia="华文楷体"/>
          <w:sz w:val="24"/>
        </w:rPr>
        <w:t>)</w:t>
      </w:r>
      <w:bookmarkEnd w:id="99"/>
    </w:p>
    <w:tbl>
      <w:tblPr>
        <w:tblStyle w:val="48"/>
        <w:tblW w:w="8306"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622"/>
        <w:gridCol w:w="622"/>
        <w:gridCol w:w="622"/>
        <w:gridCol w:w="621"/>
        <w:gridCol w:w="621"/>
        <w:gridCol w:w="621"/>
        <w:gridCol w:w="621"/>
        <w:gridCol w:w="621"/>
        <w:gridCol w:w="621"/>
        <w:gridCol w:w="621"/>
        <w:gridCol w:w="621"/>
        <w:gridCol w:w="621"/>
      </w:tblGrid>
      <w:tr w14:paraId="5435FE0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851" w:type="dxa"/>
            <w:tcBorders>
              <w:bottom w:val="single" w:color="7E7E7E" w:themeColor="text1" w:themeTint="80" w:sz="4" w:space="0"/>
              <w:insideH w:val="single" w:sz="4" w:space="0"/>
            </w:tcBorders>
            <w:noWrap/>
          </w:tcPr>
          <w:p w14:paraId="1BACC182">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城市</w:t>
            </w:r>
          </w:p>
        </w:tc>
        <w:tc>
          <w:tcPr>
            <w:tcW w:w="622" w:type="dxa"/>
            <w:tcBorders>
              <w:bottom w:val="single" w:color="7E7E7E" w:themeColor="text1" w:themeTint="80" w:sz="4" w:space="0"/>
              <w:insideH w:val="single" w:sz="4" w:space="0"/>
            </w:tcBorders>
            <w:noWrap/>
          </w:tcPr>
          <w:p w14:paraId="4D885644">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1月</w:t>
            </w:r>
          </w:p>
        </w:tc>
        <w:tc>
          <w:tcPr>
            <w:tcW w:w="622" w:type="dxa"/>
            <w:tcBorders>
              <w:bottom w:val="single" w:color="7E7E7E" w:themeColor="text1" w:themeTint="80" w:sz="4" w:space="0"/>
              <w:insideH w:val="single" w:sz="4" w:space="0"/>
            </w:tcBorders>
            <w:noWrap/>
          </w:tcPr>
          <w:p w14:paraId="026257D5">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2月</w:t>
            </w:r>
          </w:p>
        </w:tc>
        <w:tc>
          <w:tcPr>
            <w:tcW w:w="622" w:type="dxa"/>
            <w:tcBorders>
              <w:bottom w:val="single" w:color="7E7E7E" w:themeColor="text1" w:themeTint="80" w:sz="4" w:space="0"/>
              <w:insideH w:val="single" w:sz="4" w:space="0"/>
            </w:tcBorders>
            <w:noWrap/>
          </w:tcPr>
          <w:p w14:paraId="11D033CA">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3月</w:t>
            </w:r>
          </w:p>
        </w:tc>
        <w:tc>
          <w:tcPr>
            <w:tcW w:w="621" w:type="dxa"/>
            <w:tcBorders>
              <w:bottom w:val="single" w:color="7E7E7E" w:themeColor="text1" w:themeTint="80" w:sz="4" w:space="0"/>
              <w:insideH w:val="single" w:sz="4" w:space="0"/>
            </w:tcBorders>
            <w:noWrap/>
          </w:tcPr>
          <w:p w14:paraId="7B5F82B4">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4月</w:t>
            </w:r>
          </w:p>
        </w:tc>
        <w:tc>
          <w:tcPr>
            <w:tcW w:w="621" w:type="dxa"/>
            <w:tcBorders>
              <w:bottom w:val="single" w:color="7E7E7E" w:themeColor="text1" w:themeTint="80" w:sz="4" w:space="0"/>
              <w:insideH w:val="single" w:sz="4" w:space="0"/>
            </w:tcBorders>
            <w:noWrap/>
          </w:tcPr>
          <w:p w14:paraId="1A263EAF">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5月</w:t>
            </w:r>
          </w:p>
        </w:tc>
        <w:tc>
          <w:tcPr>
            <w:tcW w:w="621" w:type="dxa"/>
            <w:tcBorders>
              <w:bottom w:val="single" w:color="7E7E7E" w:themeColor="text1" w:themeTint="80" w:sz="4" w:space="0"/>
              <w:insideH w:val="single" w:sz="4" w:space="0"/>
            </w:tcBorders>
            <w:noWrap/>
          </w:tcPr>
          <w:p w14:paraId="483F8CD3">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6月</w:t>
            </w:r>
          </w:p>
        </w:tc>
        <w:tc>
          <w:tcPr>
            <w:tcW w:w="621" w:type="dxa"/>
            <w:tcBorders>
              <w:bottom w:val="single" w:color="7E7E7E" w:themeColor="text1" w:themeTint="80" w:sz="4" w:space="0"/>
              <w:insideH w:val="single" w:sz="4" w:space="0"/>
            </w:tcBorders>
            <w:noWrap/>
          </w:tcPr>
          <w:p w14:paraId="490A5EE8">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7月</w:t>
            </w:r>
          </w:p>
        </w:tc>
        <w:tc>
          <w:tcPr>
            <w:tcW w:w="621" w:type="dxa"/>
            <w:tcBorders>
              <w:bottom w:val="single" w:color="7E7E7E" w:themeColor="text1" w:themeTint="80" w:sz="4" w:space="0"/>
              <w:insideH w:val="single" w:sz="4" w:space="0"/>
            </w:tcBorders>
            <w:noWrap/>
          </w:tcPr>
          <w:p w14:paraId="2DE7C578">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8月</w:t>
            </w:r>
          </w:p>
        </w:tc>
        <w:tc>
          <w:tcPr>
            <w:tcW w:w="621" w:type="dxa"/>
            <w:tcBorders>
              <w:bottom w:val="single" w:color="7E7E7E" w:themeColor="text1" w:themeTint="80" w:sz="4" w:space="0"/>
              <w:insideH w:val="single" w:sz="4" w:space="0"/>
            </w:tcBorders>
            <w:noWrap/>
          </w:tcPr>
          <w:p w14:paraId="2F8F689B">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9月</w:t>
            </w:r>
          </w:p>
        </w:tc>
        <w:tc>
          <w:tcPr>
            <w:tcW w:w="621" w:type="dxa"/>
            <w:tcBorders>
              <w:bottom w:val="single" w:color="7E7E7E" w:themeColor="text1" w:themeTint="80" w:sz="4" w:space="0"/>
              <w:insideH w:val="single" w:sz="4" w:space="0"/>
            </w:tcBorders>
            <w:noWrap/>
          </w:tcPr>
          <w:p w14:paraId="2BACDE3F">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10月</w:t>
            </w:r>
          </w:p>
        </w:tc>
        <w:tc>
          <w:tcPr>
            <w:tcW w:w="621" w:type="dxa"/>
            <w:tcBorders>
              <w:bottom w:val="single" w:color="7E7E7E" w:themeColor="text1" w:themeTint="80" w:sz="4" w:space="0"/>
              <w:insideH w:val="single" w:sz="4" w:space="0"/>
            </w:tcBorders>
            <w:noWrap/>
          </w:tcPr>
          <w:p w14:paraId="21D6EBDC">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11月</w:t>
            </w:r>
          </w:p>
        </w:tc>
        <w:tc>
          <w:tcPr>
            <w:tcW w:w="621" w:type="dxa"/>
            <w:tcBorders>
              <w:bottom w:val="single" w:color="7E7E7E" w:themeColor="text1" w:themeTint="80" w:sz="4" w:space="0"/>
              <w:insideH w:val="single" w:sz="4" w:space="0"/>
            </w:tcBorders>
            <w:noWrap/>
          </w:tcPr>
          <w:p w14:paraId="4D2309A6">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12月</w:t>
            </w:r>
          </w:p>
        </w:tc>
      </w:tr>
      <w:tr w14:paraId="0701ABC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tcBorders>
              <w:top w:val="single" w:color="7E7E7E" w:themeColor="text1" w:themeTint="80" w:sz="4" w:space="0"/>
              <w:bottom w:val="single" w:color="7E7E7E" w:themeColor="text1" w:themeTint="80" w:sz="4" w:space="0"/>
            </w:tcBorders>
            <w:noWrap/>
            <w:vAlign w:val="bottom"/>
          </w:tcPr>
          <w:p w14:paraId="365EE20E">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w:t>
            </w:r>
          </w:p>
        </w:tc>
        <w:tc>
          <w:tcPr>
            <w:tcW w:w="622" w:type="dxa"/>
            <w:tcBorders>
              <w:top w:val="single" w:color="7E7E7E" w:themeColor="text1" w:themeTint="80" w:sz="4" w:space="0"/>
              <w:bottom w:val="single" w:color="7E7E7E" w:themeColor="text1" w:themeTint="80" w:sz="4" w:space="0"/>
            </w:tcBorders>
            <w:noWrap/>
            <w:vAlign w:val="bottom"/>
          </w:tcPr>
          <w:p w14:paraId="7112FD9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382.64 </w:t>
            </w:r>
          </w:p>
        </w:tc>
        <w:tc>
          <w:tcPr>
            <w:tcW w:w="622" w:type="dxa"/>
            <w:tcBorders>
              <w:top w:val="single" w:color="7E7E7E" w:themeColor="text1" w:themeTint="80" w:sz="4" w:space="0"/>
              <w:bottom w:val="single" w:color="7E7E7E" w:themeColor="text1" w:themeTint="80" w:sz="4" w:space="0"/>
            </w:tcBorders>
            <w:noWrap/>
            <w:vAlign w:val="bottom"/>
          </w:tcPr>
          <w:p w14:paraId="00966C4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349.96 </w:t>
            </w:r>
          </w:p>
        </w:tc>
        <w:tc>
          <w:tcPr>
            <w:tcW w:w="622" w:type="dxa"/>
            <w:tcBorders>
              <w:top w:val="single" w:color="7E7E7E" w:themeColor="text1" w:themeTint="80" w:sz="4" w:space="0"/>
              <w:bottom w:val="single" w:color="7E7E7E" w:themeColor="text1" w:themeTint="80" w:sz="4" w:space="0"/>
            </w:tcBorders>
            <w:noWrap/>
            <w:vAlign w:val="bottom"/>
          </w:tcPr>
          <w:p w14:paraId="25C4E07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368.36 </w:t>
            </w:r>
          </w:p>
        </w:tc>
        <w:tc>
          <w:tcPr>
            <w:tcW w:w="621" w:type="dxa"/>
            <w:tcBorders>
              <w:top w:val="single" w:color="7E7E7E" w:themeColor="text1" w:themeTint="80" w:sz="4" w:space="0"/>
              <w:bottom w:val="single" w:color="7E7E7E" w:themeColor="text1" w:themeTint="80" w:sz="4" w:space="0"/>
            </w:tcBorders>
            <w:noWrap/>
            <w:vAlign w:val="bottom"/>
          </w:tcPr>
          <w:p w14:paraId="0CE34A8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393.43 </w:t>
            </w:r>
          </w:p>
        </w:tc>
        <w:tc>
          <w:tcPr>
            <w:tcW w:w="621" w:type="dxa"/>
            <w:tcBorders>
              <w:top w:val="single" w:color="7E7E7E" w:themeColor="text1" w:themeTint="80" w:sz="4" w:space="0"/>
              <w:bottom w:val="single" w:color="7E7E7E" w:themeColor="text1" w:themeTint="80" w:sz="4" w:space="0"/>
            </w:tcBorders>
            <w:noWrap/>
            <w:vAlign w:val="bottom"/>
          </w:tcPr>
          <w:p w14:paraId="06AF35F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410.18 </w:t>
            </w:r>
          </w:p>
        </w:tc>
        <w:tc>
          <w:tcPr>
            <w:tcW w:w="621" w:type="dxa"/>
            <w:tcBorders>
              <w:top w:val="single" w:color="7E7E7E" w:themeColor="text1" w:themeTint="80" w:sz="4" w:space="0"/>
              <w:bottom w:val="single" w:color="7E7E7E" w:themeColor="text1" w:themeTint="80" w:sz="4" w:space="0"/>
            </w:tcBorders>
            <w:noWrap/>
            <w:vAlign w:val="bottom"/>
          </w:tcPr>
          <w:p w14:paraId="0AB4F0F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410.44 </w:t>
            </w:r>
          </w:p>
        </w:tc>
        <w:tc>
          <w:tcPr>
            <w:tcW w:w="621" w:type="dxa"/>
            <w:tcBorders>
              <w:top w:val="single" w:color="7E7E7E" w:themeColor="text1" w:themeTint="80" w:sz="4" w:space="0"/>
              <w:bottom w:val="single" w:color="7E7E7E" w:themeColor="text1" w:themeTint="80" w:sz="4" w:space="0"/>
            </w:tcBorders>
            <w:noWrap/>
            <w:vAlign w:val="bottom"/>
          </w:tcPr>
          <w:p w14:paraId="5A8C515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437.33 </w:t>
            </w:r>
          </w:p>
        </w:tc>
        <w:tc>
          <w:tcPr>
            <w:tcW w:w="621" w:type="dxa"/>
            <w:tcBorders>
              <w:top w:val="single" w:color="7E7E7E" w:themeColor="text1" w:themeTint="80" w:sz="4" w:space="0"/>
              <w:bottom w:val="single" w:color="7E7E7E" w:themeColor="text1" w:themeTint="80" w:sz="4" w:space="0"/>
            </w:tcBorders>
            <w:noWrap/>
            <w:vAlign w:val="bottom"/>
          </w:tcPr>
          <w:p w14:paraId="541840A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504.63 </w:t>
            </w:r>
          </w:p>
        </w:tc>
        <w:tc>
          <w:tcPr>
            <w:tcW w:w="621" w:type="dxa"/>
            <w:tcBorders>
              <w:top w:val="single" w:color="7E7E7E" w:themeColor="text1" w:themeTint="80" w:sz="4" w:space="0"/>
              <w:bottom w:val="single" w:color="7E7E7E" w:themeColor="text1" w:themeTint="80" w:sz="4" w:space="0"/>
            </w:tcBorders>
            <w:noWrap/>
            <w:vAlign w:val="bottom"/>
          </w:tcPr>
          <w:p w14:paraId="4174BC2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437.06 </w:t>
            </w:r>
          </w:p>
        </w:tc>
        <w:tc>
          <w:tcPr>
            <w:tcW w:w="621" w:type="dxa"/>
            <w:tcBorders>
              <w:top w:val="single" w:color="7E7E7E" w:themeColor="text1" w:themeTint="80" w:sz="4" w:space="0"/>
              <w:bottom w:val="single" w:color="7E7E7E" w:themeColor="text1" w:themeTint="80" w:sz="4" w:space="0"/>
            </w:tcBorders>
            <w:noWrap/>
            <w:vAlign w:val="bottom"/>
          </w:tcPr>
          <w:p w14:paraId="3663FA1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446.08 </w:t>
            </w:r>
          </w:p>
        </w:tc>
        <w:tc>
          <w:tcPr>
            <w:tcW w:w="621" w:type="dxa"/>
            <w:tcBorders>
              <w:top w:val="single" w:color="7E7E7E" w:themeColor="text1" w:themeTint="80" w:sz="4" w:space="0"/>
              <w:bottom w:val="single" w:color="7E7E7E" w:themeColor="text1" w:themeTint="80" w:sz="4" w:space="0"/>
            </w:tcBorders>
            <w:noWrap/>
            <w:vAlign w:val="bottom"/>
          </w:tcPr>
          <w:p w14:paraId="347D315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496.20 </w:t>
            </w:r>
          </w:p>
        </w:tc>
        <w:tc>
          <w:tcPr>
            <w:tcW w:w="621" w:type="dxa"/>
            <w:tcBorders>
              <w:top w:val="single" w:color="7E7E7E" w:themeColor="text1" w:themeTint="80" w:sz="4" w:space="0"/>
              <w:bottom w:val="single" w:color="7E7E7E" w:themeColor="text1" w:themeTint="80" w:sz="4" w:space="0"/>
            </w:tcBorders>
            <w:noWrap/>
            <w:vAlign w:val="bottom"/>
          </w:tcPr>
          <w:p w14:paraId="41DAEEA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465.87 </w:t>
            </w:r>
          </w:p>
        </w:tc>
      </w:tr>
      <w:tr w14:paraId="7C6188D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noWrap/>
            <w:vAlign w:val="bottom"/>
          </w:tcPr>
          <w:p w14:paraId="662691A1">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宁波市</w:t>
            </w:r>
          </w:p>
        </w:tc>
        <w:tc>
          <w:tcPr>
            <w:tcW w:w="622" w:type="dxa"/>
            <w:noWrap/>
            <w:vAlign w:val="bottom"/>
          </w:tcPr>
          <w:p w14:paraId="70ADC61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134.36 </w:t>
            </w:r>
          </w:p>
        </w:tc>
        <w:tc>
          <w:tcPr>
            <w:tcW w:w="622" w:type="dxa"/>
            <w:noWrap/>
            <w:vAlign w:val="bottom"/>
          </w:tcPr>
          <w:p w14:paraId="55967E0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123.96 </w:t>
            </w:r>
          </w:p>
        </w:tc>
        <w:tc>
          <w:tcPr>
            <w:tcW w:w="622" w:type="dxa"/>
            <w:noWrap/>
            <w:vAlign w:val="bottom"/>
          </w:tcPr>
          <w:p w14:paraId="096DF2F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128.27 </w:t>
            </w:r>
          </w:p>
        </w:tc>
        <w:tc>
          <w:tcPr>
            <w:tcW w:w="621" w:type="dxa"/>
            <w:noWrap/>
            <w:vAlign w:val="bottom"/>
          </w:tcPr>
          <w:p w14:paraId="5A0EC37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136.40 </w:t>
            </w:r>
          </w:p>
        </w:tc>
        <w:tc>
          <w:tcPr>
            <w:tcW w:w="621" w:type="dxa"/>
            <w:noWrap/>
            <w:vAlign w:val="bottom"/>
          </w:tcPr>
          <w:p w14:paraId="036CE4D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145.39 </w:t>
            </w:r>
          </w:p>
        </w:tc>
        <w:tc>
          <w:tcPr>
            <w:tcW w:w="621" w:type="dxa"/>
            <w:noWrap/>
            <w:vAlign w:val="bottom"/>
          </w:tcPr>
          <w:p w14:paraId="0393488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145.04 </w:t>
            </w:r>
          </w:p>
        </w:tc>
        <w:tc>
          <w:tcPr>
            <w:tcW w:w="621" w:type="dxa"/>
            <w:noWrap/>
            <w:vAlign w:val="bottom"/>
          </w:tcPr>
          <w:p w14:paraId="4451F64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149.72 </w:t>
            </w:r>
          </w:p>
        </w:tc>
        <w:tc>
          <w:tcPr>
            <w:tcW w:w="621" w:type="dxa"/>
            <w:noWrap/>
            <w:vAlign w:val="bottom"/>
          </w:tcPr>
          <w:p w14:paraId="1762B59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173.64 </w:t>
            </w:r>
          </w:p>
        </w:tc>
        <w:tc>
          <w:tcPr>
            <w:tcW w:w="621" w:type="dxa"/>
            <w:noWrap/>
            <w:vAlign w:val="bottom"/>
          </w:tcPr>
          <w:p w14:paraId="40DD8F5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152.09 </w:t>
            </w:r>
          </w:p>
        </w:tc>
        <w:tc>
          <w:tcPr>
            <w:tcW w:w="621" w:type="dxa"/>
            <w:noWrap/>
            <w:vAlign w:val="bottom"/>
          </w:tcPr>
          <w:p w14:paraId="0ECFDD0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156.10 </w:t>
            </w:r>
          </w:p>
        </w:tc>
        <w:tc>
          <w:tcPr>
            <w:tcW w:w="621" w:type="dxa"/>
            <w:noWrap/>
            <w:vAlign w:val="bottom"/>
          </w:tcPr>
          <w:p w14:paraId="575E739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180.78 </w:t>
            </w:r>
          </w:p>
        </w:tc>
        <w:tc>
          <w:tcPr>
            <w:tcW w:w="621" w:type="dxa"/>
            <w:noWrap/>
            <w:vAlign w:val="bottom"/>
          </w:tcPr>
          <w:p w14:paraId="5D86185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163.20 </w:t>
            </w:r>
          </w:p>
        </w:tc>
      </w:tr>
      <w:tr w14:paraId="3ACD1B5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tcBorders>
              <w:top w:val="single" w:color="7E7E7E" w:themeColor="text1" w:themeTint="80" w:sz="4" w:space="0"/>
              <w:bottom w:val="single" w:color="7E7E7E" w:themeColor="text1" w:themeTint="80" w:sz="4" w:space="0"/>
            </w:tcBorders>
            <w:noWrap/>
            <w:vAlign w:val="bottom"/>
          </w:tcPr>
          <w:p w14:paraId="44CA9C6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温州市</w:t>
            </w:r>
          </w:p>
        </w:tc>
        <w:tc>
          <w:tcPr>
            <w:tcW w:w="622" w:type="dxa"/>
            <w:tcBorders>
              <w:top w:val="single" w:color="7E7E7E" w:themeColor="text1" w:themeTint="80" w:sz="4" w:space="0"/>
              <w:bottom w:val="single" w:color="7E7E7E" w:themeColor="text1" w:themeTint="80" w:sz="4" w:space="0"/>
            </w:tcBorders>
            <w:noWrap/>
            <w:vAlign w:val="bottom"/>
          </w:tcPr>
          <w:p w14:paraId="2BDE292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51.59 </w:t>
            </w:r>
          </w:p>
        </w:tc>
        <w:tc>
          <w:tcPr>
            <w:tcW w:w="622" w:type="dxa"/>
            <w:tcBorders>
              <w:top w:val="single" w:color="7E7E7E" w:themeColor="text1" w:themeTint="80" w:sz="4" w:space="0"/>
              <w:bottom w:val="single" w:color="7E7E7E" w:themeColor="text1" w:themeTint="80" w:sz="4" w:space="0"/>
            </w:tcBorders>
            <w:noWrap/>
            <w:vAlign w:val="bottom"/>
          </w:tcPr>
          <w:p w14:paraId="04DD96F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44.30 </w:t>
            </w:r>
          </w:p>
        </w:tc>
        <w:tc>
          <w:tcPr>
            <w:tcW w:w="622" w:type="dxa"/>
            <w:tcBorders>
              <w:top w:val="single" w:color="7E7E7E" w:themeColor="text1" w:themeTint="80" w:sz="4" w:space="0"/>
              <w:bottom w:val="single" w:color="7E7E7E" w:themeColor="text1" w:themeTint="80" w:sz="4" w:space="0"/>
            </w:tcBorders>
            <w:noWrap/>
            <w:vAlign w:val="bottom"/>
          </w:tcPr>
          <w:p w14:paraId="43F4198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39.68 </w:t>
            </w:r>
          </w:p>
        </w:tc>
        <w:tc>
          <w:tcPr>
            <w:tcW w:w="621" w:type="dxa"/>
            <w:tcBorders>
              <w:top w:val="single" w:color="7E7E7E" w:themeColor="text1" w:themeTint="80" w:sz="4" w:space="0"/>
              <w:bottom w:val="single" w:color="7E7E7E" w:themeColor="text1" w:themeTint="80" w:sz="4" w:space="0"/>
            </w:tcBorders>
            <w:noWrap/>
            <w:vAlign w:val="bottom"/>
          </w:tcPr>
          <w:p w14:paraId="06842D8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42.69 </w:t>
            </w:r>
          </w:p>
        </w:tc>
        <w:tc>
          <w:tcPr>
            <w:tcW w:w="621" w:type="dxa"/>
            <w:tcBorders>
              <w:top w:val="single" w:color="7E7E7E" w:themeColor="text1" w:themeTint="80" w:sz="4" w:space="0"/>
              <w:bottom w:val="single" w:color="7E7E7E" w:themeColor="text1" w:themeTint="80" w:sz="4" w:space="0"/>
            </w:tcBorders>
            <w:noWrap/>
            <w:vAlign w:val="bottom"/>
          </w:tcPr>
          <w:p w14:paraId="17D46E7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46.94 </w:t>
            </w:r>
          </w:p>
        </w:tc>
        <w:tc>
          <w:tcPr>
            <w:tcW w:w="621" w:type="dxa"/>
            <w:tcBorders>
              <w:top w:val="single" w:color="7E7E7E" w:themeColor="text1" w:themeTint="80" w:sz="4" w:space="0"/>
              <w:bottom w:val="single" w:color="7E7E7E" w:themeColor="text1" w:themeTint="80" w:sz="4" w:space="0"/>
            </w:tcBorders>
            <w:noWrap/>
            <w:vAlign w:val="bottom"/>
          </w:tcPr>
          <w:p w14:paraId="4B9D8DF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47.42 </w:t>
            </w:r>
          </w:p>
        </w:tc>
        <w:tc>
          <w:tcPr>
            <w:tcW w:w="621" w:type="dxa"/>
            <w:tcBorders>
              <w:top w:val="single" w:color="7E7E7E" w:themeColor="text1" w:themeTint="80" w:sz="4" w:space="0"/>
              <w:bottom w:val="single" w:color="7E7E7E" w:themeColor="text1" w:themeTint="80" w:sz="4" w:space="0"/>
            </w:tcBorders>
            <w:noWrap/>
            <w:vAlign w:val="bottom"/>
          </w:tcPr>
          <w:p w14:paraId="765BF6F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45.08 </w:t>
            </w:r>
          </w:p>
        </w:tc>
        <w:tc>
          <w:tcPr>
            <w:tcW w:w="621" w:type="dxa"/>
            <w:tcBorders>
              <w:top w:val="single" w:color="7E7E7E" w:themeColor="text1" w:themeTint="80" w:sz="4" w:space="0"/>
              <w:bottom w:val="single" w:color="7E7E7E" w:themeColor="text1" w:themeTint="80" w:sz="4" w:space="0"/>
            </w:tcBorders>
            <w:noWrap/>
            <w:vAlign w:val="bottom"/>
          </w:tcPr>
          <w:p w14:paraId="411DA74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59.65 </w:t>
            </w:r>
          </w:p>
        </w:tc>
        <w:tc>
          <w:tcPr>
            <w:tcW w:w="621" w:type="dxa"/>
            <w:tcBorders>
              <w:top w:val="single" w:color="7E7E7E" w:themeColor="text1" w:themeTint="80" w:sz="4" w:space="0"/>
              <w:bottom w:val="single" w:color="7E7E7E" w:themeColor="text1" w:themeTint="80" w:sz="4" w:space="0"/>
            </w:tcBorders>
            <w:noWrap/>
            <w:vAlign w:val="bottom"/>
          </w:tcPr>
          <w:p w14:paraId="29A781A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47.58 </w:t>
            </w:r>
          </w:p>
        </w:tc>
        <w:tc>
          <w:tcPr>
            <w:tcW w:w="621" w:type="dxa"/>
            <w:tcBorders>
              <w:top w:val="single" w:color="7E7E7E" w:themeColor="text1" w:themeTint="80" w:sz="4" w:space="0"/>
              <w:bottom w:val="single" w:color="7E7E7E" w:themeColor="text1" w:themeTint="80" w:sz="4" w:space="0"/>
            </w:tcBorders>
            <w:noWrap/>
            <w:vAlign w:val="bottom"/>
          </w:tcPr>
          <w:p w14:paraId="1A2586E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50.61 </w:t>
            </w:r>
          </w:p>
        </w:tc>
        <w:tc>
          <w:tcPr>
            <w:tcW w:w="621" w:type="dxa"/>
            <w:tcBorders>
              <w:top w:val="single" w:color="7E7E7E" w:themeColor="text1" w:themeTint="80" w:sz="4" w:space="0"/>
              <w:bottom w:val="single" w:color="7E7E7E" w:themeColor="text1" w:themeTint="80" w:sz="4" w:space="0"/>
            </w:tcBorders>
            <w:noWrap/>
            <w:vAlign w:val="bottom"/>
          </w:tcPr>
          <w:p w14:paraId="2CB4742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55.08 </w:t>
            </w:r>
          </w:p>
        </w:tc>
        <w:tc>
          <w:tcPr>
            <w:tcW w:w="621" w:type="dxa"/>
            <w:tcBorders>
              <w:top w:val="single" w:color="7E7E7E" w:themeColor="text1" w:themeTint="80" w:sz="4" w:space="0"/>
              <w:bottom w:val="single" w:color="7E7E7E" w:themeColor="text1" w:themeTint="80" w:sz="4" w:space="0"/>
            </w:tcBorders>
            <w:noWrap/>
            <w:vAlign w:val="bottom"/>
          </w:tcPr>
          <w:p w14:paraId="21D9C7A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46.74 </w:t>
            </w:r>
          </w:p>
        </w:tc>
      </w:tr>
      <w:tr w14:paraId="22FEF46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noWrap/>
            <w:vAlign w:val="bottom"/>
          </w:tcPr>
          <w:p w14:paraId="699E07D5">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绍兴市</w:t>
            </w:r>
          </w:p>
        </w:tc>
        <w:tc>
          <w:tcPr>
            <w:tcW w:w="622" w:type="dxa"/>
            <w:noWrap/>
            <w:vAlign w:val="bottom"/>
          </w:tcPr>
          <w:p w14:paraId="6E9F578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34.70 </w:t>
            </w:r>
          </w:p>
        </w:tc>
        <w:tc>
          <w:tcPr>
            <w:tcW w:w="622" w:type="dxa"/>
            <w:noWrap/>
            <w:vAlign w:val="bottom"/>
          </w:tcPr>
          <w:p w14:paraId="71EEF95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33.20 </w:t>
            </w:r>
          </w:p>
        </w:tc>
        <w:tc>
          <w:tcPr>
            <w:tcW w:w="622" w:type="dxa"/>
            <w:noWrap/>
            <w:vAlign w:val="bottom"/>
          </w:tcPr>
          <w:p w14:paraId="77E06A2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34.26 </w:t>
            </w:r>
          </w:p>
        </w:tc>
        <w:tc>
          <w:tcPr>
            <w:tcW w:w="621" w:type="dxa"/>
            <w:noWrap/>
            <w:vAlign w:val="bottom"/>
          </w:tcPr>
          <w:p w14:paraId="775440A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35.43 </w:t>
            </w:r>
          </w:p>
        </w:tc>
        <w:tc>
          <w:tcPr>
            <w:tcW w:w="621" w:type="dxa"/>
            <w:noWrap/>
            <w:vAlign w:val="bottom"/>
          </w:tcPr>
          <w:p w14:paraId="7640A68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36.93 </w:t>
            </w:r>
          </w:p>
        </w:tc>
        <w:tc>
          <w:tcPr>
            <w:tcW w:w="621" w:type="dxa"/>
            <w:noWrap/>
            <w:vAlign w:val="bottom"/>
          </w:tcPr>
          <w:p w14:paraId="29413F8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38.40 </w:t>
            </w:r>
          </w:p>
        </w:tc>
        <w:tc>
          <w:tcPr>
            <w:tcW w:w="621" w:type="dxa"/>
            <w:noWrap/>
            <w:vAlign w:val="bottom"/>
          </w:tcPr>
          <w:p w14:paraId="472E86E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41.42 </w:t>
            </w:r>
          </w:p>
        </w:tc>
        <w:tc>
          <w:tcPr>
            <w:tcW w:w="621" w:type="dxa"/>
            <w:noWrap/>
            <w:vAlign w:val="bottom"/>
          </w:tcPr>
          <w:p w14:paraId="5EF9ADC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47.58 </w:t>
            </w:r>
          </w:p>
        </w:tc>
        <w:tc>
          <w:tcPr>
            <w:tcW w:w="621" w:type="dxa"/>
            <w:noWrap/>
            <w:vAlign w:val="bottom"/>
          </w:tcPr>
          <w:p w14:paraId="2B8D443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41.04 </w:t>
            </w:r>
          </w:p>
        </w:tc>
        <w:tc>
          <w:tcPr>
            <w:tcW w:w="621" w:type="dxa"/>
            <w:noWrap/>
            <w:vAlign w:val="bottom"/>
          </w:tcPr>
          <w:p w14:paraId="657E313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40.13 </w:t>
            </w:r>
          </w:p>
        </w:tc>
        <w:tc>
          <w:tcPr>
            <w:tcW w:w="621" w:type="dxa"/>
            <w:noWrap/>
            <w:vAlign w:val="bottom"/>
          </w:tcPr>
          <w:p w14:paraId="3533F3C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49.45 </w:t>
            </w:r>
          </w:p>
        </w:tc>
        <w:tc>
          <w:tcPr>
            <w:tcW w:w="621" w:type="dxa"/>
            <w:noWrap/>
            <w:vAlign w:val="bottom"/>
          </w:tcPr>
          <w:p w14:paraId="251B4A5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44.34 </w:t>
            </w:r>
          </w:p>
        </w:tc>
      </w:tr>
      <w:tr w14:paraId="53A80B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tcBorders>
              <w:top w:val="single" w:color="7E7E7E" w:themeColor="text1" w:themeTint="80" w:sz="4" w:space="0"/>
              <w:bottom w:val="single" w:color="7E7E7E" w:themeColor="text1" w:themeTint="80" w:sz="4" w:space="0"/>
            </w:tcBorders>
            <w:noWrap/>
            <w:vAlign w:val="bottom"/>
          </w:tcPr>
          <w:p w14:paraId="29F2A0E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湖州市</w:t>
            </w:r>
          </w:p>
        </w:tc>
        <w:tc>
          <w:tcPr>
            <w:tcW w:w="622" w:type="dxa"/>
            <w:tcBorders>
              <w:top w:val="single" w:color="7E7E7E" w:themeColor="text1" w:themeTint="80" w:sz="4" w:space="0"/>
              <w:bottom w:val="single" w:color="7E7E7E" w:themeColor="text1" w:themeTint="80" w:sz="4" w:space="0"/>
            </w:tcBorders>
            <w:noWrap/>
            <w:vAlign w:val="bottom"/>
          </w:tcPr>
          <w:p w14:paraId="5C13B26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51.08 </w:t>
            </w:r>
          </w:p>
        </w:tc>
        <w:tc>
          <w:tcPr>
            <w:tcW w:w="622" w:type="dxa"/>
            <w:tcBorders>
              <w:top w:val="single" w:color="7E7E7E" w:themeColor="text1" w:themeTint="80" w:sz="4" w:space="0"/>
              <w:bottom w:val="single" w:color="7E7E7E" w:themeColor="text1" w:themeTint="80" w:sz="4" w:space="0"/>
            </w:tcBorders>
            <w:noWrap/>
            <w:vAlign w:val="bottom"/>
          </w:tcPr>
          <w:p w14:paraId="7AB1111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47.50 </w:t>
            </w:r>
          </w:p>
        </w:tc>
        <w:tc>
          <w:tcPr>
            <w:tcW w:w="622" w:type="dxa"/>
            <w:tcBorders>
              <w:top w:val="single" w:color="7E7E7E" w:themeColor="text1" w:themeTint="80" w:sz="4" w:space="0"/>
              <w:bottom w:val="single" w:color="7E7E7E" w:themeColor="text1" w:themeTint="80" w:sz="4" w:space="0"/>
            </w:tcBorders>
            <w:noWrap/>
            <w:vAlign w:val="bottom"/>
          </w:tcPr>
          <w:p w14:paraId="75EA2F4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53.76 </w:t>
            </w:r>
          </w:p>
        </w:tc>
        <w:tc>
          <w:tcPr>
            <w:tcW w:w="621" w:type="dxa"/>
            <w:tcBorders>
              <w:top w:val="single" w:color="7E7E7E" w:themeColor="text1" w:themeTint="80" w:sz="4" w:space="0"/>
              <w:bottom w:val="single" w:color="7E7E7E" w:themeColor="text1" w:themeTint="80" w:sz="4" w:space="0"/>
            </w:tcBorders>
            <w:noWrap/>
            <w:vAlign w:val="bottom"/>
          </w:tcPr>
          <w:p w14:paraId="34244AA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56.16 </w:t>
            </w:r>
          </w:p>
        </w:tc>
        <w:tc>
          <w:tcPr>
            <w:tcW w:w="621" w:type="dxa"/>
            <w:tcBorders>
              <w:top w:val="single" w:color="7E7E7E" w:themeColor="text1" w:themeTint="80" w:sz="4" w:space="0"/>
              <w:bottom w:val="single" w:color="7E7E7E" w:themeColor="text1" w:themeTint="80" w:sz="4" w:space="0"/>
            </w:tcBorders>
            <w:noWrap/>
            <w:vAlign w:val="bottom"/>
          </w:tcPr>
          <w:p w14:paraId="6F50A16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58.13 </w:t>
            </w:r>
          </w:p>
        </w:tc>
        <w:tc>
          <w:tcPr>
            <w:tcW w:w="621" w:type="dxa"/>
            <w:tcBorders>
              <w:top w:val="single" w:color="7E7E7E" w:themeColor="text1" w:themeTint="80" w:sz="4" w:space="0"/>
              <w:bottom w:val="single" w:color="7E7E7E" w:themeColor="text1" w:themeTint="80" w:sz="4" w:space="0"/>
            </w:tcBorders>
            <w:noWrap/>
            <w:vAlign w:val="bottom"/>
          </w:tcPr>
          <w:p w14:paraId="034C401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59.47 </w:t>
            </w:r>
          </w:p>
        </w:tc>
        <w:tc>
          <w:tcPr>
            <w:tcW w:w="621" w:type="dxa"/>
            <w:tcBorders>
              <w:top w:val="single" w:color="7E7E7E" w:themeColor="text1" w:themeTint="80" w:sz="4" w:space="0"/>
              <w:bottom w:val="single" w:color="7E7E7E" w:themeColor="text1" w:themeTint="80" w:sz="4" w:space="0"/>
            </w:tcBorders>
            <w:noWrap/>
            <w:vAlign w:val="bottom"/>
          </w:tcPr>
          <w:p w14:paraId="1F426B4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64.07 </w:t>
            </w:r>
          </w:p>
        </w:tc>
        <w:tc>
          <w:tcPr>
            <w:tcW w:w="621" w:type="dxa"/>
            <w:tcBorders>
              <w:top w:val="single" w:color="7E7E7E" w:themeColor="text1" w:themeTint="80" w:sz="4" w:space="0"/>
              <w:bottom w:val="single" w:color="7E7E7E" w:themeColor="text1" w:themeTint="80" w:sz="4" w:space="0"/>
            </w:tcBorders>
            <w:noWrap/>
            <w:vAlign w:val="bottom"/>
          </w:tcPr>
          <w:p w14:paraId="521A1E8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70.15 </w:t>
            </w:r>
          </w:p>
        </w:tc>
        <w:tc>
          <w:tcPr>
            <w:tcW w:w="621" w:type="dxa"/>
            <w:tcBorders>
              <w:top w:val="single" w:color="7E7E7E" w:themeColor="text1" w:themeTint="80" w:sz="4" w:space="0"/>
              <w:bottom w:val="single" w:color="7E7E7E" w:themeColor="text1" w:themeTint="80" w:sz="4" w:space="0"/>
            </w:tcBorders>
            <w:noWrap/>
            <w:vAlign w:val="bottom"/>
          </w:tcPr>
          <w:p w14:paraId="4F11A6B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64.37 </w:t>
            </w:r>
          </w:p>
        </w:tc>
        <w:tc>
          <w:tcPr>
            <w:tcW w:w="621" w:type="dxa"/>
            <w:tcBorders>
              <w:top w:val="single" w:color="7E7E7E" w:themeColor="text1" w:themeTint="80" w:sz="4" w:space="0"/>
              <w:bottom w:val="single" w:color="7E7E7E" w:themeColor="text1" w:themeTint="80" w:sz="4" w:space="0"/>
            </w:tcBorders>
            <w:noWrap/>
            <w:vAlign w:val="bottom"/>
          </w:tcPr>
          <w:p w14:paraId="7336730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63.03 </w:t>
            </w:r>
          </w:p>
        </w:tc>
        <w:tc>
          <w:tcPr>
            <w:tcW w:w="621" w:type="dxa"/>
            <w:tcBorders>
              <w:top w:val="single" w:color="7E7E7E" w:themeColor="text1" w:themeTint="80" w:sz="4" w:space="0"/>
              <w:bottom w:val="single" w:color="7E7E7E" w:themeColor="text1" w:themeTint="80" w:sz="4" w:space="0"/>
            </w:tcBorders>
            <w:noWrap/>
            <w:vAlign w:val="bottom"/>
          </w:tcPr>
          <w:p w14:paraId="0AE6DF1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75.88 </w:t>
            </w:r>
          </w:p>
        </w:tc>
        <w:tc>
          <w:tcPr>
            <w:tcW w:w="621" w:type="dxa"/>
            <w:tcBorders>
              <w:top w:val="single" w:color="7E7E7E" w:themeColor="text1" w:themeTint="80" w:sz="4" w:space="0"/>
              <w:bottom w:val="single" w:color="7E7E7E" w:themeColor="text1" w:themeTint="80" w:sz="4" w:space="0"/>
            </w:tcBorders>
            <w:noWrap/>
            <w:vAlign w:val="bottom"/>
          </w:tcPr>
          <w:p w14:paraId="5609DE7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73.02 </w:t>
            </w:r>
          </w:p>
        </w:tc>
      </w:tr>
      <w:tr w14:paraId="6343B9E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noWrap/>
            <w:vAlign w:val="bottom"/>
          </w:tcPr>
          <w:p w14:paraId="70D0841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w:t>
            </w:r>
          </w:p>
        </w:tc>
        <w:tc>
          <w:tcPr>
            <w:tcW w:w="622" w:type="dxa"/>
            <w:noWrap/>
            <w:vAlign w:val="bottom"/>
          </w:tcPr>
          <w:p w14:paraId="0A67DB4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43.41 </w:t>
            </w:r>
          </w:p>
        </w:tc>
        <w:tc>
          <w:tcPr>
            <w:tcW w:w="622" w:type="dxa"/>
            <w:noWrap/>
            <w:vAlign w:val="bottom"/>
          </w:tcPr>
          <w:p w14:paraId="4D539E0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42.25 </w:t>
            </w:r>
          </w:p>
        </w:tc>
        <w:tc>
          <w:tcPr>
            <w:tcW w:w="622" w:type="dxa"/>
            <w:noWrap/>
            <w:vAlign w:val="bottom"/>
          </w:tcPr>
          <w:p w14:paraId="1BE2B36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45.70 </w:t>
            </w:r>
          </w:p>
        </w:tc>
        <w:tc>
          <w:tcPr>
            <w:tcW w:w="621" w:type="dxa"/>
            <w:noWrap/>
            <w:vAlign w:val="bottom"/>
          </w:tcPr>
          <w:p w14:paraId="63098B7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48.52 </w:t>
            </w:r>
          </w:p>
        </w:tc>
        <w:tc>
          <w:tcPr>
            <w:tcW w:w="621" w:type="dxa"/>
            <w:noWrap/>
            <w:vAlign w:val="bottom"/>
          </w:tcPr>
          <w:p w14:paraId="00379F7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50.09 </w:t>
            </w:r>
          </w:p>
        </w:tc>
        <w:tc>
          <w:tcPr>
            <w:tcW w:w="621" w:type="dxa"/>
            <w:noWrap/>
            <w:vAlign w:val="bottom"/>
          </w:tcPr>
          <w:p w14:paraId="70EE105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51.38 </w:t>
            </w:r>
          </w:p>
        </w:tc>
        <w:tc>
          <w:tcPr>
            <w:tcW w:w="621" w:type="dxa"/>
            <w:noWrap/>
            <w:vAlign w:val="bottom"/>
          </w:tcPr>
          <w:p w14:paraId="77F4DD1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59.70 </w:t>
            </w:r>
          </w:p>
        </w:tc>
        <w:tc>
          <w:tcPr>
            <w:tcW w:w="621" w:type="dxa"/>
            <w:noWrap/>
            <w:vAlign w:val="bottom"/>
          </w:tcPr>
          <w:p w14:paraId="07D20E7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67.05 </w:t>
            </w:r>
          </w:p>
        </w:tc>
        <w:tc>
          <w:tcPr>
            <w:tcW w:w="621" w:type="dxa"/>
            <w:noWrap/>
            <w:vAlign w:val="bottom"/>
          </w:tcPr>
          <w:p w14:paraId="2082197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57.71 </w:t>
            </w:r>
          </w:p>
        </w:tc>
        <w:tc>
          <w:tcPr>
            <w:tcW w:w="621" w:type="dxa"/>
            <w:noWrap/>
            <w:vAlign w:val="bottom"/>
          </w:tcPr>
          <w:p w14:paraId="3A16C39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58.06 </w:t>
            </w:r>
          </w:p>
        </w:tc>
        <w:tc>
          <w:tcPr>
            <w:tcW w:w="621" w:type="dxa"/>
            <w:noWrap/>
            <w:vAlign w:val="bottom"/>
          </w:tcPr>
          <w:p w14:paraId="165A52E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66.68 </w:t>
            </w:r>
          </w:p>
        </w:tc>
        <w:tc>
          <w:tcPr>
            <w:tcW w:w="621" w:type="dxa"/>
            <w:noWrap/>
            <w:vAlign w:val="bottom"/>
          </w:tcPr>
          <w:p w14:paraId="222AE94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60.16 </w:t>
            </w:r>
          </w:p>
        </w:tc>
      </w:tr>
      <w:tr w14:paraId="55D576E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tcBorders>
              <w:top w:val="single" w:color="7E7E7E" w:themeColor="text1" w:themeTint="80" w:sz="4" w:space="0"/>
              <w:bottom w:val="single" w:color="7E7E7E" w:themeColor="text1" w:themeTint="80" w:sz="4" w:space="0"/>
            </w:tcBorders>
            <w:noWrap/>
            <w:vAlign w:val="bottom"/>
          </w:tcPr>
          <w:p w14:paraId="383EE75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金华市</w:t>
            </w:r>
          </w:p>
        </w:tc>
        <w:tc>
          <w:tcPr>
            <w:tcW w:w="622" w:type="dxa"/>
            <w:tcBorders>
              <w:top w:val="single" w:color="7E7E7E" w:themeColor="text1" w:themeTint="80" w:sz="4" w:space="0"/>
              <w:bottom w:val="single" w:color="7E7E7E" w:themeColor="text1" w:themeTint="80" w:sz="4" w:space="0"/>
            </w:tcBorders>
            <w:noWrap/>
            <w:vAlign w:val="bottom"/>
          </w:tcPr>
          <w:p w14:paraId="603D14E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68.89 </w:t>
            </w:r>
          </w:p>
        </w:tc>
        <w:tc>
          <w:tcPr>
            <w:tcW w:w="622" w:type="dxa"/>
            <w:tcBorders>
              <w:top w:val="single" w:color="7E7E7E" w:themeColor="text1" w:themeTint="80" w:sz="4" w:space="0"/>
              <w:bottom w:val="single" w:color="7E7E7E" w:themeColor="text1" w:themeTint="80" w:sz="4" w:space="0"/>
            </w:tcBorders>
            <w:noWrap/>
            <w:vAlign w:val="bottom"/>
          </w:tcPr>
          <w:p w14:paraId="22587D4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68.63 </w:t>
            </w:r>
          </w:p>
        </w:tc>
        <w:tc>
          <w:tcPr>
            <w:tcW w:w="622" w:type="dxa"/>
            <w:tcBorders>
              <w:top w:val="single" w:color="7E7E7E" w:themeColor="text1" w:themeTint="80" w:sz="4" w:space="0"/>
              <w:bottom w:val="single" w:color="7E7E7E" w:themeColor="text1" w:themeTint="80" w:sz="4" w:space="0"/>
            </w:tcBorders>
            <w:noWrap/>
            <w:vAlign w:val="bottom"/>
          </w:tcPr>
          <w:p w14:paraId="37CBA51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69.38 </w:t>
            </w:r>
          </w:p>
        </w:tc>
        <w:tc>
          <w:tcPr>
            <w:tcW w:w="621" w:type="dxa"/>
            <w:tcBorders>
              <w:top w:val="single" w:color="7E7E7E" w:themeColor="text1" w:themeTint="80" w:sz="4" w:space="0"/>
              <w:bottom w:val="single" w:color="7E7E7E" w:themeColor="text1" w:themeTint="80" w:sz="4" w:space="0"/>
            </w:tcBorders>
            <w:noWrap/>
            <w:vAlign w:val="bottom"/>
          </w:tcPr>
          <w:p w14:paraId="1A899DC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71.28 </w:t>
            </w:r>
          </w:p>
        </w:tc>
        <w:tc>
          <w:tcPr>
            <w:tcW w:w="621" w:type="dxa"/>
            <w:tcBorders>
              <w:top w:val="single" w:color="7E7E7E" w:themeColor="text1" w:themeTint="80" w:sz="4" w:space="0"/>
              <w:bottom w:val="single" w:color="7E7E7E" w:themeColor="text1" w:themeTint="80" w:sz="4" w:space="0"/>
            </w:tcBorders>
            <w:noWrap/>
            <w:vAlign w:val="bottom"/>
          </w:tcPr>
          <w:p w14:paraId="2C76B22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78.84 </w:t>
            </w:r>
          </w:p>
        </w:tc>
        <w:tc>
          <w:tcPr>
            <w:tcW w:w="621" w:type="dxa"/>
            <w:tcBorders>
              <w:top w:val="single" w:color="7E7E7E" w:themeColor="text1" w:themeTint="80" w:sz="4" w:space="0"/>
              <w:bottom w:val="single" w:color="7E7E7E" w:themeColor="text1" w:themeTint="80" w:sz="4" w:space="0"/>
            </w:tcBorders>
            <w:noWrap/>
            <w:vAlign w:val="bottom"/>
          </w:tcPr>
          <w:p w14:paraId="609CB03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79.41 </w:t>
            </w:r>
          </w:p>
        </w:tc>
        <w:tc>
          <w:tcPr>
            <w:tcW w:w="621" w:type="dxa"/>
            <w:tcBorders>
              <w:top w:val="single" w:color="7E7E7E" w:themeColor="text1" w:themeTint="80" w:sz="4" w:space="0"/>
              <w:bottom w:val="single" w:color="7E7E7E" w:themeColor="text1" w:themeTint="80" w:sz="4" w:space="0"/>
            </w:tcBorders>
            <w:noWrap/>
            <w:vAlign w:val="bottom"/>
          </w:tcPr>
          <w:p w14:paraId="762052F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86.00 </w:t>
            </w:r>
          </w:p>
        </w:tc>
        <w:tc>
          <w:tcPr>
            <w:tcW w:w="621" w:type="dxa"/>
            <w:tcBorders>
              <w:top w:val="single" w:color="7E7E7E" w:themeColor="text1" w:themeTint="80" w:sz="4" w:space="0"/>
              <w:bottom w:val="single" w:color="7E7E7E" w:themeColor="text1" w:themeTint="80" w:sz="4" w:space="0"/>
            </w:tcBorders>
            <w:noWrap/>
            <w:vAlign w:val="bottom"/>
          </w:tcPr>
          <w:p w14:paraId="511ACD2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101.99 </w:t>
            </w:r>
          </w:p>
        </w:tc>
        <w:tc>
          <w:tcPr>
            <w:tcW w:w="621" w:type="dxa"/>
            <w:tcBorders>
              <w:top w:val="single" w:color="7E7E7E" w:themeColor="text1" w:themeTint="80" w:sz="4" w:space="0"/>
              <w:bottom w:val="single" w:color="7E7E7E" w:themeColor="text1" w:themeTint="80" w:sz="4" w:space="0"/>
            </w:tcBorders>
            <w:noWrap/>
            <w:vAlign w:val="bottom"/>
          </w:tcPr>
          <w:p w14:paraId="0C3D36B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81.48 </w:t>
            </w:r>
          </w:p>
        </w:tc>
        <w:tc>
          <w:tcPr>
            <w:tcW w:w="621" w:type="dxa"/>
            <w:tcBorders>
              <w:top w:val="single" w:color="7E7E7E" w:themeColor="text1" w:themeTint="80" w:sz="4" w:space="0"/>
              <w:bottom w:val="single" w:color="7E7E7E" w:themeColor="text1" w:themeTint="80" w:sz="4" w:space="0"/>
            </w:tcBorders>
            <w:noWrap/>
            <w:vAlign w:val="bottom"/>
          </w:tcPr>
          <w:p w14:paraId="2368293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83.18 </w:t>
            </w:r>
          </w:p>
        </w:tc>
        <w:tc>
          <w:tcPr>
            <w:tcW w:w="621" w:type="dxa"/>
            <w:tcBorders>
              <w:top w:val="single" w:color="7E7E7E" w:themeColor="text1" w:themeTint="80" w:sz="4" w:space="0"/>
              <w:bottom w:val="single" w:color="7E7E7E" w:themeColor="text1" w:themeTint="80" w:sz="4" w:space="0"/>
            </w:tcBorders>
            <w:noWrap/>
            <w:vAlign w:val="bottom"/>
          </w:tcPr>
          <w:p w14:paraId="6E02526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97.86 </w:t>
            </w:r>
          </w:p>
        </w:tc>
        <w:tc>
          <w:tcPr>
            <w:tcW w:w="621" w:type="dxa"/>
            <w:tcBorders>
              <w:top w:val="single" w:color="7E7E7E" w:themeColor="text1" w:themeTint="80" w:sz="4" w:space="0"/>
              <w:bottom w:val="single" w:color="7E7E7E" w:themeColor="text1" w:themeTint="80" w:sz="4" w:space="0"/>
            </w:tcBorders>
            <w:noWrap/>
            <w:vAlign w:val="bottom"/>
          </w:tcPr>
          <w:p w14:paraId="6A1F824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87.88 </w:t>
            </w:r>
          </w:p>
        </w:tc>
      </w:tr>
      <w:tr w14:paraId="391F4B2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noWrap/>
            <w:vAlign w:val="bottom"/>
          </w:tcPr>
          <w:p w14:paraId="793F034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衢州市</w:t>
            </w:r>
          </w:p>
        </w:tc>
        <w:tc>
          <w:tcPr>
            <w:tcW w:w="622" w:type="dxa"/>
            <w:noWrap/>
            <w:vAlign w:val="bottom"/>
          </w:tcPr>
          <w:p w14:paraId="016CF38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10.30 </w:t>
            </w:r>
          </w:p>
        </w:tc>
        <w:tc>
          <w:tcPr>
            <w:tcW w:w="622" w:type="dxa"/>
            <w:noWrap/>
            <w:vAlign w:val="bottom"/>
          </w:tcPr>
          <w:p w14:paraId="4BC7B2A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9.73 </w:t>
            </w:r>
          </w:p>
        </w:tc>
        <w:tc>
          <w:tcPr>
            <w:tcW w:w="622" w:type="dxa"/>
            <w:noWrap/>
            <w:vAlign w:val="bottom"/>
          </w:tcPr>
          <w:p w14:paraId="471D690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10.42 </w:t>
            </w:r>
          </w:p>
        </w:tc>
        <w:tc>
          <w:tcPr>
            <w:tcW w:w="621" w:type="dxa"/>
            <w:noWrap/>
            <w:vAlign w:val="bottom"/>
          </w:tcPr>
          <w:p w14:paraId="4E52942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11.17 </w:t>
            </w:r>
          </w:p>
        </w:tc>
        <w:tc>
          <w:tcPr>
            <w:tcW w:w="621" w:type="dxa"/>
            <w:noWrap/>
            <w:vAlign w:val="bottom"/>
          </w:tcPr>
          <w:p w14:paraId="510B2E0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12.80 </w:t>
            </w:r>
          </w:p>
        </w:tc>
        <w:tc>
          <w:tcPr>
            <w:tcW w:w="621" w:type="dxa"/>
            <w:noWrap/>
            <w:vAlign w:val="bottom"/>
          </w:tcPr>
          <w:p w14:paraId="34F1BEC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12.36 </w:t>
            </w:r>
          </w:p>
        </w:tc>
        <w:tc>
          <w:tcPr>
            <w:tcW w:w="621" w:type="dxa"/>
            <w:noWrap/>
            <w:vAlign w:val="bottom"/>
          </w:tcPr>
          <w:p w14:paraId="393091E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12.28 </w:t>
            </w:r>
          </w:p>
        </w:tc>
        <w:tc>
          <w:tcPr>
            <w:tcW w:w="621" w:type="dxa"/>
            <w:noWrap/>
            <w:vAlign w:val="bottom"/>
          </w:tcPr>
          <w:p w14:paraId="175A8BA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15.65 </w:t>
            </w:r>
          </w:p>
        </w:tc>
        <w:tc>
          <w:tcPr>
            <w:tcW w:w="621" w:type="dxa"/>
            <w:noWrap/>
            <w:vAlign w:val="bottom"/>
          </w:tcPr>
          <w:p w14:paraId="07ABA696">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13.41 </w:t>
            </w:r>
          </w:p>
        </w:tc>
        <w:tc>
          <w:tcPr>
            <w:tcW w:w="621" w:type="dxa"/>
            <w:noWrap/>
            <w:vAlign w:val="bottom"/>
          </w:tcPr>
          <w:p w14:paraId="5F228F1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14.96 </w:t>
            </w:r>
          </w:p>
        </w:tc>
        <w:tc>
          <w:tcPr>
            <w:tcW w:w="621" w:type="dxa"/>
            <w:noWrap/>
            <w:vAlign w:val="bottom"/>
          </w:tcPr>
          <w:p w14:paraId="4BD7A9C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16.39 </w:t>
            </w:r>
          </w:p>
        </w:tc>
        <w:tc>
          <w:tcPr>
            <w:tcW w:w="621" w:type="dxa"/>
            <w:noWrap/>
            <w:vAlign w:val="bottom"/>
          </w:tcPr>
          <w:p w14:paraId="2B9974B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14.84 </w:t>
            </w:r>
          </w:p>
        </w:tc>
      </w:tr>
      <w:tr w14:paraId="57B2E78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tcBorders>
              <w:top w:val="single" w:color="7E7E7E" w:themeColor="text1" w:themeTint="80" w:sz="4" w:space="0"/>
              <w:bottom w:val="single" w:color="7E7E7E" w:themeColor="text1" w:themeTint="80" w:sz="4" w:space="0"/>
            </w:tcBorders>
            <w:noWrap/>
            <w:vAlign w:val="bottom"/>
          </w:tcPr>
          <w:p w14:paraId="0092D34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w:t>
            </w:r>
          </w:p>
        </w:tc>
        <w:tc>
          <w:tcPr>
            <w:tcW w:w="622" w:type="dxa"/>
            <w:tcBorders>
              <w:top w:val="single" w:color="7E7E7E" w:themeColor="text1" w:themeTint="80" w:sz="4" w:space="0"/>
              <w:bottom w:val="single" w:color="7E7E7E" w:themeColor="text1" w:themeTint="80" w:sz="4" w:space="0"/>
            </w:tcBorders>
            <w:noWrap/>
            <w:vAlign w:val="bottom"/>
          </w:tcPr>
          <w:p w14:paraId="1BBF7EB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46.18 </w:t>
            </w:r>
          </w:p>
        </w:tc>
        <w:tc>
          <w:tcPr>
            <w:tcW w:w="622" w:type="dxa"/>
            <w:tcBorders>
              <w:top w:val="single" w:color="7E7E7E" w:themeColor="text1" w:themeTint="80" w:sz="4" w:space="0"/>
              <w:bottom w:val="single" w:color="7E7E7E" w:themeColor="text1" w:themeTint="80" w:sz="4" w:space="0"/>
            </w:tcBorders>
            <w:noWrap/>
            <w:vAlign w:val="bottom"/>
          </w:tcPr>
          <w:p w14:paraId="1C6E0AD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40.96 </w:t>
            </w:r>
          </w:p>
        </w:tc>
        <w:tc>
          <w:tcPr>
            <w:tcW w:w="622" w:type="dxa"/>
            <w:tcBorders>
              <w:top w:val="single" w:color="7E7E7E" w:themeColor="text1" w:themeTint="80" w:sz="4" w:space="0"/>
              <w:bottom w:val="single" w:color="7E7E7E" w:themeColor="text1" w:themeTint="80" w:sz="4" w:space="0"/>
            </w:tcBorders>
            <w:noWrap/>
            <w:vAlign w:val="bottom"/>
          </w:tcPr>
          <w:p w14:paraId="44A32BA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37.50 </w:t>
            </w:r>
          </w:p>
        </w:tc>
        <w:tc>
          <w:tcPr>
            <w:tcW w:w="621" w:type="dxa"/>
            <w:tcBorders>
              <w:top w:val="single" w:color="7E7E7E" w:themeColor="text1" w:themeTint="80" w:sz="4" w:space="0"/>
              <w:bottom w:val="single" w:color="7E7E7E" w:themeColor="text1" w:themeTint="80" w:sz="4" w:space="0"/>
            </w:tcBorders>
            <w:noWrap/>
            <w:vAlign w:val="bottom"/>
          </w:tcPr>
          <w:p w14:paraId="42CE1DF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38.61 </w:t>
            </w:r>
          </w:p>
        </w:tc>
        <w:tc>
          <w:tcPr>
            <w:tcW w:w="621" w:type="dxa"/>
            <w:tcBorders>
              <w:top w:val="single" w:color="7E7E7E" w:themeColor="text1" w:themeTint="80" w:sz="4" w:space="0"/>
              <w:bottom w:val="single" w:color="7E7E7E" w:themeColor="text1" w:themeTint="80" w:sz="4" w:space="0"/>
            </w:tcBorders>
            <w:noWrap/>
            <w:vAlign w:val="bottom"/>
          </w:tcPr>
          <w:p w14:paraId="7861482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42.15 </w:t>
            </w:r>
          </w:p>
        </w:tc>
        <w:tc>
          <w:tcPr>
            <w:tcW w:w="621" w:type="dxa"/>
            <w:tcBorders>
              <w:top w:val="single" w:color="7E7E7E" w:themeColor="text1" w:themeTint="80" w:sz="4" w:space="0"/>
              <w:bottom w:val="single" w:color="7E7E7E" w:themeColor="text1" w:themeTint="80" w:sz="4" w:space="0"/>
            </w:tcBorders>
            <w:noWrap/>
            <w:vAlign w:val="bottom"/>
          </w:tcPr>
          <w:p w14:paraId="471ADB5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43.76 </w:t>
            </w:r>
          </w:p>
        </w:tc>
        <w:tc>
          <w:tcPr>
            <w:tcW w:w="621" w:type="dxa"/>
            <w:tcBorders>
              <w:top w:val="single" w:color="7E7E7E" w:themeColor="text1" w:themeTint="80" w:sz="4" w:space="0"/>
              <w:bottom w:val="single" w:color="7E7E7E" w:themeColor="text1" w:themeTint="80" w:sz="4" w:space="0"/>
            </w:tcBorders>
            <w:noWrap/>
            <w:vAlign w:val="bottom"/>
          </w:tcPr>
          <w:p w14:paraId="6C5C545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43.77 </w:t>
            </w:r>
          </w:p>
        </w:tc>
        <w:tc>
          <w:tcPr>
            <w:tcW w:w="621" w:type="dxa"/>
            <w:tcBorders>
              <w:top w:val="single" w:color="7E7E7E" w:themeColor="text1" w:themeTint="80" w:sz="4" w:space="0"/>
              <w:bottom w:val="single" w:color="7E7E7E" w:themeColor="text1" w:themeTint="80" w:sz="4" w:space="0"/>
            </w:tcBorders>
            <w:noWrap/>
            <w:vAlign w:val="bottom"/>
          </w:tcPr>
          <w:p w14:paraId="2D1D7ED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55.22 </w:t>
            </w:r>
          </w:p>
        </w:tc>
        <w:tc>
          <w:tcPr>
            <w:tcW w:w="621" w:type="dxa"/>
            <w:tcBorders>
              <w:top w:val="single" w:color="7E7E7E" w:themeColor="text1" w:themeTint="80" w:sz="4" w:space="0"/>
              <w:bottom w:val="single" w:color="7E7E7E" w:themeColor="text1" w:themeTint="80" w:sz="4" w:space="0"/>
            </w:tcBorders>
            <w:noWrap/>
            <w:vAlign w:val="bottom"/>
          </w:tcPr>
          <w:p w14:paraId="5F984FD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43.98 </w:t>
            </w:r>
          </w:p>
        </w:tc>
        <w:tc>
          <w:tcPr>
            <w:tcW w:w="621" w:type="dxa"/>
            <w:tcBorders>
              <w:top w:val="single" w:color="7E7E7E" w:themeColor="text1" w:themeTint="80" w:sz="4" w:space="0"/>
              <w:bottom w:val="single" w:color="7E7E7E" w:themeColor="text1" w:themeTint="80" w:sz="4" w:space="0"/>
            </w:tcBorders>
            <w:noWrap/>
            <w:vAlign w:val="bottom"/>
          </w:tcPr>
          <w:p w14:paraId="713B61A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41.83 </w:t>
            </w:r>
          </w:p>
        </w:tc>
        <w:tc>
          <w:tcPr>
            <w:tcW w:w="621" w:type="dxa"/>
            <w:tcBorders>
              <w:top w:val="single" w:color="7E7E7E" w:themeColor="text1" w:themeTint="80" w:sz="4" w:space="0"/>
              <w:bottom w:val="single" w:color="7E7E7E" w:themeColor="text1" w:themeTint="80" w:sz="4" w:space="0"/>
            </w:tcBorders>
            <w:noWrap/>
            <w:vAlign w:val="bottom"/>
          </w:tcPr>
          <w:p w14:paraId="0E1E94F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52.13 </w:t>
            </w:r>
          </w:p>
        </w:tc>
        <w:tc>
          <w:tcPr>
            <w:tcW w:w="621" w:type="dxa"/>
            <w:tcBorders>
              <w:top w:val="single" w:color="7E7E7E" w:themeColor="text1" w:themeTint="80" w:sz="4" w:space="0"/>
              <w:bottom w:val="single" w:color="7E7E7E" w:themeColor="text1" w:themeTint="80" w:sz="4" w:space="0"/>
            </w:tcBorders>
            <w:noWrap/>
            <w:vAlign w:val="bottom"/>
          </w:tcPr>
          <w:p w14:paraId="4644C7D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46.44 </w:t>
            </w:r>
          </w:p>
        </w:tc>
      </w:tr>
      <w:tr w14:paraId="7176685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noWrap/>
            <w:vAlign w:val="bottom"/>
          </w:tcPr>
          <w:p w14:paraId="05692C3E">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w:t>
            </w:r>
          </w:p>
        </w:tc>
        <w:tc>
          <w:tcPr>
            <w:tcW w:w="622" w:type="dxa"/>
            <w:noWrap/>
            <w:vAlign w:val="bottom"/>
          </w:tcPr>
          <w:p w14:paraId="2ED3063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18.39 </w:t>
            </w:r>
          </w:p>
        </w:tc>
        <w:tc>
          <w:tcPr>
            <w:tcW w:w="622" w:type="dxa"/>
            <w:noWrap/>
            <w:vAlign w:val="bottom"/>
          </w:tcPr>
          <w:p w14:paraId="70A22E9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16.99 </w:t>
            </w:r>
          </w:p>
        </w:tc>
        <w:tc>
          <w:tcPr>
            <w:tcW w:w="622" w:type="dxa"/>
            <w:noWrap/>
            <w:vAlign w:val="bottom"/>
          </w:tcPr>
          <w:p w14:paraId="18E2430E">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17.98 </w:t>
            </w:r>
          </w:p>
        </w:tc>
        <w:tc>
          <w:tcPr>
            <w:tcW w:w="621" w:type="dxa"/>
            <w:noWrap/>
            <w:vAlign w:val="bottom"/>
          </w:tcPr>
          <w:p w14:paraId="3B332EA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18.58 </w:t>
            </w:r>
          </w:p>
        </w:tc>
        <w:tc>
          <w:tcPr>
            <w:tcW w:w="621" w:type="dxa"/>
            <w:noWrap/>
            <w:vAlign w:val="bottom"/>
          </w:tcPr>
          <w:p w14:paraId="359189D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20.35 </w:t>
            </w:r>
          </w:p>
        </w:tc>
        <w:tc>
          <w:tcPr>
            <w:tcW w:w="621" w:type="dxa"/>
            <w:noWrap/>
            <w:vAlign w:val="bottom"/>
          </w:tcPr>
          <w:p w14:paraId="2B6200C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21.59 </w:t>
            </w:r>
          </w:p>
        </w:tc>
        <w:tc>
          <w:tcPr>
            <w:tcW w:w="621" w:type="dxa"/>
            <w:noWrap/>
            <w:vAlign w:val="bottom"/>
          </w:tcPr>
          <w:p w14:paraId="69C3CB6B">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21.44 </w:t>
            </w:r>
          </w:p>
        </w:tc>
        <w:tc>
          <w:tcPr>
            <w:tcW w:w="621" w:type="dxa"/>
            <w:noWrap/>
            <w:vAlign w:val="bottom"/>
          </w:tcPr>
          <w:p w14:paraId="175FC9E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27.07 </w:t>
            </w:r>
          </w:p>
        </w:tc>
        <w:tc>
          <w:tcPr>
            <w:tcW w:w="621" w:type="dxa"/>
            <w:noWrap/>
            <w:vAlign w:val="bottom"/>
          </w:tcPr>
          <w:p w14:paraId="50D04F78">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23.25 </w:t>
            </w:r>
          </w:p>
        </w:tc>
        <w:tc>
          <w:tcPr>
            <w:tcW w:w="621" w:type="dxa"/>
            <w:noWrap/>
            <w:vAlign w:val="bottom"/>
          </w:tcPr>
          <w:p w14:paraId="6285982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23.45 </w:t>
            </w:r>
          </w:p>
        </w:tc>
        <w:tc>
          <w:tcPr>
            <w:tcW w:w="621" w:type="dxa"/>
            <w:noWrap/>
            <w:vAlign w:val="bottom"/>
          </w:tcPr>
          <w:p w14:paraId="3A2B80D7">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28.37 </w:t>
            </w:r>
          </w:p>
        </w:tc>
        <w:tc>
          <w:tcPr>
            <w:tcW w:w="621" w:type="dxa"/>
            <w:noWrap/>
            <w:vAlign w:val="bottom"/>
          </w:tcPr>
          <w:p w14:paraId="31FA7C1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25.64 </w:t>
            </w:r>
          </w:p>
        </w:tc>
      </w:tr>
      <w:tr w14:paraId="073F948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51" w:type="dxa"/>
            <w:tcBorders>
              <w:top w:val="single" w:color="7E7E7E" w:themeColor="text1" w:themeTint="80" w:sz="4" w:space="0"/>
              <w:bottom w:val="single" w:color="7E7E7E" w:themeColor="text1" w:themeTint="80" w:sz="4" w:space="0"/>
            </w:tcBorders>
            <w:noWrap/>
            <w:vAlign w:val="bottom"/>
          </w:tcPr>
          <w:p w14:paraId="668E05CE">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舟山市</w:t>
            </w:r>
          </w:p>
        </w:tc>
        <w:tc>
          <w:tcPr>
            <w:tcW w:w="622" w:type="dxa"/>
            <w:tcBorders>
              <w:top w:val="single" w:color="7E7E7E" w:themeColor="text1" w:themeTint="80" w:sz="4" w:space="0"/>
              <w:bottom w:val="single" w:color="7E7E7E" w:themeColor="text1" w:themeTint="80" w:sz="4" w:space="0"/>
            </w:tcBorders>
            <w:noWrap/>
            <w:vAlign w:val="bottom"/>
          </w:tcPr>
          <w:p w14:paraId="7181AA3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8.57 </w:t>
            </w:r>
          </w:p>
        </w:tc>
        <w:tc>
          <w:tcPr>
            <w:tcW w:w="622" w:type="dxa"/>
            <w:tcBorders>
              <w:top w:val="single" w:color="7E7E7E" w:themeColor="text1" w:themeTint="80" w:sz="4" w:space="0"/>
              <w:bottom w:val="single" w:color="7E7E7E" w:themeColor="text1" w:themeTint="80" w:sz="4" w:space="0"/>
            </w:tcBorders>
            <w:noWrap/>
            <w:vAlign w:val="bottom"/>
          </w:tcPr>
          <w:p w14:paraId="166B0B65">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8.80 </w:t>
            </w:r>
          </w:p>
        </w:tc>
        <w:tc>
          <w:tcPr>
            <w:tcW w:w="622" w:type="dxa"/>
            <w:tcBorders>
              <w:top w:val="single" w:color="7E7E7E" w:themeColor="text1" w:themeTint="80" w:sz="4" w:space="0"/>
              <w:bottom w:val="single" w:color="7E7E7E" w:themeColor="text1" w:themeTint="80" w:sz="4" w:space="0"/>
            </w:tcBorders>
            <w:noWrap/>
            <w:vAlign w:val="bottom"/>
          </w:tcPr>
          <w:p w14:paraId="23A0E341">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8.52 </w:t>
            </w:r>
          </w:p>
        </w:tc>
        <w:tc>
          <w:tcPr>
            <w:tcW w:w="621" w:type="dxa"/>
            <w:tcBorders>
              <w:top w:val="single" w:color="7E7E7E" w:themeColor="text1" w:themeTint="80" w:sz="4" w:space="0"/>
              <w:bottom w:val="single" w:color="7E7E7E" w:themeColor="text1" w:themeTint="80" w:sz="4" w:space="0"/>
            </w:tcBorders>
            <w:noWrap/>
            <w:vAlign w:val="bottom"/>
          </w:tcPr>
          <w:p w14:paraId="6E3B0BFA">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9.04 </w:t>
            </w:r>
          </w:p>
        </w:tc>
        <w:tc>
          <w:tcPr>
            <w:tcW w:w="621" w:type="dxa"/>
            <w:tcBorders>
              <w:top w:val="single" w:color="7E7E7E" w:themeColor="text1" w:themeTint="80" w:sz="4" w:space="0"/>
              <w:bottom w:val="single" w:color="7E7E7E" w:themeColor="text1" w:themeTint="80" w:sz="4" w:space="0"/>
            </w:tcBorders>
            <w:noWrap/>
            <w:vAlign w:val="bottom"/>
          </w:tcPr>
          <w:p w14:paraId="6A476E14">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9.69 </w:t>
            </w:r>
          </w:p>
        </w:tc>
        <w:tc>
          <w:tcPr>
            <w:tcW w:w="621" w:type="dxa"/>
            <w:tcBorders>
              <w:top w:val="single" w:color="7E7E7E" w:themeColor="text1" w:themeTint="80" w:sz="4" w:space="0"/>
              <w:bottom w:val="single" w:color="7E7E7E" w:themeColor="text1" w:themeTint="80" w:sz="4" w:space="0"/>
            </w:tcBorders>
            <w:noWrap/>
            <w:vAlign w:val="bottom"/>
          </w:tcPr>
          <w:p w14:paraId="5156E3A2">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9.43 </w:t>
            </w:r>
          </w:p>
        </w:tc>
        <w:tc>
          <w:tcPr>
            <w:tcW w:w="621" w:type="dxa"/>
            <w:tcBorders>
              <w:top w:val="single" w:color="7E7E7E" w:themeColor="text1" w:themeTint="80" w:sz="4" w:space="0"/>
              <w:bottom w:val="single" w:color="7E7E7E" w:themeColor="text1" w:themeTint="80" w:sz="4" w:space="0"/>
            </w:tcBorders>
            <w:noWrap/>
            <w:vAlign w:val="bottom"/>
          </w:tcPr>
          <w:p w14:paraId="0D67AD0C">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10.19 </w:t>
            </w:r>
          </w:p>
        </w:tc>
        <w:tc>
          <w:tcPr>
            <w:tcW w:w="621" w:type="dxa"/>
            <w:tcBorders>
              <w:top w:val="single" w:color="7E7E7E" w:themeColor="text1" w:themeTint="80" w:sz="4" w:space="0"/>
              <w:bottom w:val="single" w:color="7E7E7E" w:themeColor="text1" w:themeTint="80" w:sz="4" w:space="0"/>
            </w:tcBorders>
            <w:noWrap/>
            <w:vAlign w:val="bottom"/>
          </w:tcPr>
          <w:p w14:paraId="5D666E1D">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12.02 </w:t>
            </w:r>
          </w:p>
        </w:tc>
        <w:tc>
          <w:tcPr>
            <w:tcW w:w="621" w:type="dxa"/>
            <w:tcBorders>
              <w:top w:val="single" w:color="7E7E7E" w:themeColor="text1" w:themeTint="80" w:sz="4" w:space="0"/>
              <w:bottom w:val="single" w:color="7E7E7E" w:themeColor="text1" w:themeTint="80" w:sz="4" w:space="0"/>
            </w:tcBorders>
            <w:noWrap/>
            <w:vAlign w:val="bottom"/>
          </w:tcPr>
          <w:p w14:paraId="3D9B36B0">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9.99 </w:t>
            </w:r>
          </w:p>
        </w:tc>
        <w:tc>
          <w:tcPr>
            <w:tcW w:w="621" w:type="dxa"/>
            <w:tcBorders>
              <w:top w:val="single" w:color="7E7E7E" w:themeColor="text1" w:themeTint="80" w:sz="4" w:space="0"/>
              <w:bottom w:val="single" w:color="7E7E7E" w:themeColor="text1" w:themeTint="80" w:sz="4" w:space="0"/>
            </w:tcBorders>
            <w:noWrap/>
            <w:vAlign w:val="bottom"/>
          </w:tcPr>
          <w:p w14:paraId="068DC3D9">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10.98 </w:t>
            </w:r>
          </w:p>
        </w:tc>
        <w:tc>
          <w:tcPr>
            <w:tcW w:w="621" w:type="dxa"/>
            <w:tcBorders>
              <w:top w:val="single" w:color="7E7E7E" w:themeColor="text1" w:themeTint="80" w:sz="4" w:space="0"/>
              <w:bottom w:val="single" w:color="7E7E7E" w:themeColor="text1" w:themeTint="80" w:sz="4" w:space="0"/>
            </w:tcBorders>
            <w:noWrap/>
            <w:vAlign w:val="bottom"/>
          </w:tcPr>
          <w:p w14:paraId="079F215F">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12.29 </w:t>
            </w:r>
          </w:p>
        </w:tc>
        <w:tc>
          <w:tcPr>
            <w:tcW w:w="621" w:type="dxa"/>
            <w:tcBorders>
              <w:top w:val="single" w:color="7E7E7E" w:themeColor="text1" w:themeTint="80" w:sz="4" w:space="0"/>
              <w:bottom w:val="single" w:color="7E7E7E" w:themeColor="text1" w:themeTint="80" w:sz="4" w:space="0"/>
            </w:tcBorders>
            <w:noWrap/>
            <w:vAlign w:val="bottom"/>
          </w:tcPr>
          <w:p w14:paraId="7ECFDC33">
            <w:pPr>
              <w:widowControl/>
              <w:spacing w:after="0" w:line="240" w:lineRule="auto"/>
              <w:jc w:val="center"/>
              <w:rPr>
                <w:rFonts w:hint="eastAsia" w:ascii="华文楷体" w:hAnsi="华文楷体" w:eastAsia="华文楷体" w:cs="宋体"/>
                <w:color w:val="000000"/>
                <w:kern w:val="0"/>
                <w:sz w:val="15"/>
                <w:szCs w:val="15"/>
                <w14:ligatures w14:val="none"/>
              </w:rPr>
            </w:pPr>
            <w:r>
              <w:rPr>
                <w:rFonts w:hint="eastAsia" w:ascii="华文楷体" w:hAnsi="华文楷体" w:eastAsia="华文楷体" w:cs="宋体"/>
                <w:color w:val="000000"/>
                <w:kern w:val="0"/>
                <w:sz w:val="15"/>
                <w:szCs w:val="15"/>
                <w14:ligatures w14:val="none"/>
              </w:rPr>
              <w:t xml:space="preserve">10.51 </w:t>
            </w:r>
          </w:p>
        </w:tc>
      </w:tr>
      <w:bookmarkEnd w:id="98"/>
    </w:tbl>
    <w:p w14:paraId="0E679615">
      <w:pPr>
        <w:jc w:val="center"/>
        <w:rPr>
          <w:rFonts w:hint="eastAsia" w:ascii="华文楷体" w:hAnsi="华文楷体" w:eastAsia="华文楷体"/>
          <w:sz w:val="24"/>
        </w:rPr>
      </w:pPr>
      <w:r>
        <w:rPr>
          <w14:ligatures w14:val="none"/>
        </w:rPr>
        <w:drawing>
          <wp:inline distT="0" distB="0" distL="0" distR="0">
            <wp:extent cx="3895090" cy="3844290"/>
            <wp:effectExtent l="0" t="0" r="0" b="3810"/>
            <wp:docPr id="42450258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02586" name="图片 1" descr="图表, 折线图&#10;&#10;AI 生成的内容可能不正确。"/>
                    <pic:cNvPicPr>
                      <a:picLocks noChangeAspect="1"/>
                    </pic:cNvPicPr>
                  </pic:nvPicPr>
                  <pic:blipFill>
                    <a:blip r:embed="rId14"/>
                    <a:stretch>
                      <a:fillRect/>
                    </a:stretch>
                  </pic:blipFill>
                  <pic:spPr>
                    <a:xfrm>
                      <a:off x="0" y="0"/>
                      <a:ext cx="3898237" cy="3847549"/>
                    </a:xfrm>
                    <a:prstGeom prst="rect">
                      <a:avLst/>
                    </a:prstGeom>
                  </pic:spPr>
                </pic:pic>
              </a:graphicData>
            </a:graphic>
          </wp:inline>
        </w:drawing>
      </w:r>
    </w:p>
    <w:p w14:paraId="1CBECF9A">
      <w:pPr>
        <w:jc w:val="center"/>
        <w:rPr>
          <w:rFonts w:hint="eastAsia" w:ascii="华文楷体" w:hAnsi="华文楷体" w:eastAsia="华文楷体"/>
          <w:sz w:val="24"/>
        </w:rPr>
      </w:pPr>
      <w:bookmarkStart w:id="102" w:name="OLE_LINK215"/>
      <w:bookmarkStart w:id="103" w:name="OLE_LINK409"/>
      <w:r>
        <w:rPr>
          <w:rFonts w:hint="eastAsia" w:ascii="华文楷体" w:hAnsi="华文楷体" w:eastAsia="华文楷体"/>
          <w:sz w:val="24"/>
        </w:rPr>
        <w:t>图2-7</w:t>
      </w:r>
      <w:bookmarkEnd w:id="102"/>
      <w:r>
        <w:rPr>
          <w:rFonts w:hint="eastAsia" w:ascii="华文楷体" w:hAnsi="华文楷体" w:eastAsia="华文楷体"/>
          <w:sz w:val="24"/>
        </w:rPr>
        <w:t xml:space="preserve"> 2025年各城市碳减排贡献度</w:t>
      </w:r>
      <w:r>
        <w:rPr>
          <w:rFonts w:ascii="华文楷体" w:hAnsi="华文楷体" w:eastAsia="华文楷体"/>
          <w:sz w:val="24"/>
        </w:rPr>
        <w:t xml:space="preserve"> (吨CO</w:t>
      </w:r>
      <w:r>
        <w:rPr>
          <w:rFonts w:ascii="Cambria Math" w:hAnsi="Cambria Math" w:eastAsia="华文楷体" w:cs="Cambria Math"/>
          <w:sz w:val="24"/>
        </w:rPr>
        <w:t>₂</w:t>
      </w:r>
      <w:r>
        <w:rPr>
          <w:rFonts w:ascii="华文楷体" w:hAnsi="华文楷体" w:eastAsia="华文楷体"/>
          <w:sz w:val="24"/>
        </w:rPr>
        <w:t>)</w:t>
      </w:r>
      <w:r>
        <w:rPr>
          <w:rFonts w:hint="eastAsia" w:ascii="华文楷体" w:hAnsi="华文楷体" w:eastAsia="华文楷体"/>
          <w:sz w:val="24"/>
        </w:rPr>
        <w:t>趋势图（指数排名前五名以及最后两名）</w:t>
      </w:r>
    </w:p>
    <w:bookmarkEnd w:id="103"/>
    <w:p w14:paraId="61F04A1B">
      <w:pPr>
        <w:ind w:firstLine="480" w:firstLineChars="200"/>
        <w:jc w:val="both"/>
        <w:rPr>
          <w:rFonts w:hint="eastAsia" w:ascii="华文楷体" w:hAnsi="华文楷体" w:eastAsia="华文楷体"/>
          <w:sz w:val="24"/>
        </w:rPr>
      </w:pPr>
      <w:bookmarkStart w:id="104" w:name="OLE_LINK395"/>
      <w:r>
        <w:rPr>
          <w:rFonts w:hint="eastAsia" w:ascii="华文楷体" w:hAnsi="华文楷体" w:eastAsia="华文楷体"/>
          <w:sz w:val="24"/>
        </w:rPr>
        <w:t>浙江省2025年老旧营运货车报废更新补贴政策</w:t>
      </w:r>
      <w:r>
        <w:rPr>
          <w:rStyle w:val="24"/>
          <w:rFonts w:hint="eastAsia" w:ascii="华文楷体" w:hAnsi="华文楷体" w:eastAsia="华文楷体"/>
          <w:sz w:val="24"/>
        </w:rPr>
        <w:footnoteReference w:id="18"/>
      </w:r>
      <w:r>
        <w:rPr>
          <w:rFonts w:hint="eastAsia" w:ascii="华文楷体" w:hAnsi="华文楷体" w:eastAsia="华文楷体"/>
          <w:sz w:val="24"/>
        </w:rPr>
        <w:t>于2025年4月10日发布，补贴范围扩大至国四及以下老旧营运货车，车辆补贴标准最高可达14万元,该政策通过鼓励新能源货车替代燃油车，有利于降低高速公路货车碳排放。</w:t>
      </w:r>
    </w:p>
    <w:p w14:paraId="0AE72B16">
      <w:pPr>
        <w:ind w:firstLine="480" w:firstLineChars="200"/>
        <w:jc w:val="both"/>
        <w:rPr>
          <w:rFonts w:hint="eastAsia" w:ascii="华文楷体" w:hAnsi="华文楷体" w:eastAsia="华文楷体"/>
          <w:sz w:val="24"/>
        </w:rPr>
      </w:pPr>
      <w:r>
        <w:rPr>
          <w:rFonts w:hint="eastAsia" w:ascii="华文楷体" w:hAnsi="华文楷体" w:eastAsia="华文楷体"/>
          <w:sz w:val="24"/>
        </w:rPr>
        <w:t>杭州市在</w:t>
      </w:r>
      <w:r>
        <w:rPr>
          <w:rFonts w:ascii="华文楷体" w:hAnsi="华文楷体" w:eastAsia="华文楷体"/>
          <w:sz w:val="24"/>
        </w:rPr>
        <w:t>政策发布前（1-3月）碳减排贡献度均值</w:t>
      </w:r>
      <w:r>
        <w:rPr>
          <w:rFonts w:hint="eastAsia" w:ascii="华文楷体" w:hAnsi="华文楷体" w:eastAsia="华文楷体"/>
          <w:sz w:val="24"/>
        </w:rPr>
        <w:t>为</w:t>
      </w:r>
      <w:r>
        <w:rPr>
          <w:rFonts w:ascii="华文楷体" w:hAnsi="华文楷体" w:eastAsia="华文楷体"/>
          <w:sz w:val="24"/>
        </w:rPr>
        <w:t>366.99吨CO</w:t>
      </w:r>
      <w:r>
        <w:rPr>
          <w:rFonts w:ascii="Cambria Math" w:hAnsi="Cambria Math" w:eastAsia="华文楷体" w:cs="Cambria Math"/>
          <w:sz w:val="24"/>
        </w:rPr>
        <w:t>₂</w:t>
      </w:r>
      <w:r>
        <w:rPr>
          <w:rFonts w:hint="eastAsia" w:ascii="华文楷体" w:hAnsi="华文楷体" w:eastAsia="华文楷体"/>
          <w:sz w:val="24"/>
        </w:rPr>
        <w:t>，</w:t>
      </w:r>
      <w:r>
        <w:rPr>
          <w:rFonts w:ascii="华文楷体" w:hAnsi="华文楷体" w:eastAsia="华文楷体"/>
          <w:sz w:val="24"/>
        </w:rPr>
        <w:t>政策发布后（4-12月）贡献度均值</w:t>
      </w:r>
      <w:r>
        <w:rPr>
          <w:rFonts w:hint="eastAsia" w:ascii="华文楷体" w:hAnsi="华文楷体" w:eastAsia="华文楷体"/>
          <w:sz w:val="24"/>
        </w:rPr>
        <w:t>为</w:t>
      </w:r>
      <w:r>
        <w:rPr>
          <w:rFonts w:ascii="华文楷体" w:hAnsi="华文楷体" w:eastAsia="华文楷体"/>
          <w:sz w:val="24"/>
        </w:rPr>
        <w:t>438.52吨CO</w:t>
      </w:r>
      <w:r>
        <w:rPr>
          <w:rFonts w:ascii="Cambria Math" w:hAnsi="Cambria Math" w:eastAsia="华文楷体" w:cs="Cambria Math"/>
          <w:sz w:val="24"/>
        </w:rPr>
        <w:t>₂</w:t>
      </w:r>
      <w:r>
        <w:rPr>
          <w:rFonts w:ascii="华文楷体" w:hAnsi="华文楷体" w:eastAsia="华文楷体"/>
          <w:sz w:val="24"/>
        </w:rPr>
        <w:t>，</w:t>
      </w:r>
      <w:r>
        <w:rPr>
          <w:rFonts w:hint="eastAsia" w:ascii="华文楷体" w:hAnsi="华文楷体" w:eastAsia="华文楷体"/>
          <w:sz w:val="24"/>
        </w:rPr>
        <w:t>贡献度</w:t>
      </w:r>
      <w:r>
        <w:rPr>
          <w:rFonts w:ascii="华文楷体" w:hAnsi="华文楷体" w:eastAsia="华文楷体"/>
          <w:sz w:val="24"/>
        </w:rPr>
        <w:t>增长19.5%。配套政策《2025年杭州市重载营运货车新能源化补助申请公告》于2025年6月13日发布，每车补助6万元。政策叠加效应下，杭州市2025年全年淘汰国四及以下柴油货车1386辆，兑付补贴资金超1.04亿元，带动新购新能源货车521辆</w:t>
      </w:r>
      <w:r>
        <w:rPr>
          <w:rStyle w:val="24"/>
          <w:rFonts w:hint="eastAsia" w:ascii="华文楷体" w:hAnsi="华文楷体" w:eastAsia="华文楷体"/>
          <w:sz w:val="24"/>
        </w:rPr>
        <w:footnoteReference w:id="19"/>
      </w:r>
      <w:r>
        <w:rPr>
          <w:rFonts w:hint="eastAsia" w:ascii="华文楷体" w:hAnsi="华文楷体" w:eastAsia="华文楷体"/>
          <w:sz w:val="24"/>
        </w:rPr>
        <w:t>，提升了杭州市的碳减排贡献度</w:t>
      </w:r>
      <w:r>
        <w:rPr>
          <w:rFonts w:ascii="华文楷体" w:hAnsi="华文楷体" w:eastAsia="华文楷体"/>
          <w:sz w:val="24"/>
        </w:rPr>
        <w:t>。</w:t>
      </w:r>
    </w:p>
    <w:p w14:paraId="1A43C3F8">
      <w:pPr>
        <w:ind w:firstLine="480" w:firstLineChars="200"/>
        <w:jc w:val="both"/>
        <w:rPr>
          <w:rFonts w:hint="eastAsia" w:ascii="华文楷体" w:hAnsi="华文楷体" w:eastAsia="华文楷体"/>
          <w:sz w:val="24"/>
        </w:rPr>
      </w:pPr>
      <w:r>
        <w:rPr>
          <w:rFonts w:hint="eastAsia" w:ascii="华文楷体" w:hAnsi="华文楷体" w:eastAsia="华文楷体"/>
          <w:sz w:val="24"/>
        </w:rPr>
        <w:t>嘉兴市在</w:t>
      </w:r>
      <w:r>
        <w:rPr>
          <w:rFonts w:ascii="华文楷体" w:hAnsi="华文楷体" w:eastAsia="华文楷体"/>
          <w:sz w:val="24"/>
        </w:rPr>
        <w:t>政策发布前（1-3月）碳减排贡献度均值</w:t>
      </w:r>
      <w:r>
        <w:rPr>
          <w:rFonts w:hint="eastAsia" w:ascii="华文楷体" w:hAnsi="华文楷体" w:eastAsia="华文楷体"/>
          <w:sz w:val="24"/>
        </w:rPr>
        <w:t>为</w:t>
      </w:r>
      <w:r>
        <w:rPr>
          <w:rFonts w:ascii="华文楷体" w:hAnsi="华文楷体" w:eastAsia="华文楷体"/>
          <w:sz w:val="24"/>
        </w:rPr>
        <w:t>43.79吨CO</w:t>
      </w:r>
      <w:r>
        <w:rPr>
          <w:rFonts w:ascii="Cambria Math" w:hAnsi="Cambria Math" w:eastAsia="华文楷体" w:cs="Cambria Math"/>
          <w:sz w:val="24"/>
        </w:rPr>
        <w:t>₂</w:t>
      </w:r>
      <w:r>
        <w:rPr>
          <w:rFonts w:hint="eastAsia" w:ascii="华文楷体" w:hAnsi="华文楷体" w:eastAsia="华文楷体"/>
          <w:sz w:val="24"/>
        </w:rPr>
        <w:t>，</w:t>
      </w:r>
      <w:r>
        <w:rPr>
          <w:rFonts w:ascii="华文楷体" w:hAnsi="华文楷体" w:eastAsia="华文楷体"/>
          <w:sz w:val="24"/>
        </w:rPr>
        <w:t>政策发布后（4-12月）贡献度均值</w:t>
      </w:r>
      <w:r>
        <w:rPr>
          <w:rFonts w:hint="eastAsia" w:ascii="华文楷体" w:hAnsi="华文楷体" w:eastAsia="华文楷体"/>
          <w:sz w:val="24"/>
        </w:rPr>
        <w:t>为</w:t>
      </w:r>
      <w:r>
        <w:rPr>
          <w:rFonts w:ascii="华文楷体" w:hAnsi="华文楷体" w:eastAsia="华文楷体"/>
          <w:sz w:val="24"/>
        </w:rPr>
        <w:t>57.26吨CO</w:t>
      </w:r>
      <w:r>
        <w:rPr>
          <w:rFonts w:ascii="Cambria Math" w:hAnsi="Cambria Math" w:eastAsia="华文楷体" w:cs="Cambria Math"/>
          <w:sz w:val="24"/>
        </w:rPr>
        <w:t>₂</w:t>
      </w:r>
      <w:r>
        <w:rPr>
          <w:rFonts w:ascii="华文楷体" w:hAnsi="华文楷体" w:eastAsia="华文楷体"/>
          <w:sz w:val="24"/>
        </w:rPr>
        <w:t>，</w:t>
      </w:r>
      <w:r>
        <w:rPr>
          <w:rFonts w:hint="eastAsia" w:ascii="华文楷体" w:hAnsi="华文楷体" w:eastAsia="华文楷体"/>
          <w:sz w:val="24"/>
        </w:rPr>
        <w:t>贡献度</w:t>
      </w:r>
      <w:r>
        <w:rPr>
          <w:rFonts w:ascii="华文楷体" w:hAnsi="华文楷体" w:eastAsia="华文楷体"/>
          <w:sz w:val="24"/>
        </w:rPr>
        <w:t>增长30.8%</w:t>
      </w:r>
      <w:r>
        <w:rPr>
          <w:rFonts w:hint="eastAsia" w:ascii="华文楷体" w:hAnsi="华文楷体" w:eastAsia="华文楷体"/>
          <w:sz w:val="24"/>
        </w:rPr>
        <w:t>，</w:t>
      </w:r>
      <w:r>
        <w:rPr>
          <w:rFonts w:ascii="华文楷体" w:hAnsi="华文楷体" w:eastAsia="华文楷体"/>
          <w:sz w:val="24"/>
        </w:rPr>
        <w:t>嘉兴市高速公路密度全省第一，为新能源货车通行提供基础设施支撑。</w:t>
      </w:r>
    </w:p>
    <w:p w14:paraId="5378992B">
      <w:pPr>
        <w:ind w:firstLine="480" w:firstLineChars="200"/>
        <w:jc w:val="both"/>
        <w:rPr>
          <w:rFonts w:hint="eastAsia" w:ascii="华文楷体" w:hAnsi="华文楷体" w:eastAsia="华文楷体"/>
          <w:sz w:val="24"/>
        </w:rPr>
      </w:pPr>
      <w:r>
        <w:rPr>
          <w:rFonts w:hint="eastAsia" w:ascii="华文楷体" w:hAnsi="华文楷体" w:eastAsia="华文楷体"/>
          <w:sz w:val="24"/>
        </w:rPr>
        <w:t>金华市在</w:t>
      </w:r>
      <w:r>
        <w:rPr>
          <w:rFonts w:ascii="华文楷体" w:hAnsi="华文楷体" w:eastAsia="华文楷体"/>
          <w:sz w:val="24"/>
        </w:rPr>
        <w:t>政策发布前（1-3月）碳减排贡献度均值</w:t>
      </w:r>
      <w:r>
        <w:rPr>
          <w:rFonts w:hint="eastAsia" w:ascii="华文楷体" w:hAnsi="华文楷体" w:eastAsia="华文楷体"/>
          <w:sz w:val="24"/>
        </w:rPr>
        <w:t>为</w:t>
      </w:r>
      <w:r>
        <w:rPr>
          <w:rFonts w:ascii="华文楷体" w:hAnsi="华文楷体" w:eastAsia="华文楷体"/>
          <w:sz w:val="24"/>
        </w:rPr>
        <w:t>68.97吨CO</w:t>
      </w:r>
      <w:r>
        <w:rPr>
          <w:rFonts w:ascii="Cambria Math" w:hAnsi="Cambria Math" w:eastAsia="华文楷体" w:cs="Cambria Math"/>
          <w:sz w:val="24"/>
        </w:rPr>
        <w:t>₂</w:t>
      </w:r>
      <w:r>
        <w:rPr>
          <w:rFonts w:hint="eastAsia" w:ascii="华文楷体" w:hAnsi="华文楷体" w:eastAsia="华文楷体"/>
          <w:sz w:val="24"/>
        </w:rPr>
        <w:t>，</w:t>
      </w:r>
      <w:r>
        <w:rPr>
          <w:rFonts w:ascii="华文楷体" w:hAnsi="华文楷体" w:eastAsia="华文楷体"/>
          <w:sz w:val="24"/>
        </w:rPr>
        <w:t>政策发布后（4-12月）贡献度均值</w:t>
      </w:r>
      <w:r>
        <w:rPr>
          <w:rFonts w:hint="eastAsia" w:ascii="华文楷体" w:hAnsi="华文楷体" w:eastAsia="华文楷体"/>
          <w:sz w:val="24"/>
        </w:rPr>
        <w:t>为</w:t>
      </w:r>
      <w:r>
        <w:rPr>
          <w:rFonts w:ascii="华文楷体" w:hAnsi="华文楷体" w:eastAsia="华文楷体"/>
          <w:sz w:val="24"/>
        </w:rPr>
        <w:t>84.07吨CO</w:t>
      </w:r>
      <w:r>
        <w:rPr>
          <w:rFonts w:ascii="Cambria Math" w:hAnsi="Cambria Math" w:eastAsia="华文楷体" w:cs="Cambria Math"/>
          <w:sz w:val="24"/>
        </w:rPr>
        <w:t>₂</w:t>
      </w:r>
      <w:r>
        <w:rPr>
          <w:rFonts w:ascii="华文楷体" w:hAnsi="华文楷体" w:eastAsia="华文楷体"/>
          <w:sz w:val="24"/>
        </w:rPr>
        <w:t>，</w:t>
      </w:r>
      <w:r>
        <w:rPr>
          <w:rFonts w:hint="eastAsia" w:ascii="华文楷体" w:hAnsi="华文楷体" w:eastAsia="华文楷体"/>
          <w:sz w:val="24"/>
        </w:rPr>
        <w:t>贡献度</w:t>
      </w:r>
      <w:r>
        <w:rPr>
          <w:rFonts w:ascii="华文楷体" w:hAnsi="华文楷体" w:eastAsia="华文楷体"/>
          <w:sz w:val="24"/>
        </w:rPr>
        <w:t>增长21.9%</w:t>
      </w:r>
      <w:r>
        <w:rPr>
          <w:rFonts w:hint="eastAsia" w:ascii="华文楷体" w:hAnsi="华文楷体" w:eastAsia="华文楷体"/>
          <w:sz w:val="24"/>
        </w:rPr>
        <w:t>，</w:t>
      </w:r>
      <w:r>
        <w:rPr>
          <w:rFonts w:ascii="华文楷体" w:hAnsi="华文楷体" w:eastAsia="华文楷体"/>
          <w:sz w:val="24"/>
        </w:rPr>
        <w:t>甬金高速金华段2025年4月底充电站建成，新能源重卡行驶里程增加，碳减排贡献度显著提升。</w:t>
      </w:r>
      <w:r>
        <w:rPr>
          <w:rFonts w:hint="eastAsia" w:ascii="华文楷体" w:hAnsi="华文楷体" w:eastAsia="华文楷体"/>
          <w:sz w:val="24"/>
        </w:rPr>
        <w:t>宁波市在</w:t>
      </w:r>
      <w:r>
        <w:rPr>
          <w:rFonts w:ascii="华文楷体" w:hAnsi="华文楷体" w:eastAsia="华文楷体"/>
          <w:sz w:val="24"/>
        </w:rPr>
        <w:t>政策发布前（1-3月）碳减排贡献度均值</w:t>
      </w:r>
      <w:r>
        <w:rPr>
          <w:rFonts w:hint="eastAsia" w:ascii="华文楷体" w:hAnsi="华文楷体" w:eastAsia="华文楷体"/>
          <w:sz w:val="24"/>
        </w:rPr>
        <w:t>为</w:t>
      </w:r>
      <w:r>
        <w:rPr>
          <w:rFonts w:ascii="华文楷体" w:hAnsi="华文楷体" w:eastAsia="华文楷体"/>
          <w:sz w:val="24"/>
        </w:rPr>
        <w:t>128.86吨CO</w:t>
      </w:r>
      <w:r>
        <w:rPr>
          <w:rFonts w:ascii="Cambria Math" w:hAnsi="Cambria Math" w:eastAsia="华文楷体" w:cs="Cambria Math"/>
          <w:sz w:val="24"/>
        </w:rPr>
        <w:t>₂</w:t>
      </w:r>
      <w:r>
        <w:rPr>
          <w:rFonts w:hint="eastAsia" w:ascii="华文楷体" w:hAnsi="华文楷体" w:eastAsia="华文楷体"/>
          <w:sz w:val="24"/>
        </w:rPr>
        <w:t>，</w:t>
      </w:r>
      <w:r>
        <w:rPr>
          <w:rFonts w:ascii="华文楷体" w:hAnsi="华文楷体" w:eastAsia="华文楷体"/>
          <w:sz w:val="24"/>
        </w:rPr>
        <w:t>政策发布后（4-12月）贡献度均值</w:t>
      </w:r>
      <w:r>
        <w:rPr>
          <w:rFonts w:hint="eastAsia" w:ascii="华文楷体" w:hAnsi="华文楷体" w:eastAsia="华文楷体"/>
          <w:sz w:val="24"/>
        </w:rPr>
        <w:t>为</w:t>
      </w:r>
      <w:r>
        <w:rPr>
          <w:rFonts w:ascii="华文楷体" w:hAnsi="华文楷体" w:eastAsia="华文楷体"/>
          <w:sz w:val="24"/>
        </w:rPr>
        <w:t>154.24吨CO</w:t>
      </w:r>
      <w:r>
        <w:rPr>
          <w:rFonts w:ascii="Cambria Math" w:hAnsi="Cambria Math" w:eastAsia="华文楷体" w:cs="Cambria Math"/>
          <w:sz w:val="24"/>
        </w:rPr>
        <w:t>₂</w:t>
      </w:r>
      <w:r>
        <w:rPr>
          <w:rFonts w:ascii="华文楷体" w:hAnsi="华文楷体" w:eastAsia="华文楷体"/>
          <w:sz w:val="24"/>
        </w:rPr>
        <w:t>，</w:t>
      </w:r>
      <w:r>
        <w:rPr>
          <w:rFonts w:hint="eastAsia" w:ascii="华文楷体" w:hAnsi="华文楷体" w:eastAsia="华文楷体"/>
          <w:sz w:val="24"/>
        </w:rPr>
        <w:t>贡献度</w:t>
      </w:r>
      <w:r>
        <w:rPr>
          <w:rFonts w:ascii="华文楷体" w:hAnsi="华文楷体" w:eastAsia="华文楷体"/>
          <w:sz w:val="24"/>
        </w:rPr>
        <w:t>增长19.7%</w:t>
      </w:r>
      <w:r>
        <w:rPr>
          <w:rFonts w:hint="eastAsia" w:ascii="华文楷体" w:hAnsi="华文楷体" w:eastAsia="华文楷体"/>
          <w:sz w:val="24"/>
        </w:rPr>
        <w:t>，</w:t>
      </w:r>
      <w:r>
        <w:rPr>
          <w:rFonts w:ascii="华文楷体" w:hAnsi="华文楷体" w:eastAsia="华文楷体"/>
          <w:sz w:val="24"/>
        </w:rPr>
        <w:t>宁波-义乌新能源重卡线路2025年4月底充电站建成</w:t>
      </w:r>
      <w:r>
        <w:rPr>
          <w:rStyle w:val="24"/>
          <w:rFonts w:hint="eastAsia" w:ascii="华文楷体" w:hAnsi="华文楷体" w:eastAsia="华文楷体"/>
          <w:sz w:val="24"/>
        </w:rPr>
        <w:footnoteReference w:id="20"/>
      </w:r>
      <w:r>
        <w:rPr>
          <w:rFonts w:ascii="华文楷体" w:hAnsi="华文楷体" w:eastAsia="华文楷体"/>
          <w:sz w:val="24"/>
        </w:rPr>
        <w:t>，推动港口集疏运碳减排。</w:t>
      </w:r>
    </w:p>
    <w:p w14:paraId="31786155">
      <w:pPr>
        <w:ind w:firstLine="480" w:firstLineChars="200"/>
        <w:jc w:val="both"/>
        <w:rPr>
          <w:rFonts w:hint="eastAsia" w:ascii="华文楷体" w:hAnsi="华文楷体" w:eastAsia="华文楷体"/>
          <w:sz w:val="24"/>
        </w:rPr>
      </w:pPr>
      <w:r>
        <w:rPr>
          <w:rFonts w:hint="eastAsia" w:ascii="华文楷体" w:hAnsi="华文楷体" w:eastAsia="华文楷体"/>
          <w:sz w:val="24"/>
        </w:rPr>
        <w:t>绍兴市的</w:t>
      </w:r>
      <w:r>
        <w:rPr>
          <w:rFonts w:ascii="华文楷体" w:hAnsi="华文楷体" w:eastAsia="华文楷体"/>
          <w:sz w:val="24"/>
        </w:rPr>
        <w:t>嵊州服务区重卡换电站于2025年8月1日投运，投运前（1-7月）绍兴市碳减排贡献度均值35.63吨CO</w:t>
      </w:r>
      <w:r>
        <w:rPr>
          <w:rFonts w:ascii="Cambria Math" w:hAnsi="Cambria Math" w:eastAsia="华文楷体" w:cs="Cambria Math"/>
          <w:sz w:val="24"/>
        </w:rPr>
        <w:t>₂</w:t>
      </w:r>
      <w:r>
        <w:rPr>
          <w:rFonts w:hint="eastAsia" w:ascii="华文楷体" w:hAnsi="华文楷体" w:eastAsia="华文楷体"/>
          <w:sz w:val="24"/>
        </w:rPr>
        <w:t>，</w:t>
      </w:r>
      <w:r>
        <w:rPr>
          <w:rFonts w:ascii="华文楷体" w:hAnsi="华文楷体" w:eastAsia="华文楷体"/>
          <w:sz w:val="24"/>
        </w:rPr>
        <w:t>投运后（8-12月）贡献度均值44.67吨CO</w:t>
      </w:r>
      <w:r>
        <w:rPr>
          <w:rFonts w:ascii="Cambria Math" w:hAnsi="Cambria Math" w:eastAsia="华文楷体" w:cs="Cambria Math"/>
          <w:sz w:val="24"/>
        </w:rPr>
        <w:t>₂</w:t>
      </w:r>
      <w:r>
        <w:rPr>
          <w:rFonts w:ascii="华文楷体" w:hAnsi="华文楷体" w:eastAsia="华文楷体"/>
          <w:sz w:val="24"/>
        </w:rPr>
        <w:t>，增长25.4%。截至2026年1月底，重卡换电站累计完成换电4557车次</w:t>
      </w:r>
      <w:r>
        <w:rPr>
          <w:rStyle w:val="24"/>
          <w:rFonts w:hint="eastAsia" w:ascii="华文楷体" w:hAnsi="华文楷体" w:eastAsia="华文楷体"/>
          <w:sz w:val="24"/>
        </w:rPr>
        <w:footnoteReference w:id="21"/>
      </w:r>
      <w:r>
        <w:rPr>
          <w:rFonts w:hint="eastAsia" w:ascii="华文楷体" w:hAnsi="华文楷体" w:eastAsia="华文楷体"/>
          <w:sz w:val="24"/>
        </w:rPr>
        <w:t>。</w:t>
      </w:r>
    </w:p>
    <w:bookmarkEnd w:id="104"/>
    <w:p w14:paraId="23995710">
      <w:pPr>
        <w:pStyle w:val="4"/>
        <w:rPr>
          <w:rFonts w:hint="eastAsia" w:ascii="华文楷体" w:hAnsi="华文楷体" w:eastAsia="华文楷体"/>
          <w:b/>
          <w:bCs/>
          <w:color w:val="000000" w:themeColor="text1"/>
          <w:sz w:val="24"/>
          <w:szCs w:val="24"/>
          <w14:textFill>
            <w14:solidFill>
              <w14:schemeClr w14:val="tx1"/>
            </w14:solidFill>
          </w14:textFill>
        </w:rPr>
      </w:pPr>
      <w:r>
        <w:rPr>
          <w:rFonts w:ascii="华文楷体" w:hAnsi="华文楷体" w:eastAsia="华文楷体"/>
          <w:b/>
          <w:bCs/>
          <w:color w:val="000000" w:themeColor="text1"/>
          <w:sz w:val="24"/>
          <w:szCs w:val="24"/>
          <w14:textFill>
            <w14:solidFill>
              <w14:schemeClr w14:val="tx1"/>
            </w14:solidFill>
          </w14:textFill>
        </w:rPr>
        <w:t>2.2.</w:t>
      </w:r>
      <w:r>
        <w:rPr>
          <w:rFonts w:hint="eastAsia" w:ascii="华文楷体" w:hAnsi="华文楷体" w:eastAsia="华文楷体"/>
          <w:b/>
          <w:bCs/>
          <w:color w:val="000000" w:themeColor="text1"/>
          <w:sz w:val="24"/>
          <w:szCs w:val="24"/>
          <w14:textFill>
            <w14:solidFill>
              <w14:schemeClr w14:val="tx1"/>
            </w14:solidFill>
          </w14:textFill>
        </w:rPr>
        <w:t xml:space="preserve">5 </w:t>
      </w:r>
      <w:bookmarkStart w:id="105" w:name="OLE_LINK83"/>
      <w:r>
        <w:rPr>
          <w:rFonts w:ascii="华文楷体" w:hAnsi="华文楷体" w:eastAsia="华文楷体"/>
          <w:b/>
          <w:bCs/>
          <w:color w:val="000000" w:themeColor="text1"/>
          <w:sz w:val="24"/>
          <w:szCs w:val="24"/>
          <w14:textFill>
            <w14:solidFill>
              <w14:schemeClr w14:val="tx1"/>
            </w14:solidFill>
          </w14:textFill>
        </w:rPr>
        <w:t>产业链</w:t>
      </w:r>
      <w:bookmarkStart w:id="106" w:name="OLE_LINK62"/>
      <w:r>
        <w:rPr>
          <w:rFonts w:hint="eastAsia" w:ascii="华文楷体" w:hAnsi="华文楷体" w:eastAsia="华文楷体"/>
          <w:b/>
          <w:bCs/>
          <w:color w:val="000000" w:themeColor="text1"/>
          <w:sz w:val="24"/>
          <w:szCs w:val="24"/>
          <w14:textFill>
            <w14:solidFill>
              <w14:schemeClr w14:val="tx1"/>
            </w14:solidFill>
          </w14:textFill>
        </w:rPr>
        <w:t>聚集度分析</w:t>
      </w:r>
      <w:bookmarkEnd w:id="105"/>
      <w:bookmarkEnd w:id="106"/>
    </w:p>
    <w:p w14:paraId="177A2438">
      <w:pPr>
        <w:ind w:firstLine="480" w:firstLineChars="200"/>
        <w:jc w:val="both"/>
        <w:rPr>
          <w:rFonts w:hint="eastAsia" w:ascii="华文楷体" w:hAnsi="华文楷体" w:eastAsia="华文楷体"/>
          <w:sz w:val="24"/>
        </w:rPr>
      </w:pPr>
      <w:bookmarkStart w:id="107" w:name="OLE_LINK61"/>
      <w:bookmarkStart w:id="108" w:name="OLE_LINK118"/>
      <w:bookmarkStart w:id="109" w:name="OLE_LINK196"/>
      <w:r>
        <w:rPr>
          <w:rFonts w:ascii="华文楷体" w:hAnsi="华文楷体" w:eastAsia="华文楷体"/>
          <w:sz w:val="24"/>
        </w:rPr>
        <w:t>产业链</w:t>
      </w:r>
      <w:bookmarkEnd w:id="107"/>
      <w:r>
        <w:rPr>
          <w:rFonts w:ascii="华文楷体" w:hAnsi="华文楷体" w:eastAsia="华文楷体"/>
          <w:sz w:val="24"/>
        </w:rPr>
        <w:t>聚集度</w:t>
      </w:r>
      <w:bookmarkEnd w:id="108"/>
      <w:r>
        <w:rPr>
          <w:rFonts w:ascii="华文楷体" w:hAnsi="华文楷体" w:eastAsia="华文楷体"/>
          <w:sz w:val="24"/>
        </w:rPr>
        <w:t xml:space="preserve"> (HHI指数) </w:t>
      </w:r>
      <w:r>
        <w:rPr>
          <w:rFonts w:hint="eastAsia" w:ascii="华文楷体" w:hAnsi="华文楷体" w:eastAsia="华文楷体"/>
          <w:sz w:val="24"/>
        </w:rPr>
        <w:t>分析指标</w:t>
      </w:r>
      <w:r>
        <w:rPr>
          <w:rFonts w:ascii="华文楷体" w:hAnsi="华文楷体" w:eastAsia="华文楷体"/>
          <w:sz w:val="24"/>
        </w:rPr>
        <w:t>通过计算</w:t>
      </w:r>
      <w:r>
        <w:rPr>
          <w:rFonts w:hint="eastAsia" w:ascii="华文楷体" w:hAnsi="华文楷体" w:eastAsia="华文楷体"/>
          <w:sz w:val="24"/>
        </w:rPr>
        <w:t>各城市进产业园区车流量占总总车流量的比例的平方和</w:t>
      </w:r>
      <w:r>
        <w:rPr>
          <w:rFonts w:ascii="华文楷体" w:hAnsi="华文楷体" w:eastAsia="华文楷体"/>
          <w:sz w:val="24"/>
        </w:rPr>
        <w:t>，衡量</w:t>
      </w:r>
      <w:r>
        <w:rPr>
          <w:rFonts w:hint="eastAsia" w:ascii="华文楷体" w:hAnsi="华文楷体" w:eastAsia="华文楷体"/>
          <w:sz w:val="24"/>
        </w:rPr>
        <w:t>上下游供应来源地的地理集中度，</w:t>
      </w:r>
      <w:r>
        <w:rPr>
          <w:rFonts w:ascii="华文楷体" w:hAnsi="华文楷体" w:eastAsia="华文楷体"/>
          <w:sz w:val="24"/>
        </w:rPr>
        <w:t>系统展示产业链聚集度。</w:t>
      </w:r>
    </w:p>
    <w:p w14:paraId="1CF15771">
      <w:pPr>
        <w:ind w:firstLine="480" w:firstLineChars="200"/>
        <w:jc w:val="both"/>
        <w:rPr>
          <w:rFonts w:hint="eastAsia" w:ascii="华文楷体" w:hAnsi="华文楷体" w:eastAsia="华文楷体"/>
          <w:sz w:val="24"/>
        </w:rPr>
      </w:pPr>
      <w:r>
        <w:rPr>
          <w:rFonts w:hint="eastAsia" w:ascii="华文楷体" w:hAnsi="华文楷体" w:eastAsia="华文楷体"/>
          <w:sz w:val="24"/>
        </w:rPr>
        <w:t>目前报告选择</w:t>
      </w:r>
      <w:bookmarkStart w:id="110" w:name="OLE_LINK410"/>
      <w:r>
        <w:rPr>
          <w:rFonts w:hint="eastAsia" w:ascii="华文楷体" w:hAnsi="华文楷体" w:eastAsia="华文楷体"/>
          <w:sz w:val="24"/>
        </w:rPr>
        <w:t>宁波汽车产业园</w:t>
      </w:r>
      <w:bookmarkEnd w:id="110"/>
      <w:r>
        <w:rPr>
          <w:rFonts w:hint="eastAsia" w:ascii="华文楷体" w:hAnsi="华文楷体" w:eastAsia="华文楷体"/>
          <w:sz w:val="24"/>
        </w:rPr>
        <w:t>作为产业链聚集度首次探索对象，主要基于其庞大的产业规模，</w:t>
      </w:r>
      <w:r>
        <w:rPr>
          <w:rFonts w:ascii="华文楷体" w:hAnsi="华文楷体" w:eastAsia="华文楷体"/>
          <w:sz w:val="24"/>
        </w:rPr>
        <w:t>2024年宁波市规上汽车制造业产值达4191.7亿元</w:t>
      </w:r>
      <w:r>
        <w:rPr>
          <w:rStyle w:val="24"/>
          <w:rFonts w:hint="eastAsia" w:ascii="华文楷体" w:hAnsi="华文楷体" w:eastAsia="华文楷体"/>
          <w:sz w:val="24"/>
        </w:rPr>
        <w:footnoteReference w:id="22"/>
      </w:r>
      <w:r>
        <w:rPr>
          <w:rFonts w:ascii="华文楷体" w:hAnsi="华文楷体" w:eastAsia="华文楷体"/>
          <w:sz w:val="24"/>
        </w:rPr>
        <w:t>，形成了从</w:t>
      </w:r>
      <w:r>
        <w:rPr>
          <w:rFonts w:hint="eastAsia" w:ascii="华文楷体" w:hAnsi="华文楷体" w:eastAsia="华文楷体"/>
          <w:sz w:val="24"/>
        </w:rPr>
        <w:t>“</w:t>
      </w:r>
      <w:r>
        <w:rPr>
          <w:rFonts w:ascii="华文楷体" w:hAnsi="华文楷体" w:eastAsia="华文楷体"/>
          <w:sz w:val="24"/>
        </w:rPr>
        <w:t>零部件-总成-系统-整车</w:t>
      </w:r>
      <w:r>
        <w:rPr>
          <w:rFonts w:hint="eastAsia" w:ascii="华文楷体" w:hAnsi="华文楷体" w:eastAsia="华文楷体"/>
          <w:sz w:val="24"/>
        </w:rPr>
        <w:t>”</w:t>
      </w:r>
      <w:r>
        <w:rPr>
          <w:rFonts w:ascii="华文楷体" w:hAnsi="华文楷体" w:eastAsia="华文楷体"/>
          <w:sz w:val="24"/>
        </w:rPr>
        <w:t>的完整汽车产业供应链配套体系</w:t>
      </w:r>
      <w:r>
        <w:rPr>
          <w:rStyle w:val="24"/>
          <w:rFonts w:hint="eastAsia" w:ascii="华文楷体" w:hAnsi="华文楷体" w:eastAsia="华文楷体"/>
          <w:sz w:val="24"/>
        </w:rPr>
        <w:footnoteReference w:id="23"/>
      </w:r>
      <w:r>
        <w:rPr>
          <w:rFonts w:hint="eastAsia" w:ascii="华文楷体" w:hAnsi="华文楷体" w:eastAsia="华文楷体"/>
          <w:sz w:val="24"/>
        </w:rPr>
        <w:t>。</w:t>
      </w:r>
    </w:p>
    <w:bookmarkEnd w:id="109"/>
    <w:p w14:paraId="342651F6">
      <w:pPr>
        <w:jc w:val="center"/>
        <w:rPr>
          <w:rFonts w:hint="eastAsia" w:ascii="华文楷体" w:hAnsi="华文楷体" w:eastAsia="华文楷体"/>
          <w:sz w:val="24"/>
        </w:rPr>
      </w:pPr>
      <w:bookmarkStart w:id="111" w:name="_Hlk218845743"/>
      <w:r>
        <w:rPr>
          <w:rFonts w:hint="eastAsia" w:ascii="华文楷体" w:hAnsi="华文楷体" w:eastAsia="华文楷体"/>
          <w:sz w:val="24"/>
        </w:rPr>
        <w:t>表2-10 2025年汽车</w:t>
      </w:r>
      <w:r>
        <w:rPr>
          <w:rFonts w:ascii="华文楷体" w:hAnsi="华文楷体" w:eastAsia="华文楷体"/>
          <w:sz w:val="24"/>
        </w:rPr>
        <w:t>产业链</w:t>
      </w:r>
      <w:bookmarkStart w:id="112" w:name="OLE_LINK60"/>
      <w:r>
        <w:rPr>
          <w:rFonts w:ascii="华文楷体" w:hAnsi="华文楷体" w:eastAsia="华文楷体"/>
          <w:sz w:val="24"/>
        </w:rPr>
        <w:t>聚集度</w:t>
      </w:r>
      <w:r>
        <w:rPr>
          <w:rFonts w:hint="eastAsia" w:ascii="华文楷体" w:hAnsi="华文楷体" w:eastAsia="华文楷体"/>
          <w:sz w:val="24"/>
        </w:rPr>
        <w:t>指数</w:t>
      </w:r>
      <w:bookmarkEnd w:id="112"/>
      <w:r>
        <w:rPr>
          <w:rFonts w:hint="eastAsia" w:ascii="华文楷体" w:hAnsi="华文楷体" w:eastAsia="华文楷体"/>
          <w:sz w:val="24"/>
        </w:rPr>
        <w:t>排名</w:t>
      </w:r>
    </w:p>
    <w:tbl>
      <w:tblPr>
        <w:tblStyle w:val="48"/>
        <w:tblW w:w="83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82"/>
        <w:gridCol w:w="4182"/>
      </w:tblGrid>
      <w:tr w14:paraId="6EE8CEB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bottom w:val="single" w:color="7E7E7E" w:themeColor="text1" w:themeTint="80" w:sz="4" w:space="0"/>
              <w:insideH w:val="single" w:sz="4" w:space="0"/>
            </w:tcBorders>
            <w:noWrap/>
          </w:tcPr>
          <w:p w14:paraId="6CDDACE4">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城市</w:t>
            </w:r>
          </w:p>
        </w:tc>
        <w:tc>
          <w:tcPr>
            <w:tcW w:w="4182" w:type="dxa"/>
            <w:tcBorders>
              <w:bottom w:val="single" w:color="7E7E7E" w:themeColor="text1" w:themeTint="80" w:sz="4" w:space="0"/>
              <w:insideH w:val="single" w:sz="4" w:space="0"/>
            </w:tcBorders>
            <w:noWrap/>
          </w:tcPr>
          <w:p w14:paraId="0F3E950D">
            <w:pPr>
              <w:widowControl/>
              <w:spacing w:after="0" w:line="240" w:lineRule="auto"/>
              <w:jc w:val="center"/>
              <w:rPr>
                <w:rFonts w:hint="eastAsia" w:ascii="华文楷体" w:hAnsi="华文楷体" w:eastAsia="华文楷体" w:cs="宋体"/>
                <w:b w:val="0"/>
                <w:bCs w:val="0"/>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排名</w:t>
            </w:r>
          </w:p>
        </w:tc>
      </w:tr>
      <w:tr w14:paraId="39370B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744E344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宁波市</w:t>
            </w:r>
          </w:p>
        </w:tc>
        <w:tc>
          <w:tcPr>
            <w:tcW w:w="4182" w:type="dxa"/>
            <w:tcBorders>
              <w:top w:val="single" w:color="7E7E7E" w:themeColor="text1" w:themeTint="80" w:sz="4" w:space="0"/>
              <w:bottom w:val="single" w:color="7E7E7E" w:themeColor="text1" w:themeTint="80" w:sz="4" w:space="0"/>
            </w:tcBorders>
            <w:noWrap/>
            <w:vAlign w:val="center"/>
          </w:tcPr>
          <w:p w14:paraId="7737F82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w:t>
            </w:r>
          </w:p>
        </w:tc>
      </w:tr>
      <w:tr w14:paraId="56D6648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0FC848F7">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嘉兴市</w:t>
            </w:r>
          </w:p>
        </w:tc>
        <w:tc>
          <w:tcPr>
            <w:tcW w:w="4182" w:type="dxa"/>
            <w:noWrap/>
            <w:vAlign w:val="center"/>
          </w:tcPr>
          <w:p w14:paraId="11A3E009">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2</w:t>
            </w:r>
          </w:p>
        </w:tc>
      </w:tr>
      <w:tr w14:paraId="37F51D1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79DA7B4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绍兴市</w:t>
            </w:r>
          </w:p>
        </w:tc>
        <w:tc>
          <w:tcPr>
            <w:tcW w:w="4182" w:type="dxa"/>
            <w:tcBorders>
              <w:top w:val="single" w:color="7E7E7E" w:themeColor="text1" w:themeTint="80" w:sz="4" w:space="0"/>
              <w:bottom w:val="single" w:color="7E7E7E" w:themeColor="text1" w:themeTint="80" w:sz="4" w:space="0"/>
            </w:tcBorders>
            <w:noWrap/>
            <w:vAlign w:val="center"/>
          </w:tcPr>
          <w:p w14:paraId="4DB871DD">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3</w:t>
            </w:r>
          </w:p>
        </w:tc>
      </w:tr>
      <w:tr w14:paraId="32BB961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516A44E9">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杭州市</w:t>
            </w:r>
          </w:p>
        </w:tc>
        <w:tc>
          <w:tcPr>
            <w:tcW w:w="4182" w:type="dxa"/>
            <w:noWrap/>
            <w:vAlign w:val="center"/>
          </w:tcPr>
          <w:p w14:paraId="74E29002">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4</w:t>
            </w:r>
          </w:p>
        </w:tc>
      </w:tr>
      <w:tr w14:paraId="3A7AB9C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617A93E6">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金华市</w:t>
            </w:r>
          </w:p>
        </w:tc>
        <w:tc>
          <w:tcPr>
            <w:tcW w:w="4182" w:type="dxa"/>
            <w:tcBorders>
              <w:top w:val="single" w:color="7E7E7E" w:themeColor="text1" w:themeTint="80" w:sz="4" w:space="0"/>
              <w:bottom w:val="single" w:color="7E7E7E" w:themeColor="text1" w:themeTint="80" w:sz="4" w:space="0"/>
            </w:tcBorders>
            <w:noWrap/>
            <w:vAlign w:val="center"/>
          </w:tcPr>
          <w:p w14:paraId="3688D5B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5</w:t>
            </w:r>
          </w:p>
        </w:tc>
      </w:tr>
      <w:tr w14:paraId="7EEC6D6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1136A06D">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舟山市</w:t>
            </w:r>
          </w:p>
        </w:tc>
        <w:tc>
          <w:tcPr>
            <w:tcW w:w="4182" w:type="dxa"/>
            <w:noWrap/>
            <w:vAlign w:val="center"/>
          </w:tcPr>
          <w:p w14:paraId="77B53CDA">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6</w:t>
            </w:r>
          </w:p>
        </w:tc>
      </w:tr>
      <w:tr w14:paraId="650F494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4F2F0713">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台州市</w:t>
            </w:r>
          </w:p>
        </w:tc>
        <w:tc>
          <w:tcPr>
            <w:tcW w:w="4182" w:type="dxa"/>
            <w:tcBorders>
              <w:top w:val="single" w:color="7E7E7E" w:themeColor="text1" w:themeTint="80" w:sz="4" w:space="0"/>
              <w:bottom w:val="single" w:color="7E7E7E" w:themeColor="text1" w:themeTint="80" w:sz="4" w:space="0"/>
            </w:tcBorders>
            <w:noWrap/>
            <w:vAlign w:val="center"/>
          </w:tcPr>
          <w:p w14:paraId="5A2F565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7</w:t>
            </w:r>
          </w:p>
        </w:tc>
      </w:tr>
      <w:tr w14:paraId="279119D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167AF932">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湖州市</w:t>
            </w:r>
          </w:p>
        </w:tc>
        <w:tc>
          <w:tcPr>
            <w:tcW w:w="4182" w:type="dxa"/>
            <w:tcBorders>
              <w:top w:val="single" w:color="7E7E7E" w:themeColor="text1" w:themeTint="80" w:sz="4" w:space="0"/>
              <w:bottom w:val="single" w:color="7E7E7E" w:themeColor="text1" w:themeTint="80" w:sz="4" w:space="0"/>
            </w:tcBorders>
            <w:noWrap/>
            <w:vAlign w:val="center"/>
          </w:tcPr>
          <w:p w14:paraId="06B6A2D3">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8</w:t>
            </w:r>
          </w:p>
        </w:tc>
      </w:tr>
      <w:tr w14:paraId="4CF36E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04995F38">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衢州市</w:t>
            </w:r>
          </w:p>
        </w:tc>
        <w:tc>
          <w:tcPr>
            <w:tcW w:w="4182" w:type="dxa"/>
            <w:tcBorders>
              <w:top w:val="single" w:color="7E7E7E" w:themeColor="text1" w:themeTint="80" w:sz="4" w:space="0"/>
              <w:bottom w:val="single" w:color="7E7E7E" w:themeColor="text1" w:themeTint="80" w:sz="4" w:space="0"/>
            </w:tcBorders>
            <w:noWrap/>
            <w:vAlign w:val="center"/>
          </w:tcPr>
          <w:p w14:paraId="0AE6A277">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9</w:t>
            </w:r>
          </w:p>
        </w:tc>
      </w:tr>
      <w:tr w14:paraId="663901C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noWrap/>
            <w:vAlign w:val="bottom"/>
          </w:tcPr>
          <w:p w14:paraId="31ED569B">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温州市</w:t>
            </w:r>
          </w:p>
        </w:tc>
        <w:tc>
          <w:tcPr>
            <w:tcW w:w="4182" w:type="dxa"/>
            <w:noWrap/>
            <w:vAlign w:val="center"/>
          </w:tcPr>
          <w:p w14:paraId="79204661">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10</w:t>
            </w:r>
          </w:p>
        </w:tc>
      </w:tr>
      <w:tr w14:paraId="4A26FEA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82" w:type="dxa"/>
            <w:tcBorders>
              <w:top w:val="single" w:color="7E7E7E" w:themeColor="text1" w:themeTint="80" w:sz="4" w:space="0"/>
              <w:bottom w:val="single" w:color="7E7E7E" w:themeColor="text1" w:themeTint="80" w:sz="4" w:space="0"/>
            </w:tcBorders>
            <w:noWrap/>
            <w:vAlign w:val="bottom"/>
          </w:tcPr>
          <w:p w14:paraId="340629F4">
            <w:pPr>
              <w:widowControl/>
              <w:spacing w:after="0" w:line="240" w:lineRule="auto"/>
              <w:jc w:val="center"/>
              <w:rPr>
                <w:rFonts w:hint="eastAsia" w:ascii="华文楷体" w:hAnsi="华文楷体" w:eastAsia="华文楷体" w:cs="宋体"/>
                <w:b/>
                <w:bCs/>
                <w:color w:val="000000"/>
                <w:kern w:val="0"/>
                <w:sz w:val="18"/>
                <w:szCs w:val="18"/>
                <w14:ligatures w14:val="none"/>
              </w:rPr>
            </w:pPr>
            <w:r>
              <w:rPr>
                <w:rFonts w:hint="eastAsia" w:ascii="华文楷体" w:hAnsi="华文楷体" w:eastAsia="华文楷体" w:cs="宋体"/>
                <w:b/>
                <w:bCs/>
                <w:color w:val="000000"/>
                <w:kern w:val="0"/>
                <w:sz w:val="18"/>
                <w:szCs w:val="18"/>
                <w14:ligatures w14:val="none"/>
              </w:rPr>
              <w:t>丽水市</w:t>
            </w:r>
          </w:p>
        </w:tc>
        <w:tc>
          <w:tcPr>
            <w:tcW w:w="4182" w:type="dxa"/>
            <w:tcBorders>
              <w:top w:val="single" w:color="7E7E7E" w:themeColor="text1" w:themeTint="80" w:sz="4" w:space="0"/>
              <w:bottom w:val="single" w:color="7E7E7E" w:themeColor="text1" w:themeTint="80" w:sz="4" w:space="0"/>
            </w:tcBorders>
            <w:noWrap/>
            <w:vAlign w:val="center"/>
          </w:tcPr>
          <w:p w14:paraId="6B843660">
            <w:pPr>
              <w:widowControl/>
              <w:spacing w:after="0" w:line="240" w:lineRule="auto"/>
              <w:jc w:val="center"/>
              <w:rPr>
                <w:rFonts w:hint="eastAsia" w:ascii="华文楷体" w:hAnsi="华文楷体" w:eastAsia="华文楷体" w:cs="宋体"/>
                <w:color w:val="000000"/>
                <w:kern w:val="0"/>
                <w:sz w:val="18"/>
                <w:szCs w:val="18"/>
                <w14:ligatures w14:val="none"/>
              </w:rPr>
            </w:pPr>
            <w:r>
              <w:rPr>
                <w:rFonts w:hint="eastAsia" w:ascii="华文楷体" w:hAnsi="华文楷体" w:eastAsia="华文楷体" w:cs="宋体"/>
                <w:color w:val="000000"/>
                <w:kern w:val="0"/>
                <w:sz w:val="18"/>
                <w:szCs w:val="18"/>
                <w14:ligatures w14:val="none"/>
              </w:rPr>
              <w:t>11</w:t>
            </w:r>
          </w:p>
        </w:tc>
      </w:tr>
      <w:bookmarkEnd w:id="111"/>
    </w:tbl>
    <w:p w14:paraId="592D40A8">
      <w:pPr>
        <w:ind w:firstLine="480" w:firstLineChars="200"/>
        <w:jc w:val="both"/>
        <w:rPr>
          <w:rFonts w:hint="eastAsia" w:ascii="华文楷体" w:hAnsi="华文楷体" w:eastAsia="华文楷体"/>
          <w:sz w:val="24"/>
        </w:rPr>
      </w:pPr>
      <w:r>
        <w:rPr>
          <w:rFonts w:hint="eastAsia" w:ascii="华文楷体" w:hAnsi="华文楷体" w:eastAsia="华文楷体"/>
          <w:sz w:val="24"/>
        </w:rPr>
        <w:t>表2-10显示，2025年汽车产业链聚集度指数呈现宁波汽车产业园的绝对主导地位，嘉兴聚集度指数排名第二，形成“宁波核心、嘉兴配套、多点协同”的产业空间格局。《浙江省加快新能源汽车产业发展行动方案》</w:t>
      </w:r>
      <w:r>
        <w:rPr>
          <w:rStyle w:val="24"/>
          <w:rFonts w:hint="eastAsia" w:ascii="华文楷体" w:hAnsi="华文楷体" w:eastAsia="华文楷体"/>
          <w:sz w:val="24"/>
        </w:rPr>
        <w:footnoteReference w:id="24"/>
      </w:r>
      <w:r>
        <w:rPr>
          <w:rFonts w:hint="eastAsia" w:ascii="华文楷体" w:hAnsi="华文楷体" w:eastAsia="华文楷体"/>
          <w:sz w:val="24"/>
        </w:rPr>
        <w:t>明确到2025年新能源汽车年产量超120万辆、占全省汽车生产总量比重超过60%；《浙江省新能源汽车产业发展“十四五”规划》</w:t>
      </w:r>
      <w:r>
        <w:rPr>
          <w:rStyle w:val="24"/>
          <w:rFonts w:hint="eastAsia" w:ascii="华文楷体" w:hAnsi="华文楷体" w:eastAsia="华文楷体"/>
          <w:sz w:val="24"/>
        </w:rPr>
        <w:footnoteReference w:id="25"/>
      </w:r>
      <w:r>
        <w:rPr>
          <w:rFonts w:hint="eastAsia" w:ascii="华文楷体" w:hAnsi="华文楷体" w:eastAsia="华文楷体"/>
          <w:sz w:val="24"/>
        </w:rPr>
        <w:t>提出优化产业布局、避免重复建设，推动产业集聚发展。</w:t>
      </w:r>
    </w:p>
    <w:p w14:paraId="1511B2CD">
      <w:pPr>
        <w:ind w:firstLine="440" w:firstLineChars="200"/>
        <w:jc w:val="center"/>
        <w:rPr>
          <w:rFonts w:hint="eastAsia" w:ascii="华文楷体" w:hAnsi="华文楷体" w:eastAsia="华文楷体"/>
          <w:sz w:val="24"/>
        </w:rPr>
      </w:pPr>
      <w:r>
        <w:rPr>
          <w14:ligatures w14:val="none"/>
        </w:rPr>
        <w:drawing>
          <wp:inline distT="0" distB="0" distL="0" distR="0">
            <wp:extent cx="4223385" cy="5282565"/>
            <wp:effectExtent l="0" t="0" r="5715" b="0"/>
            <wp:docPr id="211889811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98119" name="图片 1" descr="图表, 折线图&#10;&#10;AI 生成的内容可能不正确。"/>
                    <pic:cNvPicPr>
                      <a:picLocks noChangeAspect="1"/>
                    </pic:cNvPicPr>
                  </pic:nvPicPr>
                  <pic:blipFill>
                    <a:blip r:embed="rId15"/>
                    <a:stretch>
                      <a:fillRect/>
                    </a:stretch>
                  </pic:blipFill>
                  <pic:spPr>
                    <a:xfrm>
                      <a:off x="0" y="0"/>
                      <a:ext cx="4225745" cy="5284979"/>
                    </a:xfrm>
                    <a:prstGeom prst="rect">
                      <a:avLst/>
                    </a:prstGeom>
                  </pic:spPr>
                </pic:pic>
              </a:graphicData>
            </a:graphic>
          </wp:inline>
        </w:drawing>
      </w:r>
    </w:p>
    <w:p w14:paraId="65CC832D">
      <w:pPr>
        <w:jc w:val="center"/>
        <w:rPr>
          <w:rFonts w:hint="eastAsia" w:ascii="华文楷体" w:hAnsi="华文楷体" w:eastAsia="华文楷体"/>
          <w:sz w:val="24"/>
        </w:rPr>
      </w:pPr>
      <w:r>
        <w:rPr>
          <w:rFonts w:hint="eastAsia" w:ascii="华文楷体" w:hAnsi="华文楷体" w:eastAsia="华文楷体"/>
          <w:sz w:val="24"/>
        </w:rPr>
        <w:t>图2-8 2025年宁波汽车产业园入园货车出发地距离分布情况</w:t>
      </w:r>
    </w:p>
    <w:p w14:paraId="6A41166B">
      <w:pPr>
        <w:ind w:firstLine="480" w:firstLineChars="200"/>
        <w:jc w:val="both"/>
        <w:rPr>
          <w:rFonts w:hint="eastAsia" w:ascii="华文楷体" w:hAnsi="华文楷体" w:eastAsia="华文楷体"/>
          <w:sz w:val="24"/>
        </w:rPr>
      </w:pPr>
      <w:r>
        <w:rPr>
          <w:rFonts w:ascii="华文楷体" w:hAnsi="华文楷体" w:eastAsia="华文楷体"/>
          <w:sz w:val="24"/>
        </w:rPr>
        <w:t>图2-8显示，2025年宁波汽车产业园85.4%的入园货车流量集中在100公里范围内</w:t>
      </w:r>
      <w:r>
        <w:rPr>
          <w:rFonts w:hint="eastAsia" w:ascii="华文楷体" w:hAnsi="华文楷体" w:eastAsia="华文楷体"/>
          <w:sz w:val="24"/>
        </w:rPr>
        <w:t>，</w:t>
      </w:r>
      <w:r>
        <w:rPr>
          <w:rFonts w:ascii="华文楷体" w:hAnsi="华文楷体" w:eastAsia="华文楷体"/>
          <w:sz w:val="24"/>
        </w:rPr>
        <w:t>这一数据印证了</w:t>
      </w:r>
      <w:r>
        <w:rPr>
          <w:rFonts w:hint="eastAsia" w:ascii="华文楷体" w:hAnsi="华文楷体" w:eastAsia="华文楷体"/>
          <w:sz w:val="24"/>
        </w:rPr>
        <w:t>宁波汽车产业园构建了高度本地化的供应链体系。50公里核心圈内，余姚市布局领克整车项目及动力型锂电材料</w:t>
      </w:r>
      <w:r>
        <w:rPr>
          <w:rStyle w:val="24"/>
          <w:rFonts w:hint="eastAsia" w:ascii="华文楷体" w:hAnsi="华文楷体" w:eastAsia="华文楷体"/>
          <w:sz w:val="24"/>
        </w:rPr>
        <w:footnoteReference w:id="26"/>
      </w:r>
      <w:r>
        <w:rPr>
          <w:rFonts w:hint="eastAsia" w:ascii="华文楷体" w:hAnsi="华文楷体" w:eastAsia="华文楷体"/>
          <w:sz w:val="24"/>
        </w:rPr>
        <w:t>，北仑区（梅山）聚焦新能源汽车整车及部件项目</w:t>
      </w:r>
      <w:r>
        <w:rPr>
          <w:rStyle w:val="24"/>
          <w:rFonts w:hint="eastAsia" w:ascii="华文楷体" w:hAnsi="华文楷体" w:eastAsia="华文楷体"/>
          <w:sz w:val="24"/>
        </w:rPr>
        <w:footnoteReference w:id="27"/>
      </w:r>
      <w:r>
        <w:rPr>
          <w:rFonts w:hint="eastAsia" w:ascii="华文楷体" w:hAnsi="华文楷体" w:eastAsia="华文楷体"/>
          <w:sz w:val="24"/>
        </w:rPr>
        <w:t>，慈溪市提供汽车座椅、内外饰件等零部件，宁海聚焦智能LED车灯、落料线及热成型项目以及自动变速器项目</w:t>
      </w:r>
      <w:r>
        <w:rPr>
          <w:rStyle w:val="24"/>
          <w:rFonts w:hint="eastAsia" w:ascii="华文楷体" w:hAnsi="华文楷体" w:eastAsia="华文楷体"/>
          <w:sz w:val="24"/>
        </w:rPr>
        <w:footnoteReference w:id="28"/>
      </w:r>
      <w:r>
        <w:rPr>
          <w:rFonts w:hint="eastAsia" w:ascii="华文楷体" w:hAnsi="华文楷体" w:eastAsia="华文楷体"/>
          <w:sz w:val="24"/>
        </w:rPr>
        <w:t>，形成汽车零部件企业协同的供应链网络。</w:t>
      </w:r>
    </w:p>
    <w:p w14:paraId="4309887F">
      <w:pPr>
        <w:ind w:firstLine="480" w:firstLineChars="200"/>
        <w:jc w:val="both"/>
        <w:rPr>
          <w:rFonts w:hint="eastAsia" w:ascii="华文楷体" w:hAnsi="华文楷体" w:eastAsia="华文楷体"/>
          <w:sz w:val="24"/>
        </w:rPr>
      </w:pPr>
      <w:r>
        <w:rPr>
          <w:rFonts w:hint="eastAsia" w:ascii="华文楷体" w:hAnsi="华文楷体" w:eastAsia="华文楷体"/>
          <w:sz w:val="24"/>
        </w:rPr>
        <w:t>100公里扩展产业圈涵盖绍兴市、嘉兴市、舟山市、台州市等城市。宁波市、绍兴市、台州市、舟山市在汽车零部件、新材料、绿色石化、清洁能源等方面产业互补性强，协同创新动力足，可形成良好的产业链上下游配套关系。随着金甬铁路、甬舟铁路、甬台温复线、杭甬复线等交通基础设施的不断推进，共同支撑宁波汽车产业发展</w:t>
      </w:r>
      <w:r>
        <w:rPr>
          <w:rStyle w:val="24"/>
          <w:rFonts w:hint="eastAsia" w:ascii="华文楷体" w:hAnsi="华文楷体" w:eastAsia="华文楷体"/>
          <w:sz w:val="24"/>
        </w:rPr>
        <w:footnoteReference w:id="29"/>
      </w:r>
      <w:r>
        <w:rPr>
          <w:rFonts w:hint="eastAsia" w:ascii="华文楷体" w:hAnsi="华文楷体" w:eastAsia="华文楷体"/>
          <w:sz w:val="24"/>
        </w:rPr>
        <w:t>。</w:t>
      </w:r>
    </w:p>
    <w:p w14:paraId="406C02AE">
      <w:pPr>
        <w:ind w:firstLine="480" w:firstLineChars="200"/>
        <w:jc w:val="both"/>
        <w:rPr>
          <w:rFonts w:hint="eastAsia" w:ascii="华文楷体" w:hAnsi="华文楷体" w:eastAsia="华文楷体"/>
          <w:sz w:val="24"/>
        </w:rPr>
      </w:pPr>
      <w:r>
        <w:rPr>
          <w:rFonts w:hint="eastAsia" w:ascii="华文楷体" w:hAnsi="华文楷体" w:eastAsia="华文楷体"/>
          <w:sz w:val="24"/>
        </w:rPr>
        <w:t>《宁波市新能源汽车产业发展规划（2023—2030年）》</w:t>
      </w:r>
      <w:r>
        <w:rPr>
          <w:rStyle w:val="24"/>
          <w:rFonts w:hint="eastAsia" w:ascii="华文楷体" w:hAnsi="华文楷体" w:eastAsia="华文楷体"/>
          <w:sz w:val="24"/>
        </w:rPr>
        <w:footnoteReference w:id="30"/>
      </w:r>
      <w:r>
        <w:rPr>
          <w:rFonts w:hint="eastAsia" w:ascii="华文楷体" w:hAnsi="华文楷体" w:eastAsia="华文楷体"/>
          <w:sz w:val="24"/>
        </w:rPr>
        <w:t>明确提出“力争到2025年，新能源汽车产量提升至70万辆以上，占全市汽车产量比重50%以上，产业规模达到2000亿元以上”的发展目标，并强调加强公路运输专业化、集约化发展</w:t>
      </w:r>
      <w:r>
        <w:rPr>
          <w:rStyle w:val="24"/>
          <w:rFonts w:hint="eastAsia" w:ascii="华文楷体" w:hAnsi="华文楷体" w:eastAsia="华文楷体"/>
          <w:sz w:val="24"/>
        </w:rPr>
        <w:footnoteReference w:id="31"/>
      </w:r>
      <w:r>
        <w:rPr>
          <w:rFonts w:hint="eastAsia" w:ascii="华文楷体" w:hAnsi="华文楷体" w:eastAsia="华文楷体"/>
          <w:sz w:val="24"/>
        </w:rPr>
        <w:t>。前湾新区“万亩千亿”智能汽车产业平台集聚上汽大众、吉利等整车厂及零部件企业</w:t>
      </w:r>
      <w:r>
        <w:rPr>
          <w:rStyle w:val="24"/>
          <w:rFonts w:hint="eastAsia" w:ascii="华文楷体" w:hAnsi="华文楷体" w:eastAsia="华文楷体"/>
          <w:sz w:val="24"/>
        </w:rPr>
        <w:footnoteReference w:id="32"/>
      </w:r>
      <w:r>
        <w:rPr>
          <w:rFonts w:hint="eastAsia" w:ascii="华文楷体" w:hAnsi="华文楷体" w:eastAsia="华文楷体"/>
          <w:sz w:val="24"/>
        </w:rPr>
        <w:t>，形成[20,50)公里区间内高度协同的配套体系。</w:t>
      </w:r>
    </w:p>
    <w:p w14:paraId="0FA2E863">
      <w:pPr>
        <w:pStyle w:val="4"/>
        <w:rPr>
          <w:rFonts w:hint="eastAsia" w:ascii="华文楷体" w:hAnsi="华文楷体" w:eastAsia="华文楷体"/>
          <w:b/>
          <w:bCs/>
          <w:color w:val="000000" w:themeColor="text1"/>
          <w:sz w:val="24"/>
          <w:szCs w:val="24"/>
          <w14:textFill>
            <w14:solidFill>
              <w14:schemeClr w14:val="tx1"/>
            </w14:solidFill>
          </w14:textFill>
        </w:rPr>
      </w:pPr>
      <w:bookmarkStart w:id="113" w:name="OLE_LINK55"/>
      <w:r>
        <w:rPr>
          <w:rFonts w:ascii="华文楷体" w:hAnsi="华文楷体" w:eastAsia="华文楷体"/>
          <w:b/>
          <w:bCs/>
          <w:color w:val="000000" w:themeColor="text1"/>
          <w:sz w:val="24"/>
          <w:szCs w:val="24"/>
          <w14:textFill>
            <w14:solidFill>
              <w14:schemeClr w14:val="tx1"/>
            </w14:solidFill>
          </w14:textFill>
        </w:rPr>
        <w:t>2.2.</w:t>
      </w:r>
      <w:r>
        <w:rPr>
          <w:rFonts w:hint="eastAsia" w:ascii="华文楷体" w:hAnsi="华文楷体" w:eastAsia="华文楷体"/>
          <w:b/>
          <w:bCs/>
          <w:color w:val="000000" w:themeColor="text1"/>
          <w:sz w:val="24"/>
          <w:szCs w:val="24"/>
          <w14:textFill>
            <w14:solidFill>
              <w14:schemeClr w14:val="tx1"/>
            </w14:solidFill>
          </w14:textFill>
        </w:rPr>
        <w:t>6</w:t>
      </w:r>
      <w:r>
        <w:rPr>
          <w:rFonts w:ascii="华文楷体" w:hAnsi="华文楷体" w:eastAsia="华文楷体"/>
          <w:b/>
          <w:bCs/>
          <w:color w:val="000000" w:themeColor="text1"/>
          <w:sz w:val="24"/>
          <w:szCs w:val="24"/>
          <w14:textFill>
            <w14:solidFill>
              <w14:schemeClr w14:val="tx1"/>
            </w14:solidFill>
          </w14:textFill>
        </w:rPr>
        <w:t xml:space="preserve"> </w:t>
      </w:r>
      <w:bookmarkStart w:id="114" w:name="OLE_LINK46"/>
      <w:r>
        <w:rPr>
          <w:rFonts w:ascii="华文楷体" w:hAnsi="华文楷体" w:eastAsia="华文楷体"/>
          <w:b/>
          <w:bCs/>
          <w:color w:val="000000" w:themeColor="text1"/>
          <w:sz w:val="24"/>
          <w:szCs w:val="24"/>
          <w14:textFill>
            <w14:solidFill>
              <w14:schemeClr w14:val="tx1"/>
            </w14:solidFill>
          </w14:textFill>
        </w:rPr>
        <w:t>经济走廊车流</w:t>
      </w:r>
      <w:r>
        <w:rPr>
          <w:rFonts w:hint="eastAsia" w:ascii="华文楷体" w:hAnsi="华文楷体" w:eastAsia="华文楷体"/>
          <w:b/>
          <w:bCs/>
          <w:color w:val="000000" w:themeColor="text1"/>
          <w:sz w:val="24"/>
          <w:szCs w:val="24"/>
          <w14:textFill>
            <w14:solidFill>
              <w14:schemeClr w14:val="tx1"/>
            </w14:solidFill>
          </w14:textFill>
        </w:rPr>
        <w:t>分析</w:t>
      </w:r>
      <w:bookmarkEnd w:id="114"/>
    </w:p>
    <w:p w14:paraId="77B9D6FB">
      <w:pPr>
        <w:ind w:firstLine="480" w:firstLineChars="200"/>
        <w:jc w:val="both"/>
        <w:rPr>
          <w:rFonts w:hint="eastAsia" w:ascii="华文楷体" w:hAnsi="华文楷体" w:eastAsia="华文楷体"/>
          <w:sz w:val="24"/>
        </w:rPr>
      </w:pPr>
      <w:r>
        <w:rPr>
          <w:rFonts w:hint="eastAsia" w:ascii="华文楷体" w:hAnsi="华文楷体" w:eastAsia="华文楷体"/>
          <w:sz w:val="24"/>
        </w:rPr>
        <w:t>经济走廊车流分析指标</w:t>
      </w:r>
      <w:r>
        <w:rPr>
          <w:rFonts w:ascii="华文楷体" w:hAnsi="华文楷体" w:eastAsia="华文楷体"/>
          <w:sz w:val="24"/>
        </w:rPr>
        <w:t>通过分析特定经济走廊上</w:t>
      </w:r>
      <w:bookmarkStart w:id="115" w:name="OLE_LINK203"/>
      <w:r>
        <w:rPr>
          <w:rFonts w:ascii="华文楷体" w:hAnsi="华文楷体" w:eastAsia="华文楷体"/>
          <w:sz w:val="24"/>
        </w:rPr>
        <w:t>不同类型车辆（</w:t>
      </w:r>
      <w:r>
        <w:rPr>
          <w:rFonts w:hint="eastAsia" w:ascii="华文楷体" w:hAnsi="华文楷体" w:eastAsia="华文楷体"/>
          <w:sz w:val="24"/>
        </w:rPr>
        <w:t>客车、货车、作业车</w:t>
      </w:r>
      <w:r>
        <w:rPr>
          <w:rFonts w:ascii="华文楷体" w:hAnsi="华文楷体" w:eastAsia="华文楷体"/>
          <w:sz w:val="24"/>
        </w:rPr>
        <w:t>）的流量占比结构</w:t>
      </w:r>
      <w:bookmarkEnd w:id="115"/>
      <w:r>
        <w:rPr>
          <w:rFonts w:ascii="华文楷体" w:hAnsi="华文楷体" w:eastAsia="华文楷体"/>
          <w:sz w:val="24"/>
        </w:rPr>
        <w:t>，揭示经济活动特征。</w:t>
      </w:r>
      <w:r>
        <w:rPr>
          <w:rFonts w:hint="eastAsia" w:ascii="华文楷体" w:hAnsi="华文楷体" w:eastAsia="华文楷体"/>
          <w:sz w:val="24"/>
        </w:rPr>
        <w:t>展示</w:t>
      </w:r>
      <w:r>
        <w:rPr>
          <w:rFonts w:ascii="华文楷体" w:hAnsi="华文楷体" w:eastAsia="华文楷体"/>
          <w:sz w:val="24"/>
        </w:rPr>
        <w:t>经济走廊车流构成，</w:t>
      </w:r>
      <w:r>
        <w:rPr>
          <w:rFonts w:hint="eastAsia" w:ascii="华文楷体" w:hAnsi="华文楷体" w:eastAsia="华文楷体"/>
          <w:sz w:val="24"/>
        </w:rPr>
        <w:t>并对</w:t>
      </w:r>
      <w:r>
        <w:rPr>
          <w:rFonts w:ascii="华文楷体" w:hAnsi="华文楷体" w:eastAsia="华文楷体"/>
          <w:sz w:val="24"/>
        </w:rPr>
        <w:t>车流特征</w:t>
      </w:r>
      <w:r>
        <w:rPr>
          <w:rFonts w:hint="eastAsia" w:ascii="华文楷体" w:hAnsi="华文楷体" w:eastAsia="华文楷体"/>
          <w:sz w:val="24"/>
        </w:rPr>
        <w:t>进行</w:t>
      </w:r>
      <w:r>
        <w:rPr>
          <w:rFonts w:ascii="华文楷体" w:hAnsi="华文楷体" w:eastAsia="华文楷体"/>
          <w:sz w:val="24"/>
        </w:rPr>
        <w:t>分析</w:t>
      </w:r>
      <w:r>
        <w:rPr>
          <w:rFonts w:hint="eastAsia" w:ascii="华文楷体" w:hAnsi="华文楷体" w:eastAsia="华文楷体"/>
          <w:sz w:val="24"/>
        </w:rPr>
        <w:t>以及</w:t>
      </w:r>
      <w:r>
        <w:rPr>
          <w:rFonts w:ascii="华文楷体" w:hAnsi="华文楷体" w:eastAsia="华文楷体"/>
          <w:sz w:val="24"/>
        </w:rPr>
        <w:t>车流与经济活动</w:t>
      </w:r>
      <w:r>
        <w:rPr>
          <w:rFonts w:hint="eastAsia" w:ascii="华文楷体" w:hAnsi="华文楷体" w:eastAsia="华文楷体"/>
          <w:sz w:val="24"/>
        </w:rPr>
        <w:t>进行</w:t>
      </w:r>
      <w:r>
        <w:rPr>
          <w:rFonts w:ascii="华文楷体" w:hAnsi="华文楷体" w:eastAsia="华文楷体"/>
          <w:sz w:val="24"/>
        </w:rPr>
        <w:t>关联分析</w:t>
      </w:r>
      <w:r>
        <w:rPr>
          <w:rFonts w:hint="eastAsia" w:ascii="华文楷体" w:hAnsi="华文楷体" w:eastAsia="华文楷体"/>
          <w:sz w:val="24"/>
        </w:rPr>
        <w:t>。</w:t>
      </w:r>
    </w:p>
    <w:bookmarkEnd w:id="113"/>
    <w:p w14:paraId="5F040781">
      <w:pPr>
        <w:ind w:firstLine="480" w:firstLineChars="200"/>
        <w:jc w:val="both"/>
        <w:rPr>
          <w:rFonts w:hint="eastAsia" w:ascii="华文楷体" w:hAnsi="华文楷体" w:eastAsia="华文楷体"/>
          <w:sz w:val="24"/>
          <w:szCs w:val="28"/>
        </w:rPr>
      </w:pPr>
      <w:r>
        <w:rPr>
          <w:rFonts w:hint="eastAsia" w:ascii="华文楷体" w:hAnsi="华文楷体" w:eastAsia="华文楷体"/>
          <w:sz w:val="24"/>
        </w:rPr>
        <w:t>该报告主要对</w:t>
      </w:r>
      <w:bookmarkStart w:id="116" w:name="OLE_LINK88"/>
      <w:r>
        <w:rPr>
          <w:rFonts w:hint="eastAsia" w:ascii="华文楷体" w:hAnsi="华文楷体" w:eastAsia="华文楷体"/>
          <w:sz w:val="24"/>
        </w:rPr>
        <w:t>义甬舟开放大通道</w:t>
      </w:r>
      <w:bookmarkEnd w:id="116"/>
      <w:r>
        <w:rPr>
          <w:rFonts w:hint="eastAsia" w:ascii="华文楷体" w:hAnsi="华文楷体" w:eastAsia="华文楷体"/>
          <w:sz w:val="24"/>
        </w:rPr>
        <w:t>的车流构成进行分析。义甬舟开放大通道是浙江省打造长三角一体化战略支点的核心通道，以宁波舟山港为海港枢纽、义乌为陆港核心，串联宁波</w:t>
      </w:r>
      <w:bookmarkStart w:id="117" w:name="OLE_LINK94"/>
      <w:r>
        <w:rPr>
          <w:rFonts w:hint="eastAsia" w:ascii="华文楷体" w:hAnsi="华文楷体" w:eastAsia="华文楷体"/>
          <w:sz w:val="24"/>
        </w:rPr>
        <w:t>市</w:t>
      </w:r>
      <w:bookmarkEnd w:id="117"/>
      <w:r>
        <w:rPr>
          <w:rFonts w:hint="eastAsia" w:ascii="华文楷体" w:hAnsi="华文楷体" w:eastAsia="华文楷体"/>
          <w:sz w:val="24"/>
        </w:rPr>
        <w:t>、舟山市、金华市等城市</w:t>
      </w:r>
      <w:r>
        <w:rPr>
          <w:rFonts w:ascii="华文楷体" w:hAnsi="华文楷体" w:eastAsia="华文楷体"/>
          <w:sz w:val="24"/>
          <w:szCs w:val="28"/>
        </w:rPr>
        <w:t>。</w:t>
      </w:r>
    </w:p>
    <w:p w14:paraId="17BD7427">
      <w:pPr>
        <w:ind w:firstLine="480" w:firstLineChars="200"/>
        <w:jc w:val="both"/>
        <w:rPr>
          <w:rFonts w:hint="eastAsia" w:ascii="华文楷体" w:hAnsi="华文楷体" w:eastAsia="华文楷体"/>
          <w:sz w:val="24"/>
          <w:szCs w:val="28"/>
        </w:rPr>
      </w:pPr>
      <w:bookmarkStart w:id="118" w:name="OLE_LINK119"/>
      <w:r>
        <w:rPr>
          <w:rFonts w:hint="eastAsia" w:ascii="华文楷体" w:hAnsi="华文楷体" w:eastAsia="华文楷体"/>
          <w:sz w:val="24"/>
        </w:rPr>
        <w:t>义甬舟开放大通道车流构成分析：</w:t>
      </w:r>
    </w:p>
    <w:bookmarkEnd w:id="118"/>
    <w:p w14:paraId="258E493E">
      <w:pPr>
        <w:jc w:val="center"/>
        <w:rPr>
          <w:rFonts w:hint="eastAsia" w:ascii="华文楷体" w:hAnsi="华文楷体" w:eastAsia="华文楷体"/>
          <w:sz w:val="24"/>
        </w:rPr>
      </w:pPr>
      <w:r>
        <w:rPr>
          <w14:ligatures w14:val="none"/>
        </w:rPr>
        <w:drawing>
          <wp:inline distT="0" distB="0" distL="0" distR="0">
            <wp:extent cx="3969385" cy="3740150"/>
            <wp:effectExtent l="0" t="0" r="0" b="0"/>
            <wp:docPr id="572830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0554" name="图片 1"/>
                    <pic:cNvPicPr>
                      <a:picLocks noChangeAspect="1"/>
                    </pic:cNvPicPr>
                  </pic:nvPicPr>
                  <pic:blipFill>
                    <a:blip r:embed="rId16"/>
                    <a:stretch>
                      <a:fillRect/>
                    </a:stretch>
                  </pic:blipFill>
                  <pic:spPr>
                    <a:xfrm>
                      <a:off x="0" y="0"/>
                      <a:ext cx="3974282" cy="3745089"/>
                    </a:xfrm>
                    <a:prstGeom prst="rect">
                      <a:avLst/>
                    </a:prstGeom>
                  </pic:spPr>
                </pic:pic>
              </a:graphicData>
            </a:graphic>
          </wp:inline>
        </w:drawing>
      </w:r>
    </w:p>
    <w:p w14:paraId="79F78FF1">
      <w:pPr>
        <w:ind w:firstLine="480" w:firstLineChars="200"/>
        <w:jc w:val="center"/>
        <w:rPr>
          <w:rFonts w:hint="eastAsia" w:ascii="华文楷体" w:hAnsi="华文楷体" w:eastAsia="华文楷体"/>
          <w:sz w:val="24"/>
        </w:rPr>
      </w:pPr>
      <w:bookmarkStart w:id="119" w:name="OLE_LINK163"/>
      <w:bookmarkStart w:id="120" w:name="OLE_LINK129"/>
      <w:bookmarkStart w:id="121" w:name="OLE_LINK116"/>
      <w:commentRangeStart w:id="5"/>
      <w:r>
        <w:rPr>
          <w:rFonts w:hint="eastAsia" w:ascii="华文楷体" w:hAnsi="华文楷体" w:eastAsia="华文楷体"/>
          <w:sz w:val="24"/>
        </w:rPr>
        <w:t>图2-</w:t>
      </w:r>
      <w:bookmarkEnd w:id="119"/>
      <w:bookmarkStart w:id="122" w:name="OLE_LINK25"/>
      <w:r>
        <w:rPr>
          <w:rFonts w:hint="eastAsia" w:ascii="华文楷体" w:hAnsi="华文楷体" w:eastAsia="华文楷体"/>
          <w:sz w:val="24"/>
        </w:rPr>
        <w:t xml:space="preserve">8 </w:t>
      </w:r>
      <w:bookmarkStart w:id="123" w:name="OLE_LINK175"/>
      <w:bookmarkStart w:id="124" w:name="OLE_LINK188"/>
      <w:r>
        <w:rPr>
          <w:rFonts w:hint="eastAsia" w:ascii="华文楷体" w:hAnsi="华文楷体" w:eastAsia="华文楷体"/>
          <w:sz w:val="24"/>
        </w:rPr>
        <w:t>202</w:t>
      </w:r>
      <w:commentRangeEnd w:id="5"/>
      <w:r>
        <w:commentReference w:id="5"/>
      </w:r>
      <w:r>
        <w:rPr>
          <w:rFonts w:hint="eastAsia" w:ascii="华文楷体" w:hAnsi="华文楷体" w:eastAsia="华文楷体"/>
          <w:sz w:val="24"/>
        </w:rPr>
        <w:t>5年</w:t>
      </w:r>
      <w:bookmarkEnd w:id="122"/>
      <w:r>
        <w:rPr>
          <w:rFonts w:hint="eastAsia" w:ascii="华文楷体" w:hAnsi="华文楷体" w:eastAsia="华文楷体"/>
          <w:sz w:val="24"/>
        </w:rPr>
        <w:t>义甬舟开放大通道</w:t>
      </w:r>
      <w:bookmarkEnd w:id="123"/>
      <w:bookmarkStart w:id="125" w:name="OLE_LINK23"/>
      <w:r>
        <w:rPr>
          <w:rFonts w:hint="eastAsia" w:ascii="华文楷体" w:hAnsi="华文楷体" w:eastAsia="华文楷体"/>
          <w:sz w:val="24"/>
        </w:rPr>
        <w:t>货车流量</w:t>
      </w:r>
      <w:bookmarkEnd w:id="125"/>
      <w:r>
        <w:rPr>
          <w:rFonts w:hint="eastAsia" w:ascii="华文楷体" w:hAnsi="华文楷体" w:eastAsia="华文楷体"/>
          <w:sz w:val="24"/>
        </w:rPr>
        <w:t>占比趋势图</w:t>
      </w:r>
      <w:bookmarkEnd w:id="124"/>
    </w:p>
    <w:bookmarkEnd w:id="120"/>
    <w:p w14:paraId="4E2AB892">
      <w:pPr>
        <w:ind w:firstLine="480" w:firstLineChars="200"/>
        <w:jc w:val="both"/>
        <w:rPr>
          <w:rFonts w:hint="eastAsia" w:ascii="华文楷体" w:hAnsi="华文楷体" w:eastAsia="华文楷体"/>
          <w:sz w:val="24"/>
        </w:rPr>
      </w:pPr>
      <w:bookmarkStart w:id="126" w:name="OLE_LINK47"/>
      <w:bookmarkStart w:id="127" w:name="OLE_LINK193"/>
      <w:r>
        <w:rPr>
          <w:rFonts w:hint="eastAsia" w:ascii="华文楷体" w:hAnsi="华文楷体" w:eastAsia="华文楷体"/>
          <w:sz w:val="24"/>
        </w:rPr>
        <w:t>甬金高速（宁波市与金华市路段）</w:t>
      </w:r>
      <w:bookmarkEnd w:id="126"/>
      <w:r>
        <w:rPr>
          <w:rFonts w:hint="eastAsia" w:ascii="华文楷体" w:hAnsi="华文楷体" w:eastAsia="华文楷体"/>
          <w:sz w:val="24"/>
        </w:rPr>
        <w:t>作为义甬舟开放大通道主通道，全年货车流量占比呈现显著季节性波动，2月受春节假期影响跌至36.79%低谷，3月复工复产反弹至50.39%，9月“金九银十”出口旺季升至55.56%，12月圣诞订单出货高峰达到58.93%峰值。货车流量波动彰显“世界第一大港”与“世界小商品之都”的紧密联动，以及高速公路承担港口集疏运主力功能的季节性特征。</w:t>
      </w:r>
    </w:p>
    <w:p w14:paraId="14806597">
      <w:pPr>
        <w:ind w:firstLine="480" w:firstLineChars="200"/>
        <w:jc w:val="both"/>
        <w:rPr>
          <w:rFonts w:hint="eastAsia" w:ascii="华文楷体" w:hAnsi="华文楷体" w:eastAsia="华文楷体"/>
          <w:sz w:val="24"/>
        </w:rPr>
      </w:pPr>
      <w:bookmarkStart w:id="128" w:name="OLE_LINK48"/>
      <w:r>
        <w:rPr>
          <w:rFonts w:hint="eastAsia" w:ascii="华文楷体" w:hAnsi="华文楷体" w:eastAsia="华文楷体"/>
          <w:sz w:val="24"/>
        </w:rPr>
        <w:t>甬舟高速（宁波市与舟山市路段）</w:t>
      </w:r>
      <w:bookmarkEnd w:id="128"/>
      <w:r>
        <w:rPr>
          <w:rFonts w:hint="eastAsia" w:ascii="华文楷体" w:hAnsi="华文楷体" w:eastAsia="华文楷体"/>
          <w:sz w:val="24"/>
        </w:rPr>
        <w:t>作为港口集疏运核心通道，季节性波动剧烈，2月春节假期货车流量跌至19.93%全年最低，3月恢复至26.81%，5月短暂回调至23.82%，9-12月出口旺季连续攀升至32.69%峰值，与宁波舟山港强劲集疏运需求高度吻合。</w:t>
      </w:r>
    </w:p>
    <w:p w14:paraId="6394BEB0">
      <w:pPr>
        <w:ind w:firstLine="480" w:firstLineChars="200"/>
        <w:jc w:val="both"/>
        <w:rPr>
          <w:rFonts w:hint="eastAsia" w:ascii="华文楷体" w:hAnsi="华文楷体" w:eastAsia="华文楷体"/>
          <w:sz w:val="24"/>
        </w:rPr>
      </w:pPr>
      <w:bookmarkStart w:id="129" w:name="OLE_LINK53"/>
      <w:r>
        <w:rPr>
          <w:rFonts w:hint="eastAsia" w:ascii="华文楷体" w:hAnsi="华文楷体" w:eastAsia="华文楷体"/>
          <w:sz w:val="24"/>
        </w:rPr>
        <w:t>甬金高速西延方向（</w:t>
      </w:r>
      <w:bookmarkStart w:id="130" w:name="OLE_LINK45"/>
      <w:r>
        <w:rPr>
          <w:rFonts w:hint="eastAsia" w:ascii="华文楷体" w:hAnsi="华文楷体" w:eastAsia="华文楷体"/>
          <w:sz w:val="24"/>
        </w:rPr>
        <w:t>舟山市与金华市</w:t>
      </w:r>
      <w:bookmarkStart w:id="131" w:name="OLE_LINK30"/>
      <w:r>
        <w:rPr>
          <w:rFonts w:hint="eastAsia" w:ascii="华文楷体" w:hAnsi="华文楷体" w:eastAsia="华文楷体"/>
          <w:sz w:val="24"/>
        </w:rPr>
        <w:t>路段</w:t>
      </w:r>
      <w:bookmarkEnd w:id="130"/>
      <w:bookmarkEnd w:id="131"/>
      <w:r>
        <w:rPr>
          <w:rFonts w:hint="eastAsia" w:ascii="华文楷体" w:hAnsi="华文楷体" w:eastAsia="华文楷体"/>
          <w:sz w:val="24"/>
        </w:rPr>
        <w:t>）</w:t>
      </w:r>
      <w:bookmarkEnd w:id="129"/>
      <w:r>
        <w:rPr>
          <w:rFonts w:hint="eastAsia" w:ascii="华文楷体" w:hAnsi="华文楷体" w:eastAsia="华文楷体"/>
          <w:sz w:val="24"/>
        </w:rPr>
        <w:t>作为义甬舟西向辐射通道，全年波动幅度最大，2月春节货车流量跌至22.72%，3月快速恢复至51.36%，但8月再次跌至29.30%低点，9月反弹至55.44%，12月达到63.89%全年峰值，反映舟山市与金华市路段货运需求的强季节性特征。</w:t>
      </w:r>
    </w:p>
    <w:bookmarkEnd w:id="127"/>
    <w:p w14:paraId="046115D2">
      <w:pPr>
        <w:ind w:firstLine="440" w:firstLineChars="200"/>
        <w:jc w:val="center"/>
        <w:rPr>
          <w:rFonts w:hint="eastAsia" w:ascii="华文楷体" w:hAnsi="华文楷体" w:eastAsia="华文楷体"/>
          <w:sz w:val="24"/>
          <w:szCs w:val="28"/>
        </w:rPr>
      </w:pPr>
      <w:r>
        <w:rPr>
          <w14:ligatures w14:val="none"/>
        </w:rPr>
        <w:drawing>
          <wp:inline distT="0" distB="0" distL="0" distR="0">
            <wp:extent cx="4308475" cy="4077335"/>
            <wp:effectExtent l="0" t="0" r="0" b="0"/>
            <wp:docPr id="1643445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5982" name="图片 1"/>
                    <pic:cNvPicPr>
                      <a:picLocks noChangeAspect="1"/>
                    </pic:cNvPicPr>
                  </pic:nvPicPr>
                  <pic:blipFill>
                    <a:blip r:embed="rId17"/>
                    <a:stretch>
                      <a:fillRect/>
                    </a:stretch>
                  </pic:blipFill>
                  <pic:spPr>
                    <a:xfrm>
                      <a:off x="0" y="0"/>
                      <a:ext cx="4320381" cy="4088915"/>
                    </a:xfrm>
                    <a:prstGeom prst="rect">
                      <a:avLst/>
                    </a:prstGeom>
                  </pic:spPr>
                </pic:pic>
              </a:graphicData>
            </a:graphic>
          </wp:inline>
        </w:drawing>
      </w:r>
    </w:p>
    <w:p w14:paraId="3FB49F53">
      <w:pPr>
        <w:ind w:firstLine="480" w:firstLineChars="200"/>
        <w:jc w:val="center"/>
        <w:rPr>
          <w:rFonts w:hint="eastAsia" w:ascii="华文楷体" w:hAnsi="华文楷体" w:eastAsia="华文楷体"/>
          <w:sz w:val="24"/>
        </w:rPr>
      </w:pPr>
      <w:r>
        <w:rPr>
          <w:rFonts w:hint="eastAsia" w:ascii="华文楷体" w:hAnsi="华文楷体" w:eastAsia="华文楷体"/>
          <w:sz w:val="24"/>
        </w:rPr>
        <w:t>图2-9 2025年义甬舟开放大通道客车流量占比趋势图</w:t>
      </w:r>
    </w:p>
    <w:p w14:paraId="72B9EA0E">
      <w:pPr>
        <w:ind w:firstLine="480" w:firstLineChars="200"/>
        <w:jc w:val="both"/>
        <w:rPr>
          <w:rFonts w:hint="eastAsia" w:ascii="华文楷体" w:hAnsi="华文楷体" w:eastAsia="华文楷体"/>
          <w:sz w:val="24"/>
        </w:rPr>
      </w:pPr>
      <w:r>
        <w:rPr>
          <w:rFonts w:hint="eastAsia" w:ascii="华文楷体" w:hAnsi="华文楷体" w:eastAsia="华文楷体"/>
          <w:sz w:val="24"/>
        </w:rPr>
        <w:t>甬金高速（宁波市与金华市路段）全年客车流量占比呈现显著季节性波动，2月受春节假期高速公路免费通行政策影响</w:t>
      </w:r>
      <w:r>
        <w:rPr>
          <w:rStyle w:val="24"/>
          <w:rFonts w:hint="eastAsia" w:ascii="华文楷体" w:hAnsi="华文楷体" w:eastAsia="华文楷体"/>
          <w:sz w:val="24"/>
        </w:rPr>
        <w:footnoteReference w:id="33"/>
      </w:r>
      <w:r>
        <w:rPr>
          <w:rFonts w:hint="eastAsia" w:ascii="华文楷体" w:hAnsi="华文楷体" w:eastAsia="华文楷体"/>
          <w:sz w:val="24"/>
        </w:rPr>
        <w:t>，客车流量占比飙升至63.03%峰值；3月节后回落至49.43%，4月进一步降至48.29%；9月“金九银十”出口旺季货车流量增加，客车占比跌至44.25%低谷；12月圣诞订单出货高峰，货车流量再次增加，客车占比降至40.84%全年最低。</w:t>
      </w:r>
    </w:p>
    <w:p w14:paraId="3445F96A">
      <w:pPr>
        <w:ind w:firstLine="480" w:firstLineChars="200"/>
        <w:jc w:val="both"/>
        <w:rPr>
          <w:rFonts w:hint="eastAsia" w:ascii="华文楷体" w:hAnsi="华文楷体" w:eastAsia="华文楷体"/>
          <w:sz w:val="24"/>
        </w:rPr>
      </w:pPr>
      <w:r>
        <w:rPr>
          <w:rFonts w:hint="eastAsia" w:ascii="华文楷体" w:hAnsi="华文楷体" w:eastAsia="华文楷体"/>
          <w:sz w:val="24"/>
        </w:rPr>
        <w:t>甬舟高速（宁波市与舟山市路段）在2月春节假期客车流量占比高达79.69%，为全年峰值，反映舟山跨海大桥通行费优惠政策，对使用ETC记账卡的1类客车按八五折收费</w:t>
      </w:r>
      <w:r>
        <w:rPr>
          <w:rStyle w:val="24"/>
          <w:rFonts w:hint="eastAsia" w:ascii="华文楷体" w:hAnsi="华文楷体" w:eastAsia="华文楷体"/>
          <w:sz w:val="24"/>
        </w:rPr>
        <w:footnoteReference w:id="34"/>
      </w:r>
      <w:r>
        <w:rPr>
          <w:rFonts w:hint="eastAsia" w:ascii="华文楷体" w:hAnsi="华文楷体" w:eastAsia="华文楷体"/>
          <w:sz w:val="24"/>
        </w:rPr>
        <w:t>，叠加春节免费通行的双重刺激；3月回落至72.75%，5月升至75.76%，8月达到76.59%次高峰；9月出口旺季货车增加，客车占比跌至68.15%；12月降至66.89%。</w:t>
      </w:r>
    </w:p>
    <w:p w14:paraId="1FFD368E">
      <w:pPr>
        <w:ind w:firstLine="480" w:firstLineChars="200"/>
        <w:jc w:val="both"/>
        <w:rPr>
          <w:rFonts w:hint="eastAsia" w:ascii="华文楷体" w:hAnsi="华文楷体" w:eastAsia="华文楷体"/>
          <w:sz w:val="24"/>
        </w:rPr>
      </w:pPr>
      <w:r>
        <w:rPr>
          <w:rFonts w:hint="eastAsia" w:ascii="华文楷体" w:hAnsi="华文楷体" w:eastAsia="华文楷体"/>
          <w:sz w:val="24"/>
        </w:rPr>
        <w:t>甬金高速西延方向（舟山市与金华市路段）全年波动幅度最大，2月春节暴涨至77.20%全年最高，3月回落至48.58%，4月恢复至49.46%；7-8月暑期旅游旺季升至62.87%-70.65%区间，反映暑期海岛旅游客流增加；9月出口旺季货车增加，客车占比跌至44.50%；12月降至36.06%全年最低。</w:t>
      </w:r>
    </w:p>
    <w:bookmarkEnd w:id="9"/>
    <w:bookmarkEnd w:id="121"/>
    <w:p w14:paraId="4C83B6A8">
      <w:pPr>
        <w:pStyle w:val="3"/>
        <w:adjustRightInd w:val="0"/>
        <w:snapToGrid w:val="0"/>
        <w:spacing w:line="288" w:lineRule="auto"/>
        <w:rPr>
          <w:rFonts w:hint="eastAsia" w:ascii="华文楷体" w:hAnsi="华文楷体" w:eastAsia="华文楷体"/>
          <w:b/>
          <w:bCs/>
          <w:color w:val="auto"/>
          <w:sz w:val="24"/>
          <w:szCs w:val="24"/>
        </w:rPr>
      </w:pPr>
      <w:commentRangeStart w:id="6"/>
      <w:r>
        <w:rPr>
          <w:rFonts w:ascii="华文楷体" w:hAnsi="华文楷体" w:eastAsia="华文楷体"/>
          <w:b/>
          <w:bCs/>
          <w:color w:val="auto"/>
          <w:sz w:val="24"/>
          <w:szCs w:val="24"/>
        </w:rPr>
        <w:t>2.</w:t>
      </w:r>
      <w:r>
        <w:rPr>
          <w:rFonts w:hint="eastAsia" w:ascii="华文楷体" w:hAnsi="华文楷体" w:eastAsia="华文楷体"/>
          <w:b/>
          <w:bCs/>
          <w:color w:val="auto"/>
          <w:sz w:val="24"/>
          <w:szCs w:val="24"/>
        </w:rPr>
        <w:t>3</w:t>
      </w:r>
      <w:r>
        <w:rPr>
          <w:rFonts w:ascii="华文楷体" w:hAnsi="华文楷体" w:eastAsia="华文楷体"/>
          <w:b/>
          <w:bCs/>
          <w:color w:val="auto"/>
          <w:sz w:val="24"/>
          <w:szCs w:val="24"/>
        </w:rPr>
        <w:t xml:space="preserve"> </w:t>
      </w:r>
      <w:r>
        <w:rPr>
          <w:rFonts w:hint="eastAsia" w:ascii="华文楷体" w:hAnsi="华文楷体" w:eastAsia="华文楷体"/>
          <w:b/>
          <w:bCs/>
          <w:color w:val="auto"/>
          <w:sz w:val="24"/>
          <w:szCs w:val="24"/>
        </w:rPr>
        <w:t>总结与展望</w:t>
      </w:r>
      <w:commentRangeEnd w:id="6"/>
      <w:r>
        <w:commentReference w:id="6"/>
      </w:r>
    </w:p>
    <w:p w14:paraId="1135961F">
      <w:pPr>
        <w:pStyle w:val="4"/>
        <w:rPr>
          <w:rFonts w:hint="eastAsia" w:ascii="华文楷体" w:hAnsi="华文楷体" w:eastAsia="华文楷体"/>
          <w:b/>
          <w:bCs/>
          <w:color w:val="000000" w:themeColor="text1"/>
          <w:sz w:val="24"/>
          <w:szCs w:val="24"/>
          <w14:textFill>
            <w14:solidFill>
              <w14:schemeClr w14:val="tx1"/>
            </w14:solidFill>
          </w14:textFill>
        </w:rPr>
      </w:pPr>
      <w:bookmarkStart w:id="132" w:name="OLE_LINK159"/>
      <w:r>
        <w:rPr>
          <w:rFonts w:ascii="华文楷体" w:hAnsi="华文楷体" w:eastAsia="华文楷体"/>
          <w:b/>
          <w:bCs/>
          <w:color w:val="000000" w:themeColor="text1"/>
          <w:sz w:val="24"/>
          <w:szCs w:val="24"/>
          <w14:textFill>
            <w14:solidFill>
              <w14:schemeClr w14:val="tx1"/>
            </w14:solidFill>
          </w14:textFill>
        </w:rPr>
        <w:t>2.</w:t>
      </w:r>
      <w:r>
        <w:rPr>
          <w:rFonts w:hint="eastAsia" w:ascii="华文楷体" w:hAnsi="华文楷体" w:eastAsia="华文楷体"/>
          <w:b/>
          <w:bCs/>
          <w:color w:val="000000" w:themeColor="text1"/>
          <w:sz w:val="24"/>
          <w:szCs w:val="24"/>
          <w14:textFill>
            <w14:solidFill>
              <w14:schemeClr w14:val="tx1"/>
            </w14:solidFill>
          </w14:textFill>
        </w:rPr>
        <w:t>3</w:t>
      </w:r>
      <w:r>
        <w:rPr>
          <w:rFonts w:ascii="华文楷体" w:hAnsi="华文楷体" w:eastAsia="华文楷体"/>
          <w:b/>
          <w:bCs/>
          <w:color w:val="000000" w:themeColor="text1"/>
          <w:sz w:val="24"/>
          <w:szCs w:val="24"/>
          <w14:textFill>
            <w14:solidFill>
              <w14:schemeClr w14:val="tx1"/>
            </w14:solidFill>
          </w14:textFill>
        </w:rPr>
        <w:t xml:space="preserve">.1 </w:t>
      </w:r>
      <w:r>
        <w:rPr>
          <w:rFonts w:hint="eastAsia" w:ascii="华文楷体" w:hAnsi="华文楷体" w:eastAsia="华文楷体"/>
          <w:b/>
          <w:bCs/>
          <w:color w:val="000000" w:themeColor="text1"/>
          <w:sz w:val="24"/>
          <w:szCs w:val="24"/>
          <w14:textFill>
            <w14:solidFill>
              <w14:schemeClr w14:val="tx1"/>
            </w14:solidFill>
          </w14:textFill>
        </w:rPr>
        <w:t>内容总结</w:t>
      </w:r>
    </w:p>
    <w:bookmarkEnd w:id="132"/>
    <w:p w14:paraId="5022C8E7">
      <w:pPr>
        <w:ind w:firstLine="480" w:firstLineChars="200"/>
        <w:jc w:val="both"/>
        <w:rPr>
          <w:rFonts w:hint="eastAsia" w:ascii="华文楷体" w:hAnsi="华文楷体" w:eastAsia="华文楷体"/>
          <w:sz w:val="24"/>
        </w:rPr>
      </w:pPr>
      <w:r>
        <w:rPr>
          <w:rFonts w:hint="eastAsia" w:ascii="华文楷体" w:hAnsi="华文楷体" w:eastAsia="华文楷体"/>
          <w:sz w:val="24"/>
        </w:rPr>
        <w:t>“交通看·区域经济”是一款面向政府宏观经济管理部门、区域经济研究机构、重点产业链主企业及金融机构的高价值</w:t>
      </w:r>
      <w:r>
        <w:rPr>
          <w:rFonts w:ascii="华文楷体" w:hAnsi="华文楷体" w:eastAsia="华文楷体"/>
          <w:sz w:val="24"/>
        </w:rPr>
        <w:t>产业研究</w:t>
      </w:r>
      <w:bookmarkStart w:id="133" w:name="OLE_LINK156"/>
      <w:r>
        <w:rPr>
          <w:rFonts w:ascii="华文楷体" w:hAnsi="华文楷体" w:eastAsia="华文楷体"/>
          <w:sz w:val="24"/>
        </w:rPr>
        <w:t>报告</w:t>
      </w:r>
      <w:bookmarkEnd w:id="133"/>
      <w:r>
        <w:rPr>
          <w:rFonts w:hint="eastAsia" w:ascii="华文楷体" w:hAnsi="华文楷体" w:eastAsia="华文楷体"/>
          <w:sz w:val="24"/>
        </w:rPr>
        <w:t>。其核心定位是以高速公路车流数据为“显微镜”和“望远镜”，构建可量化的区域经济运行监测与分析体系，提供客观、颗粒度细的经济运行“晴雨表”。</w:t>
      </w:r>
    </w:p>
    <w:p w14:paraId="6FBBBE38">
      <w:pPr>
        <w:ind w:firstLine="480" w:firstLineChars="200"/>
        <w:jc w:val="both"/>
        <w:rPr>
          <w:rFonts w:hint="eastAsia" w:ascii="华文楷体" w:hAnsi="华文楷体" w:eastAsia="华文楷体"/>
          <w:sz w:val="24"/>
        </w:rPr>
      </w:pPr>
      <w:r>
        <w:rPr>
          <w:rFonts w:hint="eastAsia" w:ascii="华文楷体" w:hAnsi="华文楷体" w:eastAsia="华文楷体"/>
          <w:sz w:val="24"/>
        </w:rPr>
        <w:t>围绕区域经济活力、城际经济连接等核心指标展开深度分析。区域经济活力指数显示，杭州、宁波活力指数与GDP排名高度一致（均位列第一、第二），体现长三角核心引擎作用。杭州依托长三角核心枢纽地位及电子商务之都的快递物流业务量，宁波依托舟山港世界第一大港的港口经济驱动，形成经济活力第一梯队。城际经济连接度分析表明，杭州与嘉兴、湖州、绍兴构成核心圈层，依托G60沪昆高速公路、杭州绕城高速、杭金衢高速等密集高速公路网络形成紧密联系；温州、台州市与杭州距离较远，高速公路联系相对较弱。</w:t>
      </w:r>
    </w:p>
    <w:p w14:paraId="57E526A7">
      <w:pPr>
        <w:ind w:firstLine="480" w:firstLineChars="200"/>
        <w:jc w:val="both"/>
        <w:rPr>
          <w:rFonts w:hint="eastAsia" w:ascii="华文楷体" w:hAnsi="华文楷体" w:eastAsia="华文楷体"/>
          <w:sz w:val="24"/>
        </w:rPr>
      </w:pPr>
      <w:r>
        <w:rPr>
          <w:rFonts w:hint="eastAsia" w:ascii="华文楷体" w:hAnsi="华文楷体" w:eastAsia="华文楷体"/>
          <w:sz w:val="24"/>
        </w:rPr>
        <w:t>区域物流活力分析显示，宁波市、嘉兴市、杭州市构成第一梯队，彰显长三角核心引擎作用；金华市、湖州市、绍兴市为第二梯队；温州市、台州市、舟山市、丽水市、衢州市为第三梯队。绿色交通发展方面，杭州市、绍兴市、温州市、嘉兴市领跑全省，直接源于高速公路差异化收费政策及新能源货车通行便利政策的落地成效。2025年老旧营运货车报废更新补贴政策实施后，各城市绿色物流指数显著提升。杭州市绿色物流指数政策发布后（4-12月）较发布前（1-3月）增长67.02%，碳减排贡献度增长19.5%；宁波市依托甬金高速新能源重卡运输通道，绿色物流指数增长99.9%；绍兴市嵊州服务区重卡换电站8月投运后，碳减排贡献度增长25.4%。</w:t>
      </w:r>
    </w:p>
    <w:p w14:paraId="46D40A6F">
      <w:pPr>
        <w:ind w:firstLine="480" w:firstLineChars="200"/>
        <w:jc w:val="both"/>
        <w:rPr>
          <w:rFonts w:hint="eastAsia" w:ascii="华文楷体" w:hAnsi="华文楷体" w:eastAsia="华文楷体"/>
          <w:sz w:val="24"/>
        </w:rPr>
      </w:pPr>
      <w:r>
        <w:rPr>
          <w:rFonts w:hint="eastAsia" w:ascii="华文楷体" w:hAnsi="华文楷体" w:eastAsia="华文楷体"/>
          <w:sz w:val="24"/>
        </w:rPr>
        <w:t>产业链聚集度分析显示，</w:t>
      </w:r>
      <w:r>
        <w:rPr>
          <w:rFonts w:ascii="华文楷体" w:hAnsi="华文楷体" w:eastAsia="华文楷体"/>
          <w:sz w:val="24"/>
        </w:rPr>
        <w:t>宁波汽车产业园以绝对主导地位领跑全省，85.4%的入园货车流量集中在100公里范围内，构建了立体化配套体系。前湾新区</w:t>
      </w:r>
      <w:r>
        <w:rPr>
          <w:rFonts w:hint="eastAsia" w:ascii="华文楷体" w:hAnsi="华文楷体" w:eastAsia="华文楷体"/>
          <w:sz w:val="24"/>
        </w:rPr>
        <w:t>“</w:t>
      </w:r>
      <w:r>
        <w:rPr>
          <w:rFonts w:ascii="华文楷体" w:hAnsi="华文楷体" w:eastAsia="华文楷体"/>
          <w:sz w:val="24"/>
        </w:rPr>
        <w:t>万亩千亿</w:t>
      </w:r>
      <w:r>
        <w:rPr>
          <w:rFonts w:hint="eastAsia" w:ascii="华文楷体" w:hAnsi="华文楷体" w:eastAsia="华文楷体"/>
          <w:sz w:val="24"/>
        </w:rPr>
        <w:t>”</w:t>
      </w:r>
      <w:r>
        <w:rPr>
          <w:rFonts w:ascii="华文楷体" w:hAnsi="华文楷体" w:eastAsia="华文楷体"/>
          <w:sz w:val="24"/>
        </w:rPr>
        <w:t>智能汽车产业平台集聚上汽大众、吉利等整车厂及零部件企业，形成高度协同的产业生态</w:t>
      </w:r>
      <w:r>
        <w:rPr>
          <w:rFonts w:hint="eastAsia" w:ascii="华文楷体" w:hAnsi="华文楷体" w:eastAsia="华文楷体"/>
          <w:sz w:val="24"/>
        </w:rPr>
        <w:t>。经济走廊车流分析表明，</w:t>
      </w:r>
      <w:r>
        <w:rPr>
          <w:rFonts w:ascii="华文楷体" w:hAnsi="华文楷体" w:eastAsia="华文楷体"/>
          <w:sz w:val="24"/>
        </w:rPr>
        <w:t>义甬舟开放大通道货车流量占比呈现显著季节性波动，2月春节低谷、9-12月出口旺季峰值特征明显；甬金高速货车流量占比全年最高达58.93%，彰显宁波舟山港与义乌小商品市场的紧密联动；甬舟高速客车流量占比2月高达79.69%，反映舟山跨海大桥通行费优惠政策与春节免费通行的叠加效应。</w:t>
      </w:r>
    </w:p>
    <w:p w14:paraId="4646827E">
      <w:pPr>
        <w:pStyle w:val="4"/>
        <w:rPr>
          <w:rFonts w:hint="eastAsia" w:ascii="华文楷体" w:hAnsi="华文楷体" w:eastAsia="华文楷体"/>
          <w:b/>
          <w:bCs/>
          <w:color w:val="000000" w:themeColor="text1"/>
          <w:sz w:val="24"/>
          <w:szCs w:val="24"/>
          <w14:textFill>
            <w14:solidFill>
              <w14:schemeClr w14:val="tx1"/>
            </w14:solidFill>
          </w14:textFill>
        </w:rPr>
      </w:pPr>
      <w:commentRangeStart w:id="7"/>
      <w:r>
        <w:rPr>
          <w:rFonts w:ascii="华文楷体" w:hAnsi="华文楷体" w:eastAsia="华文楷体"/>
          <w:b/>
          <w:bCs/>
          <w:color w:val="000000" w:themeColor="text1"/>
          <w:sz w:val="24"/>
          <w:szCs w:val="24"/>
          <w14:textFill>
            <w14:solidFill>
              <w14:schemeClr w14:val="tx1"/>
            </w14:solidFill>
          </w14:textFill>
        </w:rPr>
        <w:t>2.</w:t>
      </w:r>
      <w:r>
        <w:rPr>
          <w:rFonts w:hint="eastAsia" w:ascii="华文楷体" w:hAnsi="华文楷体" w:eastAsia="华文楷体"/>
          <w:b/>
          <w:bCs/>
          <w:color w:val="000000" w:themeColor="text1"/>
          <w:sz w:val="24"/>
          <w:szCs w:val="24"/>
          <w14:textFill>
            <w14:solidFill>
              <w14:schemeClr w14:val="tx1"/>
            </w14:solidFill>
          </w14:textFill>
        </w:rPr>
        <w:t>3</w:t>
      </w:r>
      <w:r>
        <w:rPr>
          <w:rFonts w:ascii="华文楷体" w:hAnsi="华文楷体" w:eastAsia="华文楷体"/>
          <w:b/>
          <w:bCs/>
          <w:color w:val="000000" w:themeColor="text1"/>
          <w:sz w:val="24"/>
          <w:szCs w:val="24"/>
          <w14:textFill>
            <w14:solidFill>
              <w14:schemeClr w14:val="tx1"/>
            </w14:solidFill>
          </w14:textFill>
        </w:rPr>
        <w:t>.</w:t>
      </w:r>
      <w:r>
        <w:rPr>
          <w:rFonts w:hint="eastAsia" w:ascii="华文楷体" w:hAnsi="华文楷体" w:eastAsia="华文楷体"/>
          <w:b/>
          <w:bCs/>
          <w:color w:val="000000" w:themeColor="text1"/>
          <w:sz w:val="24"/>
          <w:szCs w:val="24"/>
          <w14:textFill>
            <w14:solidFill>
              <w14:schemeClr w14:val="tx1"/>
            </w14:solidFill>
          </w14:textFill>
        </w:rPr>
        <w:t>3</w:t>
      </w:r>
      <w:r>
        <w:rPr>
          <w:rFonts w:ascii="华文楷体" w:hAnsi="华文楷体" w:eastAsia="华文楷体"/>
          <w:b/>
          <w:bCs/>
          <w:color w:val="000000" w:themeColor="text1"/>
          <w:sz w:val="24"/>
          <w:szCs w:val="24"/>
          <w14:textFill>
            <w14:solidFill>
              <w14:schemeClr w14:val="tx1"/>
            </w14:solidFill>
          </w14:textFill>
        </w:rPr>
        <w:t xml:space="preserve"> </w:t>
      </w:r>
      <w:r>
        <w:rPr>
          <w:rFonts w:hint="eastAsia" w:ascii="华文楷体" w:hAnsi="华文楷体" w:eastAsia="华文楷体"/>
          <w:b/>
          <w:bCs/>
          <w:color w:val="000000" w:themeColor="text1"/>
          <w:sz w:val="24"/>
          <w:szCs w:val="24"/>
          <w14:textFill>
            <w14:solidFill>
              <w14:schemeClr w14:val="tx1"/>
            </w14:solidFill>
          </w14:textFill>
        </w:rPr>
        <w:t>未来展望</w:t>
      </w:r>
      <w:commentRangeEnd w:id="7"/>
      <w:r>
        <w:commentReference w:id="7"/>
      </w:r>
    </w:p>
    <w:p w14:paraId="76678029">
      <w:pPr>
        <w:ind w:firstLine="480" w:firstLineChars="200"/>
        <w:jc w:val="both"/>
        <w:rPr>
          <w:rFonts w:hint="eastAsia" w:ascii="华文楷体" w:hAnsi="华文楷体" w:eastAsia="华文楷体"/>
          <w:sz w:val="24"/>
        </w:rPr>
      </w:pPr>
      <w:bookmarkStart w:id="134" w:name="OLE_LINK150"/>
      <w:r>
        <w:rPr>
          <w:rFonts w:hint="eastAsia" w:ascii="华文楷体" w:hAnsi="华文楷体" w:eastAsia="华文楷体"/>
          <w:sz w:val="24"/>
        </w:rPr>
        <w:t>“交通看·区域经济”</w:t>
      </w:r>
      <w:r>
        <w:rPr>
          <w:rFonts w:hint="eastAsia"/>
        </w:rPr>
        <w:t xml:space="preserve"> </w:t>
      </w:r>
      <w:r>
        <w:rPr>
          <w:rFonts w:ascii="华文楷体" w:hAnsi="华文楷体" w:eastAsia="华文楷体"/>
          <w:sz w:val="24"/>
        </w:rPr>
        <w:t>产业研究报告</w:t>
      </w:r>
      <w:bookmarkEnd w:id="134"/>
      <w:r>
        <w:rPr>
          <w:rFonts w:hint="eastAsia" w:ascii="华文楷体" w:hAnsi="华文楷体" w:eastAsia="华文楷体"/>
          <w:sz w:val="24"/>
        </w:rPr>
        <w:t>将持续深化数据驱动创新，以赋能区域经济高质量发展为核心目标，未来将呈现四大战略跃升趋势。</w:t>
      </w:r>
    </w:p>
    <w:p w14:paraId="28242EF8">
      <w:pPr>
        <w:ind w:firstLine="480" w:firstLineChars="200"/>
        <w:jc w:val="both"/>
        <w:rPr>
          <w:rFonts w:hint="eastAsia" w:ascii="华文楷体" w:hAnsi="华文楷体" w:eastAsia="华文楷体"/>
          <w:sz w:val="24"/>
        </w:rPr>
      </w:pPr>
      <w:r>
        <w:rPr>
          <w:rFonts w:hint="eastAsia" w:ascii="华文楷体" w:hAnsi="华文楷体" w:eastAsia="华文楷体"/>
          <w:sz w:val="24"/>
        </w:rPr>
        <w:t>突破现有物流数据边界，系统整合多维数据源，构建“经济-环境-社会”三位一体的全域感知网络。通过隐私计算与区块链技术，实现跨部门、跨区域安全协同，形成国家级区域经济数据中台，为政府提供实时动态的经济健康度“数字画像”，支撑科学决策从碎片化向系统化跃迁。</w:t>
      </w:r>
    </w:p>
    <w:p w14:paraId="70970C42">
      <w:pPr>
        <w:ind w:firstLine="480" w:firstLineChars="200"/>
        <w:jc w:val="both"/>
        <w:rPr>
          <w:rFonts w:hint="eastAsia" w:ascii="华文楷体" w:hAnsi="华文楷体" w:eastAsia="华文楷体"/>
          <w:sz w:val="24"/>
        </w:rPr>
      </w:pPr>
      <w:r>
        <w:rPr>
          <w:rFonts w:hint="eastAsia" w:ascii="华文楷体" w:hAnsi="华文楷体" w:eastAsia="华文楷体"/>
          <w:sz w:val="24"/>
        </w:rPr>
        <w:t>分析范畴从基础物流优化拓展至产业协同、绿色转型与数字消费等战略领域。重点深化“双碳”目标下的产业链碳足迹追踪、跨境供应链韧性评估、直播电商驱动的区域物流需求变化等主题。例如，通过光伏产业运输碳排放分析，助力“双碳”政策精准落地；通过数字消费趋势预测，引导区域产业布局优化，使分析价值从运营层面向战略层面上升。</w:t>
      </w:r>
    </w:p>
    <w:p w14:paraId="35A2C29E">
      <w:pPr>
        <w:ind w:firstLine="480" w:firstLineChars="200"/>
        <w:jc w:val="both"/>
        <w:rPr>
          <w:rFonts w:hint="eastAsia" w:ascii="华文楷体" w:hAnsi="华文楷体" w:eastAsia="华文楷体"/>
          <w:sz w:val="24"/>
        </w:rPr>
      </w:pPr>
      <w:r>
        <w:rPr>
          <w:rFonts w:hint="eastAsia" w:ascii="华文楷体" w:hAnsi="华文楷体" w:eastAsia="华文楷体"/>
          <w:sz w:val="24"/>
        </w:rPr>
        <w:t>从描述性分析向预测性、智能决策闭环跨越。依托AI大模型构建“预测-预警-优化”体系：预测原材料价格波动对区域经济影响，模拟地缘政治风险下的供应链替代路径，实现供应链风险提前30天预警。通过动态模拟政策干预效果（如补贴政策对物流成本的边际影响），推动政府决策从“经验驱动”转向“数据驱动”，决策精准度提升30%以上。</w:t>
      </w:r>
    </w:p>
    <w:p w14:paraId="0DC96237">
      <w:pPr>
        <w:ind w:firstLine="480" w:firstLineChars="200"/>
        <w:jc w:val="both"/>
        <w:rPr>
          <w:rFonts w:hint="eastAsia" w:ascii="华文楷体" w:hAnsi="华文楷体" w:eastAsia="华文楷体"/>
          <w:sz w:val="24"/>
        </w:rPr>
      </w:pPr>
      <w:r>
        <w:rPr>
          <w:rFonts w:hint="eastAsia" w:ascii="华文楷体" w:hAnsi="华文楷体" w:eastAsia="华文楷体"/>
          <w:sz w:val="24"/>
        </w:rPr>
        <w:t>基于浙江省“415X”先进制造业集群规划，选定绍兴（纺织）、杭州（生物医药）、宁波前湾（汽车半导体）、嘉兴（光伏新材料）、湖州（地理信息AI）五大产业聚焦地。针对各区域，“交通看·区域经济”</w:t>
      </w:r>
      <w:r>
        <w:rPr>
          <w:rFonts w:hint="eastAsia"/>
        </w:rPr>
        <w:t xml:space="preserve"> </w:t>
      </w:r>
      <w:r>
        <w:rPr>
          <w:rFonts w:ascii="华文楷体" w:hAnsi="华文楷体" w:eastAsia="华文楷体"/>
          <w:sz w:val="24"/>
        </w:rPr>
        <w:t>产业研究报告</w:t>
      </w:r>
      <w:r>
        <w:rPr>
          <w:rFonts w:hint="eastAsia" w:ascii="华文楷体" w:hAnsi="华文楷体" w:eastAsia="华文楷体"/>
          <w:sz w:val="24"/>
        </w:rPr>
        <w:t>深度分析物流网络与供应链：绍兴聚焦纺织企业物流协同优化与供应链稳定性评估；杭州强化生物医药原料采购与产品销售路径分析；宁波优化汽车零部件与半导体材料供应链布局；嘉兴优化光伏组件运输效率；湖州提升地理信息与AI产品物流路径。通过整合企业信用与电子运单数据，精准评估供应链风险与经营稳定性，有效降低物流成本，提升产业链协同效率与区域竞争力，为产业高质量发展提供核心支撑。</w:t>
      </w:r>
    </w:p>
    <w:p w14:paraId="418C040F">
      <w:pPr>
        <w:ind w:firstLine="480" w:firstLineChars="200"/>
        <w:jc w:val="both"/>
        <w:rPr>
          <w:rFonts w:hint="eastAsia" w:ascii="华文楷体" w:hAnsi="华文楷体" w:eastAsia="华文楷体"/>
          <w:sz w:val="24"/>
        </w:rPr>
      </w:pPr>
      <w:r>
        <w:rPr>
          <w:rFonts w:hint="eastAsia" w:ascii="华文楷体" w:hAnsi="华文楷体" w:eastAsia="华文楷体"/>
          <w:sz w:val="24"/>
        </w:rPr>
        <w:t>未来三年，“交通看·区域经济”</w:t>
      </w:r>
      <w:bookmarkStart w:id="135" w:name="OLE_LINK151"/>
      <w:r>
        <w:rPr>
          <w:rFonts w:ascii="华文楷体" w:hAnsi="华文楷体" w:eastAsia="华文楷体"/>
          <w:sz w:val="24"/>
        </w:rPr>
        <w:t>产业研究报告</w:t>
      </w:r>
      <w:bookmarkEnd w:id="135"/>
      <w:r>
        <w:rPr>
          <w:rFonts w:hint="eastAsia" w:ascii="华文楷体" w:hAnsi="华文楷体" w:eastAsia="华文楷体"/>
          <w:sz w:val="24"/>
        </w:rPr>
        <w:t>将实现三大核心价值：为政府提供政策精准度提升的决策支持，为企业降低供应链成本，推动区域经济从“规模扩张”向“质量引领”的高质量发展转型。通过持续创新，“交通看·区域经济”</w:t>
      </w:r>
      <w:r>
        <w:rPr>
          <w:rFonts w:ascii="华文楷体" w:hAnsi="华文楷体" w:eastAsia="华文楷体"/>
          <w:sz w:val="24"/>
        </w:rPr>
        <w:t>产业研究报告</w:t>
      </w:r>
      <w:r>
        <w:rPr>
          <w:rFonts w:hint="eastAsia" w:ascii="华文楷体" w:hAnsi="华文楷体" w:eastAsia="华文楷体"/>
          <w:sz w:val="24"/>
        </w:rPr>
        <w:t>将打造数字经济赋能实体经济的样板，为区域经济可持续发展注入新动能，最终形成可复制、可推广的“数据驱动经济治理”新模式。</w:t>
      </w:r>
    </w:p>
    <w:p w14:paraId="03878820">
      <w:pPr>
        <w:widowControl/>
        <w:spacing w:after="0" w:line="240" w:lineRule="auto"/>
        <w:rPr>
          <w:rFonts w:hint="eastAsia" w:ascii="华文楷体" w:hAnsi="华文楷体" w:eastAsia="华文楷体" w:cstheme="majorBidi"/>
          <w:b/>
          <w:bCs/>
          <w:sz w:val="28"/>
          <w:szCs w:val="28"/>
        </w:rPr>
      </w:pPr>
      <w:bookmarkStart w:id="136" w:name="OLE_LINK162"/>
      <w:bookmarkStart w:id="137" w:name="OLE_LINK21"/>
      <w:bookmarkStart w:id="138" w:name="OLE_LINK18"/>
      <w:r>
        <w:rPr>
          <w:rFonts w:hint="eastAsia" w:ascii="华文楷体" w:hAnsi="华文楷体" w:eastAsia="华文楷体"/>
          <w:b/>
          <w:bCs/>
          <w:sz w:val="28"/>
          <w:szCs w:val="28"/>
        </w:rPr>
        <w:br w:type="page"/>
      </w:r>
    </w:p>
    <w:p w14:paraId="33417387">
      <w:pPr>
        <w:pStyle w:val="2"/>
        <w:adjustRightInd w:val="0"/>
        <w:snapToGrid w:val="0"/>
        <w:spacing w:line="288" w:lineRule="auto"/>
        <w:jc w:val="center"/>
        <w:rPr>
          <w:rFonts w:hint="eastAsia" w:ascii="华文楷体" w:hAnsi="华文楷体" w:eastAsia="华文楷体"/>
          <w:b/>
          <w:bCs/>
          <w:color w:val="auto"/>
          <w:sz w:val="28"/>
          <w:szCs w:val="28"/>
        </w:rPr>
      </w:pPr>
      <w:r>
        <w:rPr>
          <w:rFonts w:hint="eastAsia" w:ascii="华文楷体" w:hAnsi="华文楷体" w:eastAsia="华文楷体"/>
          <w:b/>
          <w:bCs/>
          <w:color w:val="auto"/>
          <w:sz w:val="28"/>
          <w:szCs w:val="28"/>
        </w:rPr>
        <w:t xml:space="preserve">附录A </w:t>
      </w:r>
      <w:bookmarkEnd w:id="136"/>
      <w:r>
        <w:rPr>
          <w:rFonts w:ascii="华文楷体" w:hAnsi="华文楷体" w:eastAsia="华文楷体"/>
          <w:b/>
          <w:bCs/>
          <w:color w:val="auto"/>
          <w:sz w:val="28"/>
          <w:szCs w:val="28"/>
        </w:rPr>
        <w:t>核心指标体系设计</w:t>
      </w:r>
      <w:bookmarkEnd w:id="137"/>
    </w:p>
    <w:bookmarkEnd w:id="138"/>
    <w:p w14:paraId="4B1EB2B7">
      <w:pPr>
        <w:pStyle w:val="3"/>
        <w:adjustRightInd w:val="0"/>
        <w:snapToGrid w:val="0"/>
        <w:spacing w:line="288" w:lineRule="auto"/>
        <w:rPr>
          <w:rFonts w:hint="eastAsia" w:ascii="华文楷体" w:hAnsi="华文楷体" w:eastAsia="华文楷体"/>
          <w:b/>
          <w:bCs/>
          <w:color w:val="auto"/>
          <w:sz w:val="24"/>
          <w:szCs w:val="24"/>
        </w:rPr>
      </w:pPr>
      <w:bookmarkStart w:id="139" w:name="OLE_LINK20"/>
      <w:r>
        <w:rPr>
          <w:rFonts w:hint="eastAsia" w:ascii="华文楷体" w:hAnsi="华文楷体" w:eastAsia="华文楷体"/>
          <w:b/>
          <w:bCs/>
          <w:color w:val="auto"/>
          <w:sz w:val="24"/>
          <w:szCs w:val="24"/>
        </w:rPr>
        <w:t>A</w:t>
      </w:r>
      <w:r>
        <w:rPr>
          <w:rFonts w:ascii="华文楷体" w:hAnsi="华文楷体" w:eastAsia="华文楷体"/>
          <w:b/>
          <w:bCs/>
          <w:color w:val="auto"/>
          <w:sz w:val="24"/>
          <w:szCs w:val="24"/>
        </w:rPr>
        <w:t>.1 区域经济活力指数</w:t>
      </w:r>
    </w:p>
    <w:bookmarkEnd w:id="139"/>
    <w:p w14:paraId="35306992">
      <w:pPr>
        <w:ind w:firstLine="480" w:firstLineChars="200"/>
        <w:jc w:val="both"/>
        <w:rPr>
          <w:rFonts w:hint="eastAsia" w:ascii="华文楷体" w:hAnsi="华文楷体" w:eastAsia="华文楷体"/>
          <w:sz w:val="24"/>
        </w:rPr>
      </w:pPr>
      <w:bookmarkStart w:id="140" w:name="OLE_LINK72"/>
      <w:r>
        <w:rPr>
          <w:rFonts w:ascii="华文楷体" w:hAnsi="华文楷体" w:eastAsia="华文楷体"/>
          <w:sz w:val="24"/>
        </w:rPr>
        <w:t>区域经济活力指数</w:t>
      </w:r>
      <w:bookmarkEnd w:id="140"/>
      <w:r>
        <w:rPr>
          <w:rFonts w:ascii="华文楷体" w:hAnsi="华文楷体" w:eastAsia="华文楷体"/>
          <w:sz w:val="24"/>
        </w:rPr>
        <w:t>旨在反映一个特定区域（如城市、县区）经济实时活跃程度的综合水平。指数数值越高，代表该区域的经济活动越频繁、市场信心越强。</w:t>
      </w:r>
    </w:p>
    <w:p w14:paraId="1FC516A8">
      <w:pPr>
        <w:ind w:firstLine="480" w:firstLineChars="200"/>
        <w:jc w:val="both"/>
        <w:rPr>
          <w:rFonts w:hint="eastAsia" w:ascii="华文楷体" w:hAnsi="华文楷体" w:eastAsia="华文楷体"/>
          <w:sz w:val="24"/>
        </w:rPr>
      </w:pPr>
      <w:r>
        <w:rPr>
          <w:rFonts w:ascii="华文楷体" w:hAnsi="华文楷体" w:eastAsia="华文楷体"/>
          <w:sz w:val="24"/>
        </w:rPr>
        <w:t>经济活动的活跃度通常体现在人流、物流的强度上。对于区域经济而言，</w:t>
      </w:r>
      <w:r>
        <w:rPr>
          <w:rFonts w:hint="eastAsia" w:ascii="华文楷体" w:hAnsi="华文楷体" w:eastAsia="华文楷体"/>
          <w:sz w:val="24"/>
        </w:rPr>
        <w:t>非本地货车占比</w:t>
      </w:r>
      <w:r>
        <w:rPr>
          <w:rFonts w:ascii="华文楷体" w:hAnsi="华文楷体" w:eastAsia="华文楷体"/>
          <w:sz w:val="24"/>
        </w:rPr>
        <w:t>（代表原材料输入或产品输出）、重型货车的占比（代表工业或大宗贸易活动）以及</w:t>
      </w:r>
      <w:r>
        <w:rPr>
          <w:rFonts w:hint="eastAsia" w:ascii="华文楷体" w:hAnsi="华文楷体" w:eastAsia="华文楷体"/>
          <w:sz w:val="24"/>
        </w:rPr>
        <w:t>区域车流量占比</w:t>
      </w:r>
      <w:r>
        <w:rPr>
          <w:rFonts w:ascii="华文楷体" w:hAnsi="华文楷体" w:eastAsia="华文楷体"/>
          <w:sz w:val="24"/>
        </w:rPr>
        <w:t>（代表经济动能）是三个关键信号。本指数通过加权综合这三个维度，构建一个能与GDP等传统指标形成互补的先行指标。</w:t>
      </w:r>
      <w:r>
        <w:rPr>
          <w:rFonts w:hint="eastAsia" w:ascii="华文楷体" w:hAnsi="华文楷体" w:eastAsia="华文楷体"/>
          <w:sz w:val="24"/>
        </w:rPr>
        <w:t>区域经济活力指数指标的加工口径如下：</w:t>
      </w:r>
    </w:p>
    <w:p w14:paraId="0A8E100A">
      <w:pPr>
        <w:rPr>
          <w:rFonts w:hint="eastAsia" w:ascii="华文楷体" w:hAnsi="华文楷体" w:eastAsia="华文楷体"/>
          <w:sz w:val="24"/>
        </w:rPr>
      </w:pPr>
      <m:oMathPara>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r>
            <m:rPr/>
            <w:rPr>
              <w:rFonts w:ascii="Cambria Math" w:hAnsi="Cambria Math" w:eastAsia="华文楷体"/>
              <w:sz w:val="24"/>
            </w:rPr>
            <m:t>=</m:t>
          </m:r>
          <m:sSub>
            <w:bookmarkStart w:id="141" w:name="OLE_LINK3"/>
            <w:bookmarkStart w:id="142" w:name="OLE_LINK10"/>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r>
            <m:rPr/>
            <w:rPr>
              <w:rFonts w:ascii="Cambria Math" w:hAnsi="Cambria Math" w:eastAsia="华文楷体"/>
              <w:sz w:val="24"/>
            </w:rPr>
            <m:t>×β+</m:t>
          </m:r>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oMath>
      </m:oMathPara>
      <w:bookmarkEnd w:id="141"/>
      <w:bookmarkEnd w:id="142"/>
    </w:p>
    <w:p w14:paraId="5BC1E396">
      <w:pPr>
        <w:ind w:firstLine="480" w:firstLineChars="200"/>
        <w:jc w:val="both"/>
        <w:rPr>
          <w:rFonts w:hint="eastAsia" w:ascii="华文楷体" w:hAnsi="华文楷体" w:eastAsia="华文楷体"/>
          <w:sz w:val="24"/>
        </w:rPr>
      </w:pPr>
      <w:bookmarkStart w:id="143" w:name="OLE_LINK5"/>
      <w:r>
        <w:rPr>
          <w:rFonts w:hint="eastAsia" w:ascii="华文楷体" w:hAnsi="华文楷体" w:eastAsia="华文楷体"/>
          <w:sz w:val="24"/>
        </w:rPr>
        <w:t>上式中，</w:t>
      </w:r>
      <m:oMath>
        <m:sSub>
          <w:bookmarkStart w:id="144" w:name="OLE_LINK340"/>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bookmarkStart w:id="145" w:name="_Hlk212798236"/>
      <w:r>
        <w:rPr>
          <w:rFonts w:hint="eastAsia" w:ascii="华文楷体" w:hAnsi="华文楷体" w:eastAsia="华文楷体"/>
          <w:sz w:val="24"/>
        </w:rPr>
        <w:t>表</w:t>
      </w:r>
      <w:bookmarkStart w:id="146" w:name="OLE_LINK160"/>
      <w:r>
        <w:rPr>
          <w:rFonts w:hint="eastAsia" w:ascii="华文楷体" w:hAnsi="华文楷体" w:eastAsia="华文楷体"/>
          <w:sz w:val="24"/>
        </w:rPr>
        <w:t>示</w:t>
      </w:r>
      <w:bookmarkEnd w:id="143"/>
      <w:bookmarkEnd w:id="145"/>
      <w:r>
        <w:rPr>
          <w:rFonts w:hint="eastAsia" w:ascii="华文楷体" w:hAnsi="华文楷体" w:eastAsia="华文楷体"/>
          <w:sz w:val="24"/>
        </w:rPr>
        <w:t>区域经济活力指数，</w:t>
      </w:r>
      <w:bookmarkStart w:id="147" w:name="OLE_LINK336"/>
      <m:oMath>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oMath>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oMath>
      <w:r>
        <w:rPr>
          <w:rFonts w:hint="eastAsia" w:ascii="华文楷体" w:hAnsi="华文楷体" w:eastAsia="华文楷体"/>
          <w:sz w:val="24"/>
        </w:rPr>
        <w:t>表示为权重</w:t>
      </w:r>
      <w:bookmarkEnd w:id="146"/>
      <w:r>
        <w:rPr>
          <w:rFonts w:hint="eastAsia" w:ascii="华文楷体" w:hAnsi="华文楷体" w:eastAsia="华文楷体"/>
          <w:sz w:val="24"/>
        </w:rPr>
        <w:t>系数</w:t>
      </w:r>
      <w:bookmarkEnd w:id="147"/>
      <w:r>
        <w:rPr>
          <w:rFonts w:hint="eastAsia" w:ascii="华文楷体" w:hAnsi="华文楷体" w:eastAsia="华文楷体"/>
          <w:sz w:val="24"/>
        </w:rPr>
        <w:t>，</w:t>
      </w:r>
      <w:r>
        <w:rPr>
          <w:rFonts w:ascii="Cambria Math" w:hAnsi="Cambria Math" w:eastAsia="华文楷体"/>
          <w:i/>
          <w:sz w:val="24"/>
        </w:rPr>
        <w:t xml:space="preserve"> </w:t>
      </w:r>
      <m:oMath>
        <m:sSub>
          <m:sSubPr>
            <m:ctrlPr>
              <w:rPr>
                <w:rFonts w:ascii="Cambria Math" w:hAnsi="Cambria Math" w:eastAsia="华文楷体"/>
                <w:i/>
                <w:sz w:val="24"/>
              </w:rPr>
            </m:ctrlPr>
          </m:sSubPr>
          <m:e>
            <m:r>
              <m:rPr/>
              <w:rPr>
                <w:rFonts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r>
        <w:rPr>
          <w:rFonts w:hint="eastAsia" w:ascii="华文楷体" w:hAnsi="华文楷体" w:eastAsia="华文楷体"/>
          <w:sz w:val="24"/>
        </w:rPr>
        <w:t>表示</w:t>
      </w:r>
      <w:bookmarkStart w:id="148" w:name="OLE_LINK54"/>
      <w:bookmarkStart w:id="149" w:name="OLE_LINK65"/>
      <w:bookmarkStart w:id="150" w:name="OLE_LINK27"/>
      <w:bookmarkStart w:id="151" w:name="OLE_LINK70"/>
      <w:r>
        <w:rPr>
          <w:rFonts w:hint="eastAsia" w:ascii="华文楷体" w:hAnsi="华文楷体" w:eastAsia="华文楷体"/>
          <w:sz w:val="24"/>
        </w:rPr>
        <w:t>区域车流量</w:t>
      </w:r>
      <w:bookmarkEnd w:id="148"/>
      <w:r>
        <w:rPr>
          <w:rFonts w:hint="eastAsia" w:ascii="华文楷体" w:hAnsi="华文楷体" w:eastAsia="华文楷体"/>
          <w:sz w:val="24"/>
        </w:rPr>
        <w:t>占</w:t>
      </w:r>
      <w:bookmarkEnd w:id="149"/>
      <w:r>
        <w:rPr>
          <w:rFonts w:hint="eastAsia" w:ascii="华文楷体" w:hAnsi="华文楷体" w:eastAsia="华文楷体"/>
          <w:sz w:val="24"/>
        </w:rPr>
        <w:t>所有城市车流量比重</w:t>
      </w:r>
      <w:bookmarkEnd w:id="150"/>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oMath>
      <w:r>
        <w:rPr>
          <w:rFonts w:hint="eastAsia" w:ascii="华文楷体" w:hAnsi="华文楷体" w:eastAsia="华文楷体"/>
          <w:sz w:val="24"/>
        </w:rPr>
        <w:t>表示重型货车占比，</w:t>
      </w:r>
      <m:oMath>
        <m:sSub>
          <m:sSubPr>
            <m:ctrlPr>
              <w:rPr>
                <w:rFonts w:ascii="Cambria Math" w:hAnsi="Cambria Math" w:eastAsia="华文楷体"/>
                <w:i/>
                <w:sz w:val="24"/>
              </w:rPr>
            </m:ctrlPr>
          </m:sSubPr>
          <m:e>
            <m:r>
              <m:rPr/>
              <w:rPr>
                <w:rFonts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oMath>
      <w:r>
        <w:rPr>
          <w:rFonts w:hint="eastAsia" w:ascii="华文楷体" w:hAnsi="华文楷体" w:eastAsia="华文楷体"/>
          <w:sz w:val="24"/>
        </w:rPr>
        <w:t>表示非本地货车占比</w:t>
      </w:r>
      <w:bookmarkEnd w:id="151"/>
      <w:r>
        <w:rPr>
          <w:rFonts w:hint="eastAsia" w:ascii="华文楷体" w:hAnsi="华文楷体" w:eastAsia="华文楷体"/>
          <w:sz w:val="24"/>
        </w:rPr>
        <w:t>，</w:t>
      </w:r>
      <m:oMath>
        <m:r>
          <m:rPr/>
          <w:rPr>
            <w:rFonts w:ascii="Cambria Math" w:hAnsi="Cambria Math" w:eastAsia="华文楷体"/>
            <w:sz w:val="24"/>
          </w:rPr>
          <m:t>β</m:t>
        </m:r>
      </m:oMath>
      <w:r>
        <w:rPr>
          <w:rFonts w:hint="eastAsia" w:ascii="华文楷体" w:hAnsi="华文楷体" w:eastAsia="华文楷体"/>
          <w:sz w:val="24"/>
        </w:rPr>
        <w:t>表示区域内属于沪杭甬的收费站占区域所有收费站比例的倒数</w:t>
      </w:r>
      <w:bookmarkEnd w:id="144"/>
      <w:r>
        <w:rPr>
          <w:rFonts w:hint="eastAsia" w:ascii="华文楷体" w:hAnsi="华文楷体" w:eastAsia="华文楷体"/>
          <w:sz w:val="24"/>
        </w:rPr>
        <w:t>。</w:t>
      </w:r>
    </w:p>
    <w:p w14:paraId="3D2D0B0B">
      <w:pPr>
        <w:ind w:firstLine="480" w:firstLineChars="200"/>
        <w:jc w:val="both"/>
        <w:rPr>
          <w:rFonts w:hint="eastAsia" w:ascii="华文楷体" w:hAnsi="华文楷体" w:eastAsia="华文楷体"/>
          <w:sz w:val="24"/>
        </w:rPr>
      </w:pPr>
      <w:r>
        <w:rPr>
          <w:rFonts w:ascii="华文楷体" w:hAnsi="华文楷体" w:eastAsia="华文楷体"/>
          <w:sz w:val="24"/>
        </w:rPr>
        <w:t>区域经济活力指数通过</w:t>
      </w:r>
      <w:r>
        <w:rPr>
          <w:rFonts w:hint="eastAsia" w:ascii="华文楷体" w:hAnsi="华文楷体" w:eastAsia="华文楷体"/>
          <w:sz w:val="24"/>
        </w:rPr>
        <w:t>区域车流量占所有城市车流量比重</w:t>
      </w:r>
      <w:r>
        <w:rPr>
          <w:rFonts w:ascii="华文楷体" w:hAnsi="华文楷体" w:eastAsia="华文楷体"/>
          <w:sz w:val="24"/>
        </w:rPr>
        <w:t>、重型货车占比和非本地货车占比的加权综合，构建了一个能与GDP等传统指标形成互补的先行指标，为区域经济运行提供高频、客观的</w:t>
      </w:r>
      <w:r>
        <w:rPr>
          <w:rFonts w:hint="eastAsia" w:ascii="华文楷体" w:hAnsi="华文楷体" w:eastAsia="华文楷体"/>
          <w:sz w:val="24"/>
        </w:rPr>
        <w:t>“</w:t>
      </w:r>
      <w:r>
        <w:rPr>
          <w:rFonts w:ascii="华文楷体" w:hAnsi="华文楷体" w:eastAsia="华文楷体"/>
          <w:sz w:val="24"/>
        </w:rPr>
        <w:t>晴雨表</w:t>
      </w:r>
      <w:r>
        <w:rPr>
          <w:rFonts w:hint="eastAsia" w:ascii="华文楷体" w:hAnsi="华文楷体" w:eastAsia="华文楷体"/>
          <w:sz w:val="24"/>
        </w:rPr>
        <w:t>”</w:t>
      </w:r>
      <w:r>
        <w:rPr>
          <w:rFonts w:ascii="华文楷体" w:hAnsi="华文楷体" w:eastAsia="华文楷体"/>
          <w:sz w:val="24"/>
        </w:rPr>
        <w:t>，帮助政府和企业及时把握经济活跃程度和市场信心变化，实现经济活力的实时监测与预警。</w:t>
      </w:r>
    </w:p>
    <w:p w14:paraId="08C09EDF">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A</w:t>
      </w:r>
      <w:r>
        <w:rPr>
          <w:rFonts w:ascii="华文楷体" w:hAnsi="华文楷体" w:eastAsia="华文楷体"/>
          <w:b/>
          <w:bCs/>
          <w:color w:val="auto"/>
          <w:sz w:val="24"/>
          <w:szCs w:val="24"/>
        </w:rPr>
        <w:t>.2 城际经济连接度指数</w:t>
      </w:r>
    </w:p>
    <w:p w14:paraId="609B7952">
      <w:pPr>
        <w:ind w:firstLine="480" w:firstLineChars="200"/>
        <w:jc w:val="both"/>
        <w:rPr>
          <w:rFonts w:hint="eastAsia" w:ascii="华文楷体" w:hAnsi="华文楷体" w:eastAsia="华文楷体"/>
          <w:sz w:val="24"/>
        </w:rPr>
      </w:pPr>
      <w:r>
        <w:rPr>
          <w:rFonts w:ascii="华文楷体" w:hAnsi="华文楷体" w:eastAsia="华文楷体"/>
          <w:sz w:val="24"/>
        </w:rPr>
        <w:t>城际经济连接度指数用于衡量两个城市之间经济联系的紧密程度。</w:t>
      </w:r>
      <w:r>
        <w:rPr>
          <w:rFonts w:hint="eastAsia" w:ascii="华文楷体" w:hAnsi="华文楷体" w:eastAsia="华文楷体"/>
          <w:sz w:val="24"/>
        </w:rPr>
        <w:t>该指标</w:t>
      </w:r>
      <w:r>
        <w:rPr>
          <w:rFonts w:ascii="华文楷体" w:hAnsi="华文楷体" w:eastAsia="华文楷体"/>
          <w:sz w:val="24"/>
        </w:rPr>
        <w:t>超越了简单的地理距离概念，从实际的</w:t>
      </w:r>
      <w:r>
        <w:rPr>
          <w:rFonts w:hint="eastAsia" w:ascii="华文楷体" w:hAnsi="华文楷体" w:eastAsia="华文楷体"/>
          <w:sz w:val="24"/>
        </w:rPr>
        <w:t>货运</w:t>
      </w:r>
      <w:r>
        <w:rPr>
          <w:rFonts w:ascii="华文楷体" w:hAnsi="华文楷体" w:eastAsia="华文楷体"/>
          <w:sz w:val="24"/>
        </w:rPr>
        <w:t>交互强度来定义城市间的</w:t>
      </w:r>
      <w:r>
        <w:rPr>
          <w:rFonts w:hint="eastAsia" w:ascii="华文楷体" w:hAnsi="华文楷体" w:eastAsia="华文楷体"/>
          <w:sz w:val="24"/>
        </w:rPr>
        <w:t>“</w:t>
      </w:r>
      <w:bookmarkStart w:id="152" w:name="OLE_LINK67"/>
      <w:r>
        <w:rPr>
          <w:rFonts w:ascii="华文楷体" w:hAnsi="华文楷体" w:eastAsia="华文楷体"/>
          <w:sz w:val="24"/>
        </w:rPr>
        <w:t>经济距离</w:t>
      </w:r>
      <w:bookmarkEnd w:id="152"/>
      <w:r>
        <w:rPr>
          <w:rFonts w:hint="eastAsia" w:ascii="华文楷体" w:hAnsi="华文楷体" w:eastAsia="华文楷体"/>
          <w:sz w:val="24"/>
        </w:rPr>
        <w:t>”</w:t>
      </w:r>
      <w:r>
        <w:rPr>
          <w:rFonts w:ascii="华文楷体" w:hAnsi="华文楷体" w:eastAsia="华文楷体"/>
          <w:sz w:val="24"/>
        </w:rPr>
        <w:t>。</w:t>
      </w:r>
    </w:p>
    <w:p w14:paraId="478A345A">
      <w:pPr>
        <w:ind w:firstLine="480" w:firstLineChars="200"/>
        <w:jc w:val="both"/>
        <w:rPr>
          <w:rFonts w:hint="eastAsia" w:ascii="华文楷体" w:hAnsi="华文楷体" w:eastAsia="华文楷体"/>
          <w:sz w:val="24"/>
        </w:rPr>
      </w:pPr>
      <w:r>
        <w:rPr>
          <w:rFonts w:ascii="华文楷体" w:hAnsi="华文楷体" w:eastAsia="华文楷体"/>
          <w:sz w:val="24"/>
        </w:rPr>
        <w:t>城市间的经济联系强度，很大程度上取决于其间的货物流动。本指数采用交互强度模型，计算A、B两城之间往返的货车数量占两城总对外货车流量的比例，并可进一步按货车吨位进行加权，以突出大宗货物运输的重要性。城际经济连接度指数</w:t>
      </w:r>
      <w:bookmarkStart w:id="153" w:name="OLE_LINK6"/>
      <w:r>
        <w:rPr>
          <w:rFonts w:hint="eastAsia" w:ascii="华文楷体" w:hAnsi="华文楷体" w:eastAsia="华文楷体"/>
          <w:sz w:val="24"/>
        </w:rPr>
        <w:t>指标的加工口径如下：</w:t>
      </w:r>
    </w:p>
    <w:bookmarkEnd w:id="153"/>
    <w:p w14:paraId="25CB31AF">
      <w:pPr>
        <w:jc w:val="both"/>
        <w:rPr>
          <w:rFonts w:hint="eastAsia" w:ascii="华文楷体" w:hAnsi="华文楷体" w:eastAsia="华文楷体"/>
          <w:sz w:val="24"/>
        </w:rPr>
      </w:pPr>
      <w:bookmarkStart w:id="154" w:name="OLE_LINK7"/>
      <m:oMathPara>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r>
            <m:rPr/>
            <w:rPr>
              <w:rFonts w:ascii="Cambria Math" w:hAnsi="Cambria Math" w:eastAsia="华文楷体"/>
              <w:sz w:val="24"/>
            </w:rPr>
            <m:t>=</m:t>
          </m:r>
          <w:bookmarkEnd w:id="154"/>
          <m:d>
            <m:dPr>
              <m:ctrlPr>
                <w:rPr>
                  <w:rFonts w:ascii="Cambria Math" w:hAnsi="Cambria Math" w:eastAsia="华文楷体"/>
                  <w:i/>
                  <w:sz w:val="24"/>
                </w:rPr>
              </m:ctrlPr>
            </m:dPr>
            <m:e>
              <m:f>
                <m:fPr>
                  <m:ctrlPr>
                    <w:rPr>
                      <w:rFonts w:ascii="Cambria Math" w:hAnsi="Cambria Math" w:eastAsia="华文楷体"/>
                      <w:i/>
                      <w:sz w:val="24"/>
                    </w:rPr>
                  </m:ctrlPr>
                </m:fPr>
                <m:num>
                  <m:sSub>
                    <w:bookmarkStart w:id="155" w:name="OLE_LINK219"/>
                    <m:sSubPr>
                      <m:ctrlPr>
                        <w:rPr>
                          <w:rFonts w:ascii="Cambria Math" w:hAnsi="Cambria Math" w:eastAsia="华文楷体"/>
                          <w:i/>
                          <w:sz w:val="24"/>
                        </w:rPr>
                      </m:ctrlPr>
                    </m:sSubPr>
                    <m:e>
                      <m:r>
                        <m:rPr/>
                        <w:rPr>
                          <w:rFonts w:ascii="Cambria Math" w:hAnsi="Cambria Math" w:eastAsia="华文楷体"/>
                          <w:sz w:val="24"/>
                        </w:rPr>
                        <m:t>OD</m:t>
                      </m:r>
                      <m:ctrlPr>
                        <w:rPr>
                          <w:rFonts w:ascii="Cambria Math" w:hAnsi="Cambria Math" w:eastAsia="华文楷体"/>
                          <w:i/>
                          <w:sz w:val="24"/>
                        </w:rPr>
                      </m:ctrlPr>
                    </m:e>
                    <m:sub>
                      <m:r>
                        <m:rPr/>
                        <w:rPr>
                          <w:rFonts w:ascii="Cambria Math" w:hAnsi="Cambria Math" w:eastAsia="华文楷体"/>
                          <w:sz w:val="24"/>
                        </w:rPr>
                        <m:t>AB</m:t>
                      </m:r>
                      <w:bookmarkEnd w:id="155"/>
                      <m:ctrlPr>
                        <w:rPr>
                          <w:rFonts w:ascii="Cambria Math" w:hAnsi="Cambria Math" w:eastAsia="华文楷体"/>
                          <w:i/>
                          <w:sz w:val="24"/>
                        </w:rPr>
                      </m:ctrlPr>
                    </m:sub>
                  </m:sSub>
                  <m:ctrlPr>
                    <w:rPr>
                      <w:rFonts w:ascii="Cambria Math" w:hAnsi="Cambria Math" w:eastAsia="华文楷体"/>
                      <w:i/>
                      <w:sz w:val="24"/>
                    </w:rPr>
                  </m:ctrlPr>
                </m:num>
                <m:den>
                  <m:sSub>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4</m:t>
                      </m:r>
                      <m:ctrlPr>
                        <w:rPr>
                          <w:rFonts w:ascii="Cambria Math" w:hAnsi="Cambria Math" w:eastAsia="华文楷体"/>
                          <w:i/>
                          <w:sz w:val="24"/>
                        </w:rPr>
                      </m:ctrlPr>
                    </m:sub>
                  </m:sSub>
                  <m:ctrlPr>
                    <w:rPr>
                      <w:rFonts w:ascii="Cambria Math" w:hAnsi="Cambria Math" w:eastAsia="华文楷体"/>
                      <w:i/>
                      <w:sz w:val="24"/>
                    </w:rPr>
                  </m:ctrlPr>
                </m:den>
              </m:f>
              <m:ctrlPr>
                <w:rPr>
                  <w:rFonts w:ascii="Cambria Math" w:hAnsi="Cambria Math" w:eastAsia="华文楷体"/>
                  <w:i/>
                  <w:sz w:val="24"/>
                </w:rPr>
              </m:ctrlPr>
            </m:e>
          </m:d>
          <m:r>
            <m:rPr/>
            <w:rPr>
              <w:rFonts w:ascii="Cambria Math" w:hAnsi="Cambria Math" w:eastAsia="华文楷体"/>
              <w:sz w:val="24"/>
            </w:rPr>
            <m:t>×100%</m:t>
          </m:r>
        </m:oMath>
      </m:oMathPara>
    </w:p>
    <w:p w14:paraId="5C54CBD4">
      <w:pPr>
        <w:ind w:firstLine="480" w:firstLineChars="200"/>
        <w:jc w:val="both"/>
        <w:rPr>
          <w:rFonts w:hint="eastAsia" w:ascii="华文楷体" w:hAnsi="华文楷体" w:eastAsia="华文楷体"/>
          <w:sz w:val="24"/>
        </w:rPr>
      </w:pPr>
      <w:bookmarkStart w:id="156" w:name="OLE_LINK8"/>
      <w:r>
        <w:rPr>
          <w:rFonts w:hint="eastAsia" w:ascii="华文楷体" w:hAnsi="华文楷体" w:eastAsia="华文楷体"/>
          <w:sz w:val="24"/>
        </w:rPr>
        <w:t>上式中，</w:t>
      </w:r>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oMath>
      <w:r>
        <w:rPr>
          <w:rFonts w:hint="eastAsia" w:ascii="华文楷体" w:hAnsi="华文楷体" w:eastAsia="华文楷体"/>
          <w:sz w:val="24"/>
        </w:rPr>
        <w:t>表示</w:t>
      </w:r>
      <w:bookmarkEnd w:id="156"/>
      <w:r>
        <w:rPr>
          <w:rFonts w:ascii="华文楷体" w:hAnsi="华文楷体" w:eastAsia="华文楷体"/>
          <w:sz w:val="24"/>
        </w:rPr>
        <w:t>城际经济连接度指数</w:t>
      </w:r>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OD</m:t>
            </m:r>
            <m:ctrlPr>
              <w:rPr>
                <w:rFonts w:ascii="Cambria Math" w:hAnsi="Cambria Math" w:eastAsia="华文楷体"/>
                <w:i/>
                <w:sz w:val="24"/>
              </w:rPr>
            </m:ctrlPr>
          </m:e>
          <m:sub>
            <m:r>
              <m:rPr/>
              <w:rPr>
                <w:rFonts w:ascii="Cambria Math" w:hAnsi="Cambria Math" w:eastAsia="华文楷体"/>
                <w:sz w:val="24"/>
              </w:rPr>
              <m:t>AB</m:t>
            </m:r>
            <m:ctrlPr>
              <w:rPr>
                <w:rFonts w:ascii="Cambria Math" w:hAnsi="Cambria Math" w:eastAsia="华文楷体"/>
                <w:i/>
                <w:sz w:val="24"/>
              </w:rPr>
            </m:ctrlPr>
          </m:sub>
        </m:sSub>
      </m:oMath>
      <w:r>
        <w:rPr>
          <w:rFonts w:hint="eastAsia" w:ascii="华文楷体" w:hAnsi="华文楷体" w:eastAsia="华文楷体"/>
          <w:sz w:val="24"/>
        </w:rPr>
        <w:t>表示城市</w:t>
      </w:r>
      <w:r>
        <w:rPr>
          <w:rFonts w:ascii="华文楷体" w:hAnsi="华文楷体" w:eastAsia="华文楷体"/>
          <w:sz w:val="24"/>
        </w:rPr>
        <w:t>A↔城市B的货车OD对数</w:t>
      </w:r>
      <w:r>
        <w:rPr>
          <w:rFonts w:hint="eastAsia" w:ascii="华文楷体" w:hAnsi="华文楷体" w:eastAsia="华文楷体"/>
          <w:sz w:val="24"/>
        </w:rPr>
        <w:t>，</w:t>
      </w:r>
      <m:oMath>
        <m:sSub>
          <w:bookmarkStart w:id="157" w:name="OLE_LINK220"/>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r>
        <w:rPr>
          <w:rFonts w:hint="eastAsia" w:ascii="华文楷体" w:hAnsi="华文楷体" w:eastAsia="华文楷体"/>
          <w:sz w:val="24"/>
        </w:rPr>
        <w:t>表示城市A总出口货车数，</w:t>
      </w:r>
      <w:bookmarkEnd w:id="157"/>
      <m:oMath>
        <m:sSub>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oMath>
      <w:r>
        <w:rPr>
          <w:rFonts w:hint="eastAsia" w:ascii="华文楷体" w:hAnsi="华文楷体" w:eastAsia="华文楷体"/>
          <w:sz w:val="24"/>
        </w:rPr>
        <w:t>表示城市B总出口货车数,</w:t>
      </w:r>
      <w:r>
        <w:rPr>
          <w:rFonts w:ascii="Cambria Math" w:hAnsi="Cambria Math" w:eastAsia="华文楷体"/>
          <w:i/>
          <w:sz w:val="24"/>
        </w:rPr>
        <w:t xml:space="preserve"> </w:t>
      </w:r>
      <m:oMath>
        <m:sSub>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oMath>
      <w:r>
        <w:rPr>
          <w:rFonts w:hint="eastAsia" w:ascii="华文楷体" w:hAnsi="华文楷体" w:eastAsia="华文楷体"/>
          <w:sz w:val="24"/>
        </w:rPr>
        <w:t>表示城市A总</w:t>
      </w:r>
      <w:bookmarkStart w:id="158" w:name="OLE_LINK230"/>
      <w:r>
        <w:rPr>
          <w:rFonts w:hint="eastAsia" w:ascii="华文楷体" w:hAnsi="华文楷体" w:eastAsia="华文楷体"/>
          <w:sz w:val="24"/>
        </w:rPr>
        <w:t>进</w:t>
      </w:r>
      <w:bookmarkEnd w:id="158"/>
      <w:r>
        <w:rPr>
          <w:rFonts w:hint="eastAsia" w:ascii="华文楷体" w:hAnsi="华文楷体" w:eastAsia="华文楷体"/>
          <w:sz w:val="24"/>
        </w:rPr>
        <w:t>口货车数，</w:t>
      </w:r>
      <m:oMath>
        <m:sSub>
          <m:sSubPr>
            <m:ctrlPr>
              <w:rPr>
                <w:rFonts w:ascii="Cambria Math" w:hAnsi="Cambria Math" w:eastAsia="华文楷体"/>
                <w:i/>
                <w:sz w:val="24"/>
              </w:rPr>
            </m:ctrlPr>
          </m:sSubPr>
          <m:e>
            <m:r>
              <m:rPr/>
              <w:rPr>
                <w:rFonts w:ascii="Cambria Math" w:hAnsi="Cambria Math" w:eastAsia="华文楷体"/>
                <w:sz w:val="24"/>
              </w:rPr>
              <m:t>C</m:t>
            </m:r>
            <m:ctrlPr>
              <w:rPr>
                <w:rFonts w:ascii="Cambria Math" w:hAnsi="Cambria Math" w:eastAsia="华文楷体"/>
                <w:i/>
                <w:sz w:val="24"/>
              </w:rPr>
            </m:ctrlPr>
          </m:e>
          <m:sub>
            <m:r>
              <m:rPr/>
              <w:rPr>
                <w:rFonts w:ascii="Cambria Math" w:hAnsi="Cambria Math" w:eastAsia="华文楷体"/>
                <w:sz w:val="24"/>
              </w:rPr>
              <m:t>4</m:t>
            </m:r>
            <m:ctrlPr>
              <w:rPr>
                <w:rFonts w:ascii="Cambria Math" w:hAnsi="Cambria Math" w:eastAsia="华文楷体"/>
                <w:i/>
                <w:sz w:val="24"/>
              </w:rPr>
            </m:ctrlPr>
          </m:sub>
        </m:sSub>
      </m:oMath>
      <w:r>
        <w:rPr>
          <w:rFonts w:hint="eastAsia" w:ascii="华文楷体" w:hAnsi="华文楷体" w:eastAsia="华文楷体"/>
          <w:sz w:val="24"/>
        </w:rPr>
        <w:t>表示城市B总进口货车数。</w:t>
      </w:r>
    </w:p>
    <w:p w14:paraId="57F4F91E">
      <w:pPr>
        <w:ind w:firstLine="480" w:firstLineChars="200"/>
        <w:jc w:val="both"/>
        <w:rPr>
          <w:rFonts w:hint="eastAsia" w:ascii="华文楷体" w:hAnsi="华文楷体" w:eastAsia="华文楷体"/>
          <w:sz w:val="24"/>
        </w:rPr>
      </w:pPr>
      <w:r>
        <w:rPr>
          <w:rFonts w:ascii="华文楷体" w:hAnsi="华文楷体" w:eastAsia="华文楷体"/>
          <w:sz w:val="24"/>
        </w:rPr>
        <w:t>城际经济连接度指数有助于识别区域内的核心经济圈、产业集群和潜在的增长极。例如，杭州与绍兴之间若存在高连接度指数，说明</w:t>
      </w:r>
      <w:r>
        <w:rPr>
          <w:rFonts w:hint="eastAsia" w:ascii="华文楷体" w:hAnsi="华文楷体" w:eastAsia="华文楷体"/>
          <w:sz w:val="24"/>
        </w:rPr>
        <w:t>两</w:t>
      </w:r>
      <w:r>
        <w:rPr>
          <w:rFonts w:ascii="华文楷体" w:hAnsi="华文楷体" w:eastAsia="华文楷体"/>
          <w:sz w:val="24"/>
        </w:rPr>
        <w:t>地已形成紧密的产业协同网络，可据此规划跨区域的产业政策和交通基础设施。</w:t>
      </w:r>
    </w:p>
    <w:p w14:paraId="6BBEA2E0">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A</w:t>
      </w:r>
      <w:r>
        <w:rPr>
          <w:rFonts w:ascii="华文楷体" w:hAnsi="华文楷体" w:eastAsia="华文楷体"/>
          <w:b/>
          <w:bCs/>
          <w:color w:val="auto"/>
          <w:sz w:val="24"/>
          <w:szCs w:val="24"/>
        </w:rPr>
        <w:t>.3 区域物流</w:t>
      </w:r>
      <w:r>
        <w:rPr>
          <w:rFonts w:hint="eastAsia" w:ascii="华文楷体" w:hAnsi="华文楷体" w:eastAsia="华文楷体"/>
          <w:b/>
          <w:bCs/>
          <w:color w:val="auto"/>
          <w:sz w:val="24"/>
          <w:szCs w:val="24"/>
        </w:rPr>
        <w:t>活力</w:t>
      </w:r>
      <w:r>
        <w:rPr>
          <w:rFonts w:ascii="华文楷体" w:hAnsi="华文楷体" w:eastAsia="华文楷体"/>
          <w:b/>
          <w:bCs/>
          <w:color w:val="auto"/>
          <w:sz w:val="24"/>
          <w:szCs w:val="24"/>
        </w:rPr>
        <w:t>指数</w:t>
      </w:r>
    </w:p>
    <w:p w14:paraId="412E8D94">
      <w:pPr>
        <w:ind w:firstLine="480" w:firstLineChars="200"/>
        <w:jc w:val="both"/>
        <w:rPr>
          <w:rFonts w:hint="eastAsia" w:ascii="华文楷体" w:hAnsi="华文楷体" w:eastAsia="华文楷体"/>
          <w:sz w:val="24"/>
        </w:rPr>
      </w:pPr>
      <w:r>
        <w:rPr>
          <w:rFonts w:hint="eastAsia" w:ascii="华文楷体" w:hAnsi="华文楷体" w:eastAsia="华文楷体"/>
          <w:sz w:val="24"/>
        </w:rPr>
        <w:t>区域物流</w:t>
      </w:r>
      <w:bookmarkStart w:id="159" w:name="OLE_LINK201"/>
      <w:r>
        <w:rPr>
          <w:rFonts w:hint="eastAsia" w:ascii="华文楷体" w:hAnsi="华文楷体" w:eastAsia="华文楷体"/>
          <w:sz w:val="24"/>
        </w:rPr>
        <w:t>活力</w:t>
      </w:r>
      <w:bookmarkEnd w:id="159"/>
      <w:r>
        <w:rPr>
          <w:rFonts w:hint="eastAsia" w:ascii="华文楷体" w:hAnsi="华文楷体" w:eastAsia="华文楷体"/>
          <w:sz w:val="24"/>
        </w:rPr>
        <w:t>指数</w:t>
      </w:r>
      <w:r>
        <w:rPr>
          <w:rFonts w:ascii="华文楷体" w:hAnsi="华文楷体" w:eastAsia="华文楷体"/>
          <w:sz w:val="24"/>
        </w:rPr>
        <w:t>综合反映一个区域内物流行业的整体繁忙程度和运行效率，是物流市场健康状况的</w:t>
      </w:r>
      <w:r>
        <w:rPr>
          <w:rFonts w:hint="eastAsia" w:ascii="华文楷体" w:hAnsi="华文楷体" w:eastAsia="华文楷体"/>
          <w:sz w:val="24"/>
        </w:rPr>
        <w:t>“</w:t>
      </w:r>
      <w:r>
        <w:rPr>
          <w:rFonts w:ascii="华文楷体" w:hAnsi="华文楷体" w:eastAsia="华文楷体"/>
          <w:sz w:val="24"/>
        </w:rPr>
        <w:t>晴雨表</w:t>
      </w:r>
      <w:r>
        <w:rPr>
          <w:rFonts w:hint="eastAsia" w:ascii="华文楷体" w:hAnsi="华文楷体" w:eastAsia="华文楷体"/>
          <w:sz w:val="24"/>
        </w:rPr>
        <w:t>”</w:t>
      </w:r>
      <w:r>
        <w:rPr>
          <w:rFonts w:ascii="华文楷体" w:hAnsi="华文楷体" w:eastAsia="华文楷体"/>
          <w:sz w:val="24"/>
        </w:rPr>
        <w:t>。</w:t>
      </w:r>
    </w:p>
    <w:p w14:paraId="72DA07B4">
      <w:pPr>
        <w:ind w:firstLine="480" w:firstLineChars="200"/>
        <w:jc w:val="both"/>
        <w:rPr>
          <w:rFonts w:hint="eastAsia" w:ascii="华文楷体" w:hAnsi="华文楷体" w:eastAsia="华文楷体"/>
          <w:sz w:val="24"/>
        </w:rPr>
      </w:pPr>
      <w:r>
        <w:rPr>
          <w:rFonts w:ascii="华文楷体" w:hAnsi="华文楷体" w:eastAsia="华文楷体"/>
          <w:sz w:val="24"/>
        </w:rPr>
        <w:t>物流</w:t>
      </w:r>
      <w:r>
        <w:rPr>
          <w:rFonts w:hint="eastAsia" w:ascii="华文楷体" w:hAnsi="华文楷体" w:eastAsia="华文楷体"/>
          <w:sz w:val="24"/>
        </w:rPr>
        <w:t>活力</w:t>
      </w:r>
      <w:r>
        <w:rPr>
          <w:rFonts w:ascii="华文楷体" w:hAnsi="华文楷体" w:eastAsia="华文楷体"/>
          <w:sz w:val="24"/>
        </w:rPr>
        <w:t>取决于业务量</w:t>
      </w:r>
      <w:r>
        <w:rPr>
          <w:rFonts w:hint="eastAsia" w:ascii="华文楷体" w:hAnsi="华文楷体" w:eastAsia="华文楷体"/>
          <w:sz w:val="24"/>
        </w:rPr>
        <w:t>（货车流量）</w:t>
      </w:r>
      <w:r>
        <w:rPr>
          <w:rFonts w:ascii="华文楷体" w:hAnsi="华文楷体" w:eastAsia="华文楷体"/>
          <w:sz w:val="24"/>
        </w:rPr>
        <w:t>。本指数将</w:t>
      </w:r>
      <w:r>
        <w:rPr>
          <w:rFonts w:hint="eastAsia" w:ascii="华文楷体" w:hAnsi="华文楷体" w:eastAsia="华文楷体"/>
          <w:sz w:val="24"/>
        </w:rPr>
        <w:t>从</w:t>
      </w:r>
      <w:bookmarkStart w:id="160" w:name="OLE_LINK108"/>
      <w:r>
        <w:rPr>
          <w:rFonts w:hint="eastAsia" w:ascii="华文楷体" w:hAnsi="华文楷体" w:eastAsia="华文楷体"/>
          <w:sz w:val="24"/>
        </w:rPr>
        <w:t>外省</w:t>
      </w:r>
      <w:bookmarkStart w:id="161" w:name="OLE_LINK107"/>
      <w:r>
        <w:rPr>
          <w:rFonts w:hint="eastAsia" w:ascii="华文楷体" w:hAnsi="华文楷体" w:eastAsia="华文楷体"/>
          <w:sz w:val="24"/>
        </w:rPr>
        <w:t>货运流量</w:t>
      </w:r>
      <w:bookmarkEnd w:id="160"/>
      <w:bookmarkEnd w:id="161"/>
      <w:r>
        <w:rPr>
          <w:rFonts w:hint="eastAsia" w:ascii="华文楷体" w:hAnsi="华文楷体" w:eastAsia="华文楷体"/>
          <w:sz w:val="24"/>
        </w:rPr>
        <w:t>以及</w:t>
      </w:r>
      <w:bookmarkStart w:id="162" w:name="OLE_LINK109"/>
      <w:r>
        <w:rPr>
          <w:rFonts w:hint="eastAsia" w:ascii="华文楷体" w:hAnsi="华文楷体" w:eastAsia="华文楷体"/>
          <w:sz w:val="24"/>
        </w:rPr>
        <w:t>省内货运流量</w:t>
      </w:r>
      <w:bookmarkEnd w:id="162"/>
      <w:r>
        <w:rPr>
          <w:rFonts w:ascii="华文楷体" w:hAnsi="华文楷体" w:eastAsia="华文楷体"/>
          <w:sz w:val="24"/>
        </w:rPr>
        <w:t>进行综合评分，以刻画物流市场的运行状态。</w:t>
      </w:r>
      <w:bookmarkStart w:id="163" w:name="OLE_LINK38"/>
      <w:r>
        <w:rPr>
          <w:rFonts w:hint="eastAsia" w:ascii="华文楷体" w:hAnsi="华文楷体" w:eastAsia="华文楷体"/>
          <w:sz w:val="24"/>
        </w:rPr>
        <w:t>指标的加工口径如下：</w:t>
      </w:r>
    </w:p>
    <w:bookmarkEnd w:id="163"/>
    <w:p w14:paraId="06B33DED">
      <w:pPr>
        <w:ind w:firstLine="480" w:firstLineChars="200"/>
        <w:jc w:val="both"/>
        <w:rPr>
          <w:rFonts w:hint="eastAsia" w:ascii="华文楷体" w:hAnsi="华文楷体" w:eastAsia="华文楷体"/>
          <w:sz w:val="24"/>
        </w:rPr>
      </w:pPr>
      <m:oMathPara>
        <m:oMath>
          <m:sSub>
            <w:bookmarkStart w:id="164" w:name="OLE_LINK11"/>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r>
            <m:rPr/>
            <w:rPr>
              <w:rFonts w:ascii="Cambria Math" w:hAnsi="Cambria Math" w:eastAsia="华文楷体"/>
              <w:sz w:val="24"/>
            </w:rPr>
            <m:t>=</m:t>
          </m:r>
          <w:bookmarkEnd w:id="164"/>
          <m:r>
            <m:rPr>
              <m:sty m:val="p"/>
            </m:rPr>
            <w:rPr>
              <w:rFonts w:ascii="Cambria Math" w:hAnsi="Cambria Math" w:eastAsia="华文楷体"/>
              <w:sz w:val="24"/>
            </w:rPr>
            <m:t>A×</m:t>
          </m:r>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w:bookmarkStart w:id="165" w:name="OLE_LINK69"/>
          <m:r>
            <m:rPr/>
            <w:rPr>
              <w:rFonts w:ascii="Cambria Math" w:hAnsi="Cambria Math" w:eastAsia="华文楷体"/>
              <w:sz w:val="24"/>
            </w:rPr>
            <m:t>+</m:t>
          </m:r>
          <w:bookmarkStart w:id="166" w:name="OLE_LINK9"/>
          <m:r>
            <m:rPr>
              <m:sty m:val="p"/>
            </m:rPr>
            <w:rPr>
              <w:rFonts w:ascii="Cambria Math" w:hAnsi="Cambria Math" w:eastAsia="华文楷体"/>
              <w:sz w:val="24"/>
            </w:rPr>
            <m:t>B</m:t>
          </m:r>
          <w:bookmarkEnd w:id="166"/>
          <m:r>
            <m:rPr>
              <m:sty m:val="p"/>
            </m:rPr>
            <w:rPr>
              <w:rFonts w:ascii="Cambria Math" w:hAnsi="Cambria Math" w:eastAsia="华文楷体"/>
              <w:sz w:val="24"/>
            </w:rPr>
            <m:t>×</m:t>
          </m:r>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2</m:t>
              </m:r>
              <w:bookmarkEnd w:id="165"/>
              <m:ctrlPr>
                <w:rPr>
                  <w:rFonts w:ascii="Cambria Math" w:hAnsi="Cambria Math" w:eastAsia="华文楷体"/>
                  <w:i/>
                  <w:sz w:val="24"/>
                </w:rPr>
              </m:ctrlPr>
            </m:sub>
          </m:sSub>
          <w:bookmarkStart w:id="167" w:name="OLE_LINK106"/>
          <m:r>
            <m:rPr/>
            <w:rPr>
              <w:rFonts w:ascii="Cambria Math" w:hAnsi="Cambria Math" w:eastAsia="华文楷体"/>
              <w:sz w:val="24"/>
            </w:rPr>
            <m:t>+</m:t>
          </m:r>
          <m:r>
            <m:rPr>
              <m:sty m:val="p"/>
            </m:rPr>
            <w:rPr>
              <w:rFonts w:ascii="Cambria Math" w:hAnsi="Cambria Math" w:eastAsia="华文楷体"/>
              <w:sz w:val="24"/>
            </w:rPr>
            <m:t>C×</m:t>
          </m:r>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w:bookmarkEnd w:id="167"/>
            </m:sub>
          </m:sSub>
          <m:r>
            <m:rPr/>
            <w:rPr>
              <w:rFonts w:ascii="Cambria Math" w:hAnsi="Cambria Math" w:eastAsia="华文楷体"/>
              <w:sz w:val="24"/>
            </w:rPr>
            <m:t>+</m:t>
          </m:r>
          <m:r>
            <m:rPr>
              <m:sty m:val="p"/>
            </m:rPr>
            <w:rPr>
              <w:rFonts w:ascii="Cambria Math" w:hAnsi="Cambria Math" w:eastAsia="华文楷体"/>
              <w:sz w:val="24"/>
            </w:rPr>
            <m:t>D×</m:t>
          </m:r>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4</m:t>
              </m:r>
              <m:ctrlPr>
                <w:rPr>
                  <w:rFonts w:ascii="Cambria Math" w:hAnsi="Cambria Math" w:eastAsia="华文楷体"/>
                  <w:i/>
                  <w:sz w:val="24"/>
                </w:rPr>
              </m:ctrlPr>
            </m:sub>
          </m:sSub>
        </m:oMath>
      </m:oMathPara>
    </w:p>
    <w:p w14:paraId="1F123822">
      <w:pPr>
        <w:ind w:firstLine="480" w:firstLineChars="200"/>
        <w:jc w:val="both"/>
        <w:rPr>
          <w:rFonts w:hint="eastAsia" w:ascii="华文楷体" w:hAnsi="华文楷体" w:eastAsia="华文楷体"/>
          <w:sz w:val="24"/>
        </w:rPr>
      </w:pPr>
      <w:bookmarkStart w:id="168" w:name="OLE_LINK29"/>
      <w:r>
        <w:rPr>
          <w:rFonts w:hint="eastAsia" w:ascii="华文楷体" w:hAnsi="华文楷体" w:eastAsia="华文楷体"/>
          <w:sz w:val="24"/>
        </w:rPr>
        <w:t>上式中，</w:t>
      </w:r>
      <w:bookmarkEnd w:id="168"/>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oMath>
      <w:r>
        <w:rPr>
          <w:rFonts w:hint="eastAsia" w:ascii="华文楷体" w:hAnsi="华文楷体" w:eastAsia="华文楷体"/>
          <w:sz w:val="24"/>
        </w:rPr>
        <w:t>表示区域物流活力指数，</w:t>
      </w:r>
      <w:r>
        <w:rPr>
          <w:rFonts w:ascii="华文楷体" w:hAnsi="华文楷体" w:eastAsia="华文楷体"/>
          <w:sz w:val="24"/>
        </w:rPr>
        <w:t>系数</w:t>
      </w:r>
      <m:oMath>
        <m:r>
          <m:rPr/>
          <w:rPr>
            <w:rFonts w:ascii="Cambria Math" w:hAnsi="Cambria Math" w:eastAsia="华文楷体"/>
            <w:sz w:val="24"/>
          </w:rPr>
          <m:t>A</m:t>
        </m:r>
      </m:oMath>
      <w:bookmarkStart w:id="169" w:name="OLE_LINK74"/>
      <w:r>
        <w:rPr>
          <w:rFonts w:ascii="华文楷体" w:hAnsi="华文楷体" w:eastAsia="华文楷体"/>
          <w:sz w:val="24"/>
        </w:rPr>
        <w:t>、</w:t>
      </w:r>
      <w:bookmarkEnd w:id="169"/>
      <m:oMath>
        <w:bookmarkStart w:id="170" w:name="OLE_LINK101"/>
        <m:r>
          <m:rPr/>
          <w:rPr>
            <w:rFonts w:ascii="Cambria Math" w:hAnsi="Cambria Math" w:eastAsia="华文楷体"/>
            <w:sz w:val="24"/>
          </w:rPr>
          <m:t>B</m:t>
        </m:r>
        <w:bookmarkEnd w:id="170"/>
      </m:oMath>
      <w:bookmarkStart w:id="171" w:name="OLE_LINK231"/>
      <w:r>
        <w:rPr>
          <w:rFonts w:hint="eastAsia" w:ascii="华文楷体" w:hAnsi="华文楷体" w:eastAsia="华文楷体"/>
          <w:sz w:val="24"/>
        </w:rPr>
        <w:t>、</w:t>
      </w:r>
      <m:oMath>
        <m:r>
          <m:rPr/>
          <w:rPr>
            <w:rFonts w:ascii="Cambria Math" w:hAnsi="Cambria Math" w:eastAsia="华文楷体"/>
            <w:sz w:val="24"/>
          </w:rPr>
          <m:t>C</m:t>
        </m:r>
        <w:bookmarkEnd w:id="171"/>
      </m:oMath>
      <w:r>
        <w:rPr>
          <w:rFonts w:hint="eastAsia" w:ascii="华文楷体" w:hAnsi="华文楷体" w:eastAsia="华文楷体"/>
          <w:sz w:val="24"/>
        </w:rPr>
        <w:t>、</w:t>
      </w:r>
      <m:oMath>
        <m:r>
          <m:rPr/>
          <w:rPr>
            <w:rFonts w:ascii="Cambria Math" w:hAnsi="Cambria Math" w:eastAsia="华文楷体"/>
            <w:sz w:val="24"/>
          </w:rPr>
          <m:t>D</m:t>
        </m:r>
      </m:oMath>
      <w:r>
        <w:rPr>
          <w:rFonts w:hint="eastAsia" w:ascii="华文楷体" w:hAnsi="华文楷体" w:eastAsia="华文楷体"/>
          <w:sz w:val="24"/>
        </w:rPr>
        <w:t>为权重系数</w:t>
      </w:r>
      <w:r>
        <w:rPr>
          <w:rFonts w:ascii="华文楷体" w:hAnsi="华文楷体" w:eastAsia="华文楷体"/>
          <w:sz w:val="24"/>
        </w:rPr>
        <w:t>。</w:t>
      </w:r>
      <m:oMath>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r>
        <w:rPr>
          <w:rFonts w:hint="eastAsia" w:ascii="华文楷体" w:hAnsi="华文楷体" w:eastAsia="华文楷体"/>
          <w:sz w:val="24"/>
        </w:rPr>
        <w:t>表示该</w:t>
      </w:r>
      <w:bookmarkStart w:id="172" w:name="OLE_LINK173"/>
      <w:r>
        <w:rPr>
          <w:rFonts w:hint="eastAsia" w:ascii="华文楷体" w:hAnsi="华文楷体" w:eastAsia="华文楷体"/>
          <w:sz w:val="24"/>
        </w:rPr>
        <w:t>区域</w:t>
      </w:r>
      <w:bookmarkStart w:id="173" w:name="OLE_LINK247"/>
      <w:r>
        <w:rPr>
          <w:rFonts w:hint="eastAsia" w:ascii="华文楷体" w:hAnsi="华文楷体" w:eastAsia="华文楷体"/>
          <w:sz w:val="24"/>
        </w:rPr>
        <w:t>外省货运流量</w:t>
      </w:r>
      <w:bookmarkEnd w:id="173"/>
      <w:r>
        <w:rPr>
          <w:rFonts w:hint="eastAsia" w:ascii="华文楷体" w:hAnsi="华文楷体" w:eastAsia="华文楷体"/>
          <w:sz w:val="24"/>
        </w:rPr>
        <w:t>占比</w:t>
      </w:r>
      <w:bookmarkStart w:id="174" w:name="OLE_LINK248"/>
      <w:r>
        <w:rPr>
          <w:rFonts w:hint="eastAsia" w:ascii="华文楷体" w:hAnsi="华文楷体" w:eastAsia="华文楷体"/>
          <w:sz w:val="24"/>
        </w:rPr>
        <w:t>（</w:t>
      </w:r>
      <w:bookmarkStart w:id="175" w:name="OLE_LINK256"/>
      <w:r>
        <w:rPr>
          <w:rFonts w:hint="eastAsia" w:ascii="华文楷体" w:hAnsi="华文楷体" w:eastAsia="华文楷体"/>
          <w:sz w:val="24"/>
        </w:rPr>
        <w:t>占浙江省的外省货运流量比重</w:t>
      </w:r>
      <w:bookmarkEnd w:id="175"/>
      <w:r>
        <w:rPr>
          <w:rFonts w:hint="eastAsia" w:ascii="华文楷体" w:hAnsi="华文楷体" w:eastAsia="华文楷体"/>
          <w:sz w:val="24"/>
        </w:rPr>
        <w:t>）</w:t>
      </w:r>
      <w:bookmarkEnd w:id="174"/>
      <w:r>
        <w:rPr>
          <w:rFonts w:hint="eastAsia" w:ascii="华文楷体" w:hAnsi="华文楷体" w:eastAsia="华文楷体"/>
          <w:sz w:val="24"/>
        </w:rPr>
        <w:t>，</w:t>
      </w:r>
      <m:oMath>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oMath>
      <w:r>
        <w:rPr>
          <w:rFonts w:hint="eastAsia" w:ascii="华文楷体" w:hAnsi="华文楷体" w:eastAsia="华文楷体"/>
          <w:sz w:val="24"/>
        </w:rPr>
        <w:t>表示</w:t>
      </w:r>
      <w:bookmarkStart w:id="176" w:name="OLE_LINK110"/>
      <w:r>
        <w:rPr>
          <w:rFonts w:hint="eastAsia" w:ascii="华文楷体" w:hAnsi="华文楷体" w:eastAsia="华文楷体"/>
          <w:sz w:val="24"/>
        </w:rPr>
        <w:t>省内货运流量</w:t>
      </w:r>
      <w:bookmarkEnd w:id="176"/>
      <w:bookmarkStart w:id="177" w:name="OLE_LINK257"/>
      <w:r>
        <w:rPr>
          <w:rFonts w:hint="eastAsia" w:ascii="华文楷体" w:hAnsi="华文楷体" w:eastAsia="华文楷体"/>
          <w:sz w:val="24"/>
        </w:rPr>
        <w:t>（占浙江省的省内货运流量比重）</w:t>
      </w:r>
      <w:bookmarkEnd w:id="177"/>
      <w:r>
        <w:rPr>
          <w:rFonts w:hint="eastAsia" w:ascii="华文楷体" w:hAnsi="华文楷体" w:eastAsia="华文楷体"/>
          <w:sz w:val="24"/>
        </w:rPr>
        <w:t>，</w:t>
      </w:r>
      <m:oMath>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3</m:t>
            </m:r>
            <m:ctrlPr>
              <w:rPr>
                <w:rFonts w:ascii="Cambria Math" w:hAnsi="Cambria Math" w:eastAsia="华文楷体"/>
                <w:i/>
                <w:sz w:val="24"/>
              </w:rPr>
            </m:ctrlPr>
          </m:sub>
        </m:sSub>
      </m:oMath>
      <w:r>
        <w:rPr>
          <w:rFonts w:hint="eastAsia" w:ascii="华文楷体" w:hAnsi="华文楷体" w:eastAsia="华文楷体"/>
          <w:sz w:val="24"/>
        </w:rPr>
        <w:t>表示</w:t>
      </w:r>
      <w:bookmarkStart w:id="178" w:name="OLE_LINK245"/>
      <w:r>
        <w:rPr>
          <w:rFonts w:hint="eastAsia" w:ascii="华文楷体" w:hAnsi="华文楷体" w:eastAsia="华文楷体"/>
          <w:sz w:val="24"/>
        </w:rPr>
        <w:t>区域与省外各城市之间的通行费总和</w:t>
      </w:r>
      <w:bookmarkEnd w:id="178"/>
      <w:bookmarkStart w:id="179" w:name="OLE_LINK28"/>
      <w:r>
        <w:rPr>
          <w:rFonts w:hint="eastAsia" w:ascii="华文楷体" w:hAnsi="华文楷体" w:eastAsia="华文楷体"/>
          <w:sz w:val="24"/>
        </w:rPr>
        <w:t>（占浙江省的省外通行费比重）</w:t>
      </w:r>
      <w:bookmarkEnd w:id="179"/>
      <w:r>
        <w:rPr>
          <w:rFonts w:hint="eastAsia" w:ascii="华文楷体" w:hAnsi="华文楷体" w:eastAsia="华文楷体"/>
          <w:sz w:val="24"/>
        </w:rPr>
        <w:t>，</w:t>
      </w:r>
      <m:oMath>
        <m:sSub>
          <m:sSubPr>
            <m:ctrlPr>
              <w:rPr>
                <w:rFonts w:ascii="Cambria Math" w:hAnsi="Cambria Math" w:eastAsia="华文楷体"/>
                <w:i/>
                <w:sz w:val="24"/>
              </w:rPr>
            </m:ctrlPr>
          </m:sSubPr>
          <m:e>
            <m:r>
              <m:rPr/>
              <w:rPr>
                <w:rFonts w:hint="eastAsia" w:ascii="Cambria Math" w:hAnsi="Cambria Math" w:eastAsia="华文楷体"/>
                <w:sz w:val="24"/>
              </w:rPr>
              <m:t>x</m:t>
            </m:r>
            <m:ctrlPr>
              <w:rPr>
                <w:rFonts w:ascii="Cambria Math" w:hAnsi="Cambria Math" w:eastAsia="华文楷体"/>
                <w:i/>
                <w:sz w:val="24"/>
              </w:rPr>
            </m:ctrlPr>
          </m:e>
          <m:sub>
            <m:r>
              <m:rPr/>
              <w:rPr>
                <w:rFonts w:ascii="Cambria Math" w:hAnsi="Cambria Math" w:eastAsia="华文楷体"/>
                <w:sz w:val="24"/>
              </w:rPr>
              <m:t>4</m:t>
            </m:r>
            <m:ctrlPr>
              <w:rPr>
                <w:rFonts w:ascii="Cambria Math" w:hAnsi="Cambria Math" w:eastAsia="华文楷体"/>
                <w:i/>
                <w:sz w:val="24"/>
              </w:rPr>
            </m:ctrlPr>
          </m:sub>
        </m:sSub>
      </m:oMath>
      <w:r>
        <w:rPr>
          <w:rFonts w:hint="eastAsia" w:ascii="华文楷体" w:hAnsi="华文楷体" w:eastAsia="华文楷体"/>
          <w:sz w:val="24"/>
        </w:rPr>
        <w:t>表示区域与省内各城市之间的通行费总和（占浙江省的省内通行费比重）</w:t>
      </w:r>
      <w:bookmarkEnd w:id="172"/>
      <w:r>
        <w:rPr>
          <w:rFonts w:hint="eastAsia" w:ascii="华文楷体" w:hAnsi="华文楷体" w:eastAsia="华文楷体"/>
          <w:sz w:val="24"/>
        </w:rPr>
        <w:t>。</w:t>
      </w:r>
    </w:p>
    <w:p w14:paraId="6BECBBC6">
      <w:pPr>
        <w:ind w:firstLine="480" w:firstLineChars="200"/>
        <w:jc w:val="both"/>
        <w:rPr>
          <w:rFonts w:hint="eastAsia" w:ascii="华文楷体" w:hAnsi="华文楷体" w:eastAsia="华文楷体"/>
          <w:sz w:val="24"/>
        </w:rPr>
      </w:pPr>
      <w:r>
        <w:rPr>
          <w:rFonts w:hint="eastAsia" w:ascii="华文楷体" w:hAnsi="华文楷体" w:eastAsia="华文楷体"/>
          <w:sz w:val="24"/>
        </w:rPr>
        <w:t>区域物流活力指数</w:t>
      </w:r>
      <w:r>
        <w:rPr>
          <w:rFonts w:ascii="华文楷体" w:hAnsi="华文楷体" w:eastAsia="华文楷体"/>
          <w:sz w:val="24"/>
        </w:rPr>
        <w:t>综合</w:t>
      </w:r>
      <w:r>
        <w:rPr>
          <w:rFonts w:hint="eastAsia" w:ascii="华文楷体" w:hAnsi="华文楷体" w:eastAsia="华文楷体"/>
          <w:sz w:val="24"/>
        </w:rPr>
        <w:t>考虑省内外</w:t>
      </w:r>
      <w:r>
        <w:rPr>
          <w:rFonts w:ascii="华文楷体" w:hAnsi="华文楷体" w:eastAsia="华文楷体"/>
          <w:sz w:val="24"/>
        </w:rPr>
        <w:t>货车</w:t>
      </w:r>
      <w:r>
        <w:rPr>
          <w:rFonts w:hint="eastAsia" w:ascii="华文楷体" w:hAnsi="华文楷体" w:eastAsia="华文楷体"/>
          <w:sz w:val="24"/>
        </w:rPr>
        <w:t>流量</w:t>
      </w:r>
      <w:r>
        <w:rPr>
          <w:rFonts w:ascii="华文楷体" w:hAnsi="华文楷体" w:eastAsia="华文楷体"/>
          <w:sz w:val="24"/>
        </w:rPr>
        <w:t>，量化了区域物流行业的整体繁忙程度，是物流市场健康状况的</w:t>
      </w:r>
      <w:r>
        <w:rPr>
          <w:rFonts w:hint="eastAsia" w:ascii="华文楷体" w:hAnsi="华文楷体" w:eastAsia="华文楷体"/>
          <w:sz w:val="24"/>
        </w:rPr>
        <w:t>“晴雨表”</w:t>
      </w:r>
      <w:r>
        <w:rPr>
          <w:rFonts w:ascii="华文楷体" w:hAnsi="华文楷体" w:eastAsia="华文楷体"/>
          <w:sz w:val="24"/>
        </w:rPr>
        <w:t>，为物流行业发展提供精准的决策支持，助力优化物流效率和降低成本。</w:t>
      </w:r>
    </w:p>
    <w:p w14:paraId="73788061">
      <w:pPr>
        <w:pStyle w:val="3"/>
        <w:adjustRightInd w:val="0"/>
        <w:snapToGrid w:val="0"/>
        <w:spacing w:line="288" w:lineRule="auto"/>
        <w:rPr>
          <w:rFonts w:hint="eastAsia" w:ascii="华文楷体" w:hAnsi="华文楷体" w:eastAsia="华文楷体"/>
          <w:b/>
          <w:bCs/>
          <w:color w:val="auto"/>
          <w:sz w:val="24"/>
          <w:szCs w:val="24"/>
        </w:rPr>
      </w:pPr>
      <w:bookmarkStart w:id="180" w:name="OLE_LINK50"/>
      <w:r>
        <w:rPr>
          <w:rFonts w:hint="eastAsia" w:ascii="华文楷体" w:hAnsi="华文楷体" w:eastAsia="华文楷体"/>
          <w:b/>
          <w:bCs/>
          <w:color w:val="auto"/>
          <w:sz w:val="24"/>
          <w:szCs w:val="24"/>
        </w:rPr>
        <w:t>A</w:t>
      </w:r>
      <w:r>
        <w:rPr>
          <w:rFonts w:ascii="华文楷体" w:hAnsi="华文楷体" w:eastAsia="华文楷体"/>
          <w:b/>
          <w:bCs/>
          <w:color w:val="auto"/>
          <w:sz w:val="24"/>
          <w:szCs w:val="24"/>
        </w:rPr>
        <w:t>.</w:t>
      </w:r>
      <w:r>
        <w:rPr>
          <w:rFonts w:hint="eastAsia" w:ascii="华文楷体" w:hAnsi="华文楷体" w:eastAsia="华文楷体"/>
          <w:b/>
          <w:bCs/>
          <w:color w:val="auto"/>
          <w:sz w:val="24"/>
          <w:szCs w:val="24"/>
        </w:rPr>
        <w:t>4 绿色物流指数</w:t>
      </w:r>
    </w:p>
    <w:bookmarkEnd w:id="180"/>
    <w:p w14:paraId="0107E3FE">
      <w:pPr>
        <w:ind w:firstLine="480" w:firstLineChars="200"/>
        <w:jc w:val="both"/>
        <w:rPr>
          <w:rFonts w:hint="eastAsia" w:ascii="华文楷体" w:hAnsi="华文楷体" w:eastAsia="华文楷体"/>
          <w:sz w:val="24"/>
        </w:rPr>
      </w:pPr>
      <w:bookmarkStart w:id="181" w:name="OLE_LINK227"/>
      <w:r>
        <w:rPr>
          <w:rFonts w:ascii="华文楷体" w:hAnsi="华文楷体" w:eastAsia="华文楷体"/>
          <w:sz w:val="24"/>
        </w:rPr>
        <w:t>绿色物流指数用于</w:t>
      </w:r>
      <w:r>
        <w:rPr>
          <w:rFonts w:hint="eastAsia" w:ascii="华文楷体" w:hAnsi="华文楷体" w:eastAsia="华文楷体"/>
          <w:sz w:val="24"/>
        </w:rPr>
        <w:t>衡量物流货运领域新能源化的程度，反映产业端的绿色转型情况等。指标的加工口径如下：</w:t>
      </w:r>
    </w:p>
    <w:p w14:paraId="66669DDE">
      <w:pPr>
        <w:ind w:firstLine="480" w:firstLineChars="200"/>
        <w:rPr>
          <w:rFonts w:hint="eastAsia" w:ascii="华文楷体" w:hAnsi="华文楷体" w:eastAsia="华文楷体"/>
          <w:sz w:val="24"/>
        </w:rPr>
      </w:pPr>
      <w:bookmarkStart w:id="182" w:name="OLE_LINK51"/>
      <m:oMathPara>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12</m:t>
              </m:r>
              <m:ctrlPr>
                <w:rPr>
                  <w:rFonts w:ascii="Cambria Math" w:hAnsi="Cambria Math" w:eastAsia="华文楷体"/>
                  <w:i/>
                  <w:sz w:val="24"/>
                </w:rPr>
              </m:ctrlPr>
            </m:sub>
          </m:sSub>
          <m:r>
            <m:rPr/>
            <w:rPr>
              <w:rFonts w:ascii="Cambria Math" w:hAnsi="Cambria Math" w:eastAsia="华文楷体"/>
              <w:sz w:val="24"/>
            </w:rPr>
            <m:t>=</m:t>
          </m:r>
          <w:bookmarkEnd w:id="182"/>
          <m:f>
            <w:bookmarkStart w:id="183" w:name="OLE_LINK331"/>
            <m:fPr>
              <m:ctrlPr>
                <w:rPr>
                  <w:rFonts w:ascii="Cambria Math" w:hAnsi="Cambria Math" w:eastAsia="华文楷体"/>
                  <w:i/>
                  <w:sz w:val="24"/>
                </w:rPr>
              </m:ctrlPr>
            </m:fPr>
            <m:num>
              <m:sSub>
                <w:bookmarkStart w:id="184" w:name="OLE_LINK41"/>
                <w:bookmarkStart w:id="185" w:name="OLE_LINK332"/>
                <m:sSubPr>
                  <m:ctrlPr>
                    <w:rPr>
                      <w:rFonts w:ascii="Cambria Math" w:hAnsi="Cambria Math" w:eastAsia="华文楷体"/>
                      <w:i/>
                      <w:sz w:val="24"/>
                    </w:rPr>
                  </m:ctrlPr>
                </m:sSubPr>
                <m:e>
                  <m:r>
                    <m:rPr/>
                    <w:rPr>
                      <w:rFonts w:ascii="Cambria Math" w:hAnsi="Cambria Math" w:eastAsia="华文楷体"/>
                      <w:sz w:val="24"/>
                    </w:rPr>
                    <m:t>L</m:t>
                  </m:r>
                  <m:ctrlPr>
                    <w:rPr>
                      <w:rFonts w:ascii="Cambria Math" w:hAnsi="Cambria Math" w:eastAsia="华文楷体"/>
                      <w:i/>
                      <w:sz w:val="24"/>
                    </w:rPr>
                  </m:ctrlPr>
                </m:e>
                <m:sub>
                  <m:r>
                    <m:rPr/>
                    <w:rPr>
                      <w:rFonts w:hint="eastAsia" w:ascii="Cambria Math" w:hAnsi="Cambria Math" w:eastAsia="华文楷体"/>
                      <w:sz w:val="24"/>
                    </w:rPr>
                    <m:t>n</m:t>
                  </m:r>
                  <w:bookmarkEnd w:id="184"/>
                  <w:bookmarkEnd w:id="185"/>
                  <m:ctrlPr>
                    <w:rPr>
                      <w:rFonts w:ascii="Cambria Math" w:hAnsi="Cambria Math" w:eastAsia="华文楷体"/>
                      <w:i/>
                      <w:sz w:val="24"/>
                    </w:rPr>
                  </m:ctrlPr>
                </m:sub>
              </m:sSub>
              <m:ctrlPr>
                <w:rPr>
                  <w:rFonts w:ascii="Cambria Math" w:hAnsi="Cambria Math" w:eastAsia="华文楷体"/>
                  <w:i/>
                  <w:sz w:val="24"/>
                </w:rPr>
              </m:ctrlPr>
            </m:num>
            <m:den>
              <m:sSub>
                <m:sSubPr>
                  <m:ctrlPr>
                    <w:rPr>
                      <w:rFonts w:ascii="Cambria Math" w:hAnsi="Cambria Math" w:eastAsia="华文楷体"/>
                      <w:i/>
                      <w:sz w:val="24"/>
                    </w:rPr>
                  </m:ctrlPr>
                </m:sSubPr>
                <m:e>
                  <m:r>
                    <m:rPr/>
                    <w:rPr>
                      <w:rFonts w:ascii="Cambria Math" w:hAnsi="Cambria Math" w:eastAsia="华文楷体"/>
                      <w:sz w:val="24"/>
                    </w:rPr>
                    <m:t>L</m:t>
                  </m:r>
                  <m:ctrlPr>
                    <w:rPr>
                      <w:rFonts w:ascii="Cambria Math" w:hAnsi="Cambria Math" w:eastAsia="华文楷体"/>
                      <w:i/>
                      <w:sz w:val="24"/>
                    </w:rPr>
                  </m:ctrlPr>
                </m:e>
                <m:sub>
                  <m:r>
                    <m:rPr/>
                    <w:rPr>
                      <w:rFonts w:hint="eastAsia" w:ascii="Cambria Math" w:hAnsi="Cambria Math" w:eastAsia="华文楷体"/>
                      <w:sz w:val="24"/>
                    </w:rPr>
                    <m:t>a</m:t>
                  </m:r>
                  <m:ctrlPr>
                    <w:rPr>
                      <w:rFonts w:ascii="Cambria Math" w:hAnsi="Cambria Math" w:eastAsia="华文楷体"/>
                      <w:i/>
                      <w:sz w:val="24"/>
                    </w:rPr>
                  </m:ctrlPr>
                </m:sub>
              </m:sSub>
              <m:ctrlPr>
                <w:rPr>
                  <w:rFonts w:ascii="Cambria Math" w:hAnsi="Cambria Math" w:eastAsia="华文楷体"/>
                  <w:i/>
                  <w:sz w:val="24"/>
                </w:rPr>
              </m:ctrlPr>
            </m:den>
          </m:f>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w:bookmarkEnd w:id="183"/>
          <m:r>
            <m:rPr/>
            <w:rPr>
              <w:rFonts w:ascii="Cambria Math" w:hAnsi="Cambria Math" w:eastAsia="华文楷体"/>
              <w:sz w:val="24"/>
            </w:rPr>
            <m:t>+</m:t>
          </m:r>
          <m:f>
            <m:fPr>
              <m:ctrlPr>
                <w:rPr>
                  <w:rFonts w:ascii="Cambria Math" w:hAnsi="Cambria Math" w:eastAsia="华文楷体"/>
                  <w:i/>
                  <w:sz w:val="24"/>
                </w:rPr>
              </m:ctrlPr>
            </m:fPr>
            <m:num>
              <m:sSub>
                <m:sSubPr>
                  <m:ctrlPr>
                    <w:rPr>
                      <w:rFonts w:ascii="Cambria Math" w:hAnsi="Cambria Math" w:eastAsia="华文楷体"/>
                      <w:i/>
                      <w:sz w:val="24"/>
                    </w:rPr>
                  </m:ctrlPr>
                </m:sSubPr>
                <w:bookmarkStart w:id="186" w:name="OLE_LINK333"/>
                <m:e>
                  <m:r>
                    <m:rPr/>
                    <w:rPr>
                      <w:rFonts w:ascii="Cambria Math" w:hAnsi="Cambria Math" w:eastAsia="华文楷体"/>
                      <w:sz w:val="24"/>
                    </w:rPr>
                    <m:t>R</m:t>
                  </m:r>
                  <m:ctrlPr>
                    <w:rPr>
                      <w:rFonts w:ascii="Cambria Math" w:hAnsi="Cambria Math" w:eastAsia="华文楷体"/>
                      <w:i/>
                      <w:sz w:val="24"/>
                    </w:rPr>
                  </m:ctrlPr>
                </m:e>
                <m:sub>
                  <m:r>
                    <m:rPr/>
                    <w:rPr>
                      <w:rFonts w:hint="eastAsia" w:ascii="Cambria Math" w:hAnsi="Cambria Math" w:eastAsia="华文楷体"/>
                      <w:sz w:val="24"/>
                    </w:rPr>
                    <m:t>n</m:t>
                  </m:r>
                  <w:bookmarkEnd w:id="186"/>
                  <m:ctrlPr>
                    <w:rPr>
                      <w:rFonts w:ascii="Cambria Math" w:hAnsi="Cambria Math" w:eastAsia="华文楷体"/>
                      <w:i/>
                      <w:sz w:val="24"/>
                    </w:rPr>
                  </m:ctrlPr>
                </m:sub>
              </m:sSub>
              <w:bookmarkStart w:id="187" w:name="OLE_LINK334"/>
              <m:ctrlPr>
                <w:rPr>
                  <w:rFonts w:ascii="Cambria Math" w:hAnsi="Cambria Math" w:eastAsia="华文楷体"/>
                  <w:i/>
                  <w:sz w:val="24"/>
                </w:rPr>
              </m:ctrlPr>
            </m:num>
            <m:den>
              <m:sSub>
                <m:sSubPr>
                  <m:ctrlPr>
                    <w:rPr>
                      <w:rFonts w:ascii="Cambria Math" w:hAnsi="Cambria Math" w:eastAsia="华文楷体"/>
                      <w:i/>
                      <w:sz w:val="24"/>
                    </w:rPr>
                  </m:ctrlPr>
                </m:sSubPr>
                <m:e>
                  <m:r>
                    <m:rPr/>
                    <w:rPr>
                      <w:rFonts w:ascii="Cambria Math" w:hAnsi="Cambria Math" w:eastAsia="华文楷体"/>
                      <w:sz w:val="24"/>
                    </w:rPr>
                    <m:t>R</m:t>
                  </m:r>
                  <m:ctrlPr>
                    <w:rPr>
                      <w:rFonts w:ascii="Cambria Math" w:hAnsi="Cambria Math" w:eastAsia="华文楷体"/>
                      <w:i/>
                      <w:sz w:val="24"/>
                    </w:rPr>
                  </m:ctrlPr>
                </m:e>
                <m:sub>
                  <m:r>
                    <m:rPr/>
                    <w:rPr>
                      <w:rFonts w:hint="eastAsia" w:ascii="Cambria Math" w:hAnsi="Cambria Math" w:eastAsia="华文楷体"/>
                      <w:sz w:val="24"/>
                    </w:rPr>
                    <m:t>a</m:t>
                  </m:r>
                  <w:bookmarkEnd w:id="187"/>
                  <m:ctrlPr>
                    <w:rPr>
                      <w:rFonts w:ascii="Cambria Math" w:hAnsi="Cambria Math" w:eastAsia="华文楷体"/>
                      <w:i/>
                      <w:sz w:val="24"/>
                    </w:rPr>
                  </m:ctrlPr>
                </m:sub>
              </m:sSub>
              <m:ctrlPr>
                <w:rPr>
                  <w:rFonts w:ascii="Cambria Math" w:hAnsi="Cambria Math" w:eastAsia="华文楷体"/>
                  <w:i/>
                  <w:sz w:val="24"/>
                </w:rPr>
              </m:ctrlPr>
            </m:den>
          </m:f>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m:oMathPara>
    </w:p>
    <w:p w14:paraId="448CED7B">
      <w:pPr>
        <w:ind w:firstLine="480" w:firstLineChars="200"/>
        <w:jc w:val="both"/>
        <w:rPr>
          <w:rFonts w:hint="eastAsia" w:ascii="华文楷体" w:hAnsi="华文楷体" w:eastAsia="华文楷体"/>
          <w:sz w:val="24"/>
        </w:rPr>
      </w:pPr>
      <w:r>
        <w:rPr>
          <w:rFonts w:hint="eastAsia" w:ascii="华文楷体" w:hAnsi="华文楷体" w:eastAsia="华文楷体"/>
          <w:sz w:val="24"/>
        </w:rPr>
        <w:t>上式中，</w:t>
      </w:r>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12</m:t>
            </m:r>
            <m:ctrlPr>
              <w:rPr>
                <w:rFonts w:ascii="Cambria Math" w:hAnsi="Cambria Math" w:eastAsia="华文楷体"/>
                <w:i/>
                <w:sz w:val="24"/>
              </w:rPr>
            </m:ctrlPr>
          </m:sub>
        </m:sSub>
      </m:oMath>
      <w:bookmarkStart w:id="188" w:name="OLE_LINK49"/>
      <w:r>
        <w:rPr>
          <w:rFonts w:hint="eastAsia" w:ascii="华文楷体" w:hAnsi="华文楷体" w:eastAsia="华文楷体"/>
          <w:sz w:val="24"/>
        </w:rPr>
        <w:t>表示</w:t>
      </w:r>
      <w:bookmarkEnd w:id="188"/>
      <w:r>
        <w:rPr>
          <w:rFonts w:ascii="华文楷体" w:hAnsi="华文楷体" w:eastAsia="华文楷体"/>
          <w:sz w:val="24"/>
        </w:rPr>
        <w:t>绿色物流指数</w:t>
      </w:r>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ω</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oMath>
      <w:r>
        <w:rPr>
          <w:rFonts w:hint="eastAsia" w:ascii="华文楷体" w:hAnsi="华文楷体" w:eastAsia="华文楷体"/>
          <w:sz w:val="24"/>
        </w:rPr>
        <w:t>表示为权重系数，</w:t>
      </w:r>
      <m:oMath>
        <m:sSub>
          <m:sSubPr>
            <m:ctrlPr>
              <w:rPr>
                <w:rFonts w:ascii="Cambria Math" w:hAnsi="Cambria Math" w:eastAsia="华文楷体"/>
                <w:i/>
                <w:sz w:val="24"/>
              </w:rPr>
            </m:ctrlPr>
          </m:sSubPr>
          <m:e>
            <m:r>
              <m:rPr/>
              <w:rPr>
                <w:rFonts w:ascii="Cambria Math" w:hAnsi="Cambria Math" w:eastAsia="华文楷体"/>
                <w:sz w:val="24"/>
              </w:rPr>
              <m:t>L</m:t>
            </m:r>
            <m:ctrlPr>
              <w:rPr>
                <w:rFonts w:ascii="Cambria Math" w:hAnsi="Cambria Math" w:eastAsia="华文楷体"/>
                <w:i/>
                <w:sz w:val="24"/>
              </w:rPr>
            </m:ctrlPr>
          </m:e>
          <m:sub>
            <m:r>
              <m:rPr/>
              <w:rPr>
                <w:rFonts w:hint="eastAsia" w:ascii="Cambria Math" w:hAnsi="Cambria Math" w:eastAsia="华文楷体"/>
                <w:sz w:val="24"/>
              </w:rPr>
              <m:t>n</m:t>
            </m:r>
            <m:ctrlPr>
              <w:rPr>
                <w:rFonts w:ascii="Cambria Math" w:hAnsi="Cambria Math" w:eastAsia="华文楷体"/>
                <w:i/>
                <w:sz w:val="24"/>
              </w:rPr>
            </m:ctrlPr>
          </m:sub>
        </m:sSub>
      </m:oMath>
      <w:r>
        <w:rPr>
          <w:rFonts w:hint="eastAsia" w:ascii="华文楷体" w:hAnsi="华文楷体" w:eastAsia="华文楷体"/>
          <w:sz w:val="24"/>
        </w:rPr>
        <w:t>表示</w:t>
      </w:r>
      <w:bookmarkStart w:id="189" w:name="OLE_LINK91"/>
      <w:r>
        <w:rPr>
          <w:rFonts w:hint="eastAsia" w:ascii="华文楷体" w:hAnsi="华文楷体" w:eastAsia="华文楷体"/>
          <w:sz w:val="24"/>
        </w:rPr>
        <w:t>区域内收费站出入的新能源货车</w:t>
      </w:r>
      <w:bookmarkEnd w:id="189"/>
      <w:r>
        <w:rPr>
          <w:rFonts w:hint="eastAsia" w:ascii="华文楷体" w:hAnsi="华文楷体" w:eastAsia="华文楷体"/>
          <w:sz w:val="24"/>
        </w:rPr>
        <w:t>流量，</w:t>
      </w:r>
      <m:oMath>
        <m:sSub>
          <m:sSubPr>
            <m:ctrlPr>
              <w:rPr>
                <w:rFonts w:ascii="Cambria Math" w:hAnsi="Cambria Math" w:eastAsia="华文楷体"/>
                <w:i/>
                <w:sz w:val="24"/>
              </w:rPr>
            </m:ctrlPr>
          </m:sSubPr>
          <m:e>
            <m:r>
              <m:rPr/>
              <w:rPr>
                <w:rFonts w:ascii="Cambria Math" w:hAnsi="Cambria Math" w:eastAsia="华文楷体"/>
                <w:sz w:val="24"/>
              </w:rPr>
              <m:t>L</m:t>
            </m:r>
            <m:ctrlPr>
              <w:rPr>
                <w:rFonts w:ascii="Cambria Math" w:hAnsi="Cambria Math" w:eastAsia="华文楷体"/>
                <w:i/>
                <w:sz w:val="24"/>
              </w:rPr>
            </m:ctrlPr>
          </m:e>
          <m:sub>
            <m:r>
              <m:rPr/>
              <w:rPr>
                <w:rFonts w:ascii="Cambria Math" w:hAnsi="Cambria Math" w:eastAsia="华文楷体"/>
                <w:sz w:val="24"/>
              </w:rPr>
              <m:t>n</m:t>
            </m:r>
            <m:ctrlPr>
              <w:rPr>
                <w:rFonts w:ascii="Cambria Math" w:hAnsi="Cambria Math" w:eastAsia="华文楷体"/>
                <w:i/>
                <w:sz w:val="24"/>
              </w:rPr>
            </m:ctrlPr>
          </m:sub>
        </m:sSub>
      </m:oMath>
      <w:r>
        <w:rPr>
          <w:rFonts w:hint="eastAsia" w:ascii="华文楷体" w:hAnsi="华文楷体" w:eastAsia="华文楷体"/>
          <w:sz w:val="24"/>
        </w:rPr>
        <w:t>表示</w:t>
      </w:r>
      <w:bookmarkStart w:id="190" w:name="OLE_LINK335"/>
      <w:r>
        <w:rPr>
          <w:rFonts w:hint="eastAsia" w:ascii="华文楷体" w:hAnsi="华文楷体" w:eastAsia="华文楷体"/>
          <w:sz w:val="24"/>
        </w:rPr>
        <w:t>该</w:t>
      </w:r>
      <w:bookmarkStart w:id="191" w:name="OLE_LINK93"/>
      <w:r>
        <w:rPr>
          <w:rFonts w:hint="eastAsia" w:ascii="华文楷体" w:hAnsi="华文楷体" w:eastAsia="华文楷体"/>
          <w:sz w:val="24"/>
        </w:rPr>
        <w:t>区域货车</w:t>
      </w:r>
      <w:bookmarkEnd w:id="190"/>
      <w:bookmarkEnd w:id="191"/>
      <w:r>
        <w:rPr>
          <w:rFonts w:hint="eastAsia" w:ascii="华文楷体" w:hAnsi="华文楷体" w:eastAsia="华文楷体"/>
          <w:sz w:val="24"/>
        </w:rPr>
        <w:t>流量；</w:t>
      </w:r>
      <m:oMath>
        <m:sSub>
          <m:sSubPr>
            <m:ctrlPr>
              <w:rPr>
                <w:rFonts w:ascii="Cambria Math" w:hAnsi="Cambria Math" w:eastAsia="华文楷体"/>
                <w:i/>
                <w:sz w:val="24"/>
              </w:rPr>
            </m:ctrlPr>
          </m:sSubPr>
          <m:e>
            <m:r>
              <m:rPr/>
              <w:rPr>
                <w:rFonts w:ascii="Cambria Math" w:hAnsi="Cambria Math" w:eastAsia="华文楷体"/>
                <w:sz w:val="24"/>
              </w:rPr>
              <m:t>R</m:t>
            </m:r>
            <m:ctrlPr>
              <w:rPr>
                <w:rFonts w:ascii="Cambria Math" w:hAnsi="Cambria Math" w:eastAsia="华文楷体"/>
                <w:i/>
                <w:sz w:val="24"/>
              </w:rPr>
            </m:ctrlPr>
          </m:e>
          <m:sub>
            <m:r>
              <m:rPr/>
              <w:rPr>
                <w:rFonts w:hint="eastAsia" w:ascii="Cambria Math" w:hAnsi="Cambria Math" w:eastAsia="华文楷体"/>
                <w:sz w:val="24"/>
              </w:rPr>
              <m:t>n</m:t>
            </m:r>
            <m:ctrlPr>
              <w:rPr>
                <w:rFonts w:ascii="Cambria Math" w:hAnsi="Cambria Math" w:eastAsia="华文楷体"/>
                <w:i/>
                <w:sz w:val="24"/>
              </w:rPr>
            </m:ctrlPr>
          </m:sub>
        </m:sSub>
      </m:oMath>
      <w:r>
        <w:rPr>
          <w:rFonts w:hint="eastAsia" w:ascii="华文楷体" w:hAnsi="华文楷体" w:eastAsia="华文楷体"/>
          <w:sz w:val="24"/>
        </w:rPr>
        <w:t>表示区域内收费站出入的新能源货车行使总里程，</w:t>
      </w:r>
      <m:oMath>
        <m:sSub>
          <m:sSubPr>
            <m:ctrlPr>
              <w:rPr>
                <w:rFonts w:ascii="Cambria Math" w:hAnsi="Cambria Math" w:eastAsia="华文楷体"/>
                <w:i/>
                <w:sz w:val="24"/>
              </w:rPr>
            </m:ctrlPr>
          </m:sSubPr>
          <m:e>
            <m:r>
              <m:rPr/>
              <w:rPr>
                <w:rFonts w:ascii="Cambria Math" w:hAnsi="Cambria Math" w:eastAsia="华文楷体"/>
                <w:sz w:val="24"/>
              </w:rPr>
              <m:t>R</m:t>
            </m:r>
            <m:ctrlPr>
              <w:rPr>
                <w:rFonts w:ascii="Cambria Math" w:hAnsi="Cambria Math" w:eastAsia="华文楷体"/>
                <w:i/>
                <w:sz w:val="24"/>
              </w:rPr>
            </m:ctrlPr>
          </m:e>
          <m:sub>
            <m:r>
              <m:rPr/>
              <w:rPr>
                <w:rFonts w:hint="eastAsia" w:ascii="Cambria Math" w:hAnsi="Cambria Math" w:eastAsia="华文楷体"/>
                <w:sz w:val="24"/>
              </w:rPr>
              <m:t>a</m:t>
            </m:r>
            <m:ctrlPr>
              <w:rPr>
                <w:rFonts w:ascii="Cambria Math" w:hAnsi="Cambria Math" w:eastAsia="华文楷体"/>
                <w:i/>
                <w:sz w:val="24"/>
              </w:rPr>
            </m:ctrlPr>
          </m:sub>
        </m:sSub>
      </m:oMath>
      <w:r>
        <w:rPr>
          <w:rFonts w:hint="eastAsia" w:ascii="华文楷体" w:hAnsi="华文楷体" w:eastAsia="华文楷体"/>
          <w:sz w:val="24"/>
        </w:rPr>
        <w:t>该区域货车行使总里程。</w:t>
      </w:r>
    </w:p>
    <w:p w14:paraId="1B0295A9">
      <w:pPr>
        <w:ind w:firstLine="480" w:firstLineChars="200"/>
        <w:jc w:val="both"/>
        <w:rPr>
          <w:rFonts w:hint="eastAsia" w:ascii="华文楷体" w:hAnsi="华文楷体" w:eastAsia="华文楷体"/>
          <w:sz w:val="24"/>
        </w:rPr>
      </w:pPr>
      <w:r>
        <w:rPr>
          <w:rFonts w:ascii="华文楷体" w:hAnsi="华文楷体" w:eastAsia="华文楷体"/>
          <w:sz w:val="24"/>
        </w:rPr>
        <w:t>绿色物流指数通过计算区域内收费站出入的新能源货车总数占该区域货车总数的比例，衡量物流货运领域新能源化的程度，反映产业端(B端)的绿色转型情况，为推动物流行业绿色化、实现</w:t>
      </w:r>
      <w:r>
        <w:rPr>
          <w:rFonts w:hint="eastAsia" w:ascii="华文楷体" w:hAnsi="华文楷体" w:eastAsia="华文楷体"/>
          <w:sz w:val="24"/>
        </w:rPr>
        <w:t>“双碳”</w:t>
      </w:r>
      <w:r>
        <w:rPr>
          <w:rFonts w:ascii="华文楷体" w:hAnsi="华文楷体" w:eastAsia="华文楷体"/>
          <w:sz w:val="24"/>
        </w:rPr>
        <w:t>目标提供量化依据。</w:t>
      </w:r>
    </w:p>
    <w:bookmarkEnd w:id="181"/>
    <w:p w14:paraId="7E87B8DE">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A</w:t>
      </w:r>
      <w:r>
        <w:rPr>
          <w:rFonts w:ascii="华文楷体" w:hAnsi="华文楷体" w:eastAsia="华文楷体"/>
          <w:b/>
          <w:bCs/>
          <w:color w:val="auto"/>
          <w:sz w:val="24"/>
          <w:szCs w:val="24"/>
        </w:rPr>
        <w:t>.</w:t>
      </w:r>
      <w:r>
        <w:rPr>
          <w:rFonts w:hint="eastAsia" w:ascii="华文楷体" w:hAnsi="华文楷体" w:eastAsia="华文楷体"/>
          <w:b/>
          <w:bCs/>
          <w:color w:val="auto"/>
          <w:sz w:val="24"/>
          <w:szCs w:val="24"/>
        </w:rPr>
        <w:t>5</w:t>
      </w:r>
      <w:r>
        <w:rPr>
          <w:rFonts w:ascii="华文楷体" w:hAnsi="华文楷体" w:eastAsia="华文楷体"/>
          <w:b/>
          <w:bCs/>
          <w:color w:val="auto"/>
          <w:sz w:val="24"/>
          <w:szCs w:val="24"/>
        </w:rPr>
        <w:t xml:space="preserve"> 碳减排贡献度 (吨CO</w:t>
      </w:r>
      <w:r>
        <w:rPr>
          <w:rFonts w:ascii="Cambria Math" w:hAnsi="Cambria Math" w:eastAsia="华文楷体" w:cs="Cambria Math"/>
          <w:b/>
          <w:bCs/>
          <w:color w:val="auto"/>
          <w:sz w:val="24"/>
          <w:szCs w:val="24"/>
        </w:rPr>
        <w:t>₂</w:t>
      </w:r>
      <w:r>
        <w:rPr>
          <w:rFonts w:ascii="华文楷体" w:hAnsi="华文楷体" w:eastAsia="华文楷体"/>
          <w:b/>
          <w:bCs/>
          <w:color w:val="auto"/>
          <w:sz w:val="24"/>
          <w:szCs w:val="24"/>
        </w:rPr>
        <w:t>)</w:t>
      </w:r>
    </w:p>
    <w:p w14:paraId="6A7FDEDE">
      <w:pPr>
        <w:ind w:firstLine="480" w:firstLineChars="200"/>
        <w:jc w:val="both"/>
        <w:rPr>
          <w:rFonts w:hint="eastAsia" w:ascii="华文楷体" w:hAnsi="华文楷体" w:eastAsia="华文楷体"/>
          <w:sz w:val="24"/>
        </w:rPr>
      </w:pPr>
      <w:bookmarkStart w:id="192" w:name="OLE_LINK12"/>
      <w:r>
        <w:rPr>
          <w:rFonts w:ascii="华文楷体" w:hAnsi="华文楷体" w:eastAsia="华文楷体"/>
          <w:sz w:val="24"/>
        </w:rPr>
        <w:t>碳减排贡献度 (吨CO</w:t>
      </w:r>
      <w:r>
        <w:rPr>
          <w:rFonts w:ascii="Cambria Math" w:hAnsi="Cambria Math" w:eastAsia="华文楷体" w:cs="Cambria Math"/>
          <w:sz w:val="24"/>
        </w:rPr>
        <w:t>₂</w:t>
      </w:r>
      <w:r>
        <w:rPr>
          <w:rFonts w:ascii="华文楷体" w:hAnsi="华文楷体" w:eastAsia="华文楷体"/>
          <w:sz w:val="24"/>
        </w:rPr>
        <w:t>)</w:t>
      </w:r>
      <w:bookmarkEnd w:id="192"/>
      <w:r>
        <w:rPr>
          <w:rFonts w:ascii="华文楷体" w:hAnsi="华文楷体" w:eastAsia="华文楷体"/>
          <w:sz w:val="24"/>
        </w:rPr>
        <w:t>将新能源汽车（特别是新能源货车）在高速公路网内的行驶行为，量化为对全社会碳减排的具体贡献值，使绿色交通的效益变得可衡量、可感知。</w:t>
      </w:r>
    </w:p>
    <w:p w14:paraId="4767E3BE">
      <w:pPr>
        <w:ind w:firstLine="480" w:firstLineChars="200"/>
        <w:jc w:val="both"/>
        <w:rPr>
          <w:rFonts w:hint="eastAsia" w:ascii="华文楷体" w:hAnsi="华文楷体" w:eastAsia="华文楷体"/>
          <w:sz w:val="24"/>
        </w:rPr>
      </w:pPr>
      <w:r>
        <w:rPr>
          <w:rFonts w:ascii="华文楷体" w:hAnsi="华文楷体" w:eastAsia="华文楷体"/>
          <w:sz w:val="24"/>
        </w:rPr>
        <w:t>新能源汽车行驶所节省的碳排放，等于同等条件下燃油车行驶相同里程所产生的碳排放。通过识别新能源车辆并计算其总行驶里程，再乘以权威的燃油车碳排放因子，即可得出其碳减排贡献。</w:t>
      </w:r>
      <w:r>
        <w:rPr>
          <w:rFonts w:hint="eastAsia" w:ascii="华文楷体" w:hAnsi="华文楷体" w:eastAsia="华文楷体"/>
          <w:sz w:val="24"/>
        </w:rPr>
        <w:t>指标的加工口径如下：</w:t>
      </w:r>
    </w:p>
    <w:p w14:paraId="23DD81EC">
      <w:pPr>
        <w:rPr>
          <w:rFonts w:hint="eastAsia" w:ascii="华文楷体" w:hAnsi="华文楷体" w:eastAsia="华文楷体"/>
          <w:sz w:val="24"/>
        </w:rPr>
      </w:pPr>
      <m:oMathPara>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4</m:t>
              </m:r>
              <m:ctrlPr>
                <w:rPr>
                  <w:rFonts w:ascii="Cambria Math" w:hAnsi="Cambria Math" w:eastAsia="华文楷体"/>
                  <w:i/>
                  <w:sz w:val="24"/>
                </w:rPr>
              </m:ctrlPr>
            </m:sub>
          </m:sSub>
          <m:r>
            <m:rPr/>
            <w:rPr>
              <w:rFonts w:ascii="Cambria Math" w:hAnsi="Cambria Math" w:eastAsia="华文楷体"/>
              <w:sz w:val="24"/>
            </w:rPr>
            <m:t>=R×(</m:t>
          </m:r>
          <m:sSub>
            <m:sSubPr>
              <m:ctrlPr>
                <w:rPr>
                  <w:rFonts w:ascii="Cambria Math" w:hAnsi="Cambria Math" w:eastAsia="华文楷体"/>
                  <w:i/>
                  <w:sz w:val="24"/>
                </w:rPr>
              </m:ctrlPr>
            </m:sSubPr>
            <m:e>
              <w:bookmarkStart w:id="193" w:name="OLE_LINK104"/>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1</m:t>
              </m:r>
              <w:bookmarkEnd w:id="193"/>
              <m:ctrlPr>
                <w:rPr>
                  <w:rFonts w:ascii="Cambria Math" w:hAnsi="Cambria Math" w:eastAsia="华文楷体"/>
                  <w:i/>
                  <w:sz w:val="24"/>
                </w:rPr>
              </m:ctrlPr>
            </m:sub>
          </m:sSub>
          <m:r>
            <m:rPr/>
            <w:rPr>
              <w:rFonts w:ascii="Cambria Math" w:hAnsi="Cambria Math" w:eastAsia="华文楷体"/>
              <w:sz w:val="24"/>
            </w:rPr>
            <m:t>−</m:t>
          </m:r>
          <m:sSub>
            <m:sSubPr>
              <m:ctrlPr>
                <w:rPr>
                  <w:rFonts w:ascii="Cambria Math" w:hAnsi="Cambria Math" w:eastAsia="华文楷体"/>
                  <w:i/>
                  <w:sz w:val="24"/>
                </w:rPr>
              </m:ctrlPr>
            </m:sSubPr>
            <m:e>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r>
            <m:rPr/>
            <w:rPr>
              <w:rFonts w:ascii="Cambria Math" w:hAnsi="Cambria Math" w:eastAsia="华文楷体"/>
              <w:sz w:val="24"/>
            </w:rPr>
            <m:t>)</m:t>
          </m:r>
        </m:oMath>
      </m:oMathPara>
    </w:p>
    <w:p w14:paraId="15447FA5">
      <w:pPr>
        <w:ind w:firstLine="480" w:firstLineChars="200"/>
        <w:jc w:val="both"/>
        <w:rPr>
          <w:rFonts w:hint="eastAsia" w:ascii="华文楷体" w:hAnsi="华文楷体" w:eastAsia="华文楷体"/>
          <w:sz w:val="24"/>
        </w:rPr>
      </w:pPr>
      <w:r>
        <w:rPr>
          <w:rFonts w:hint="eastAsia" w:ascii="华文楷体" w:hAnsi="华文楷体" w:eastAsia="华文楷体"/>
          <w:sz w:val="24"/>
        </w:rPr>
        <w:t>上式中，</w:t>
      </w:r>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4</m:t>
            </m:r>
            <m:ctrlPr>
              <w:rPr>
                <w:rFonts w:ascii="Cambria Math" w:hAnsi="Cambria Math" w:eastAsia="华文楷体"/>
                <w:i/>
                <w:sz w:val="24"/>
              </w:rPr>
            </m:ctrlPr>
          </m:sub>
        </m:sSub>
      </m:oMath>
      <w:r>
        <w:rPr>
          <w:rFonts w:hint="eastAsia" w:ascii="华文楷体" w:hAnsi="华文楷体" w:eastAsia="华文楷体"/>
          <w:sz w:val="24"/>
        </w:rPr>
        <w:t>表示</w:t>
      </w:r>
      <w:r>
        <w:rPr>
          <w:rFonts w:ascii="华文楷体" w:hAnsi="华文楷体" w:eastAsia="华文楷体"/>
          <w:sz w:val="24"/>
        </w:rPr>
        <w:t>碳减排贡献度 (吨CO</w:t>
      </w:r>
      <w:r>
        <w:rPr>
          <w:rFonts w:ascii="Cambria Math" w:hAnsi="Cambria Math" w:eastAsia="华文楷体" w:cs="Cambria Math"/>
          <w:sz w:val="24"/>
        </w:rPr>
        <w:t>₂</w:t>
      </w:r>
      <w:r>
        <w:rPr>
          <w:rFonts w:ascii="华文楷体" w:hAnsi="华文楷体" w:eastAsia="华文楷体"/>
          <w:sz w:val="24"/>
        </w:rPr>
        <w:t>)，</w:t>
      </w:r>
      <m:oMath>
        <m:r>
          <m:rPr/>
          <w:rPr>
            <w:rFonts w:ascii="Cambria Math" w:hAnsi="Cambria Math" w:eastAsia="华文楷体"/>
            <w:sz w:val="24"/>
          </w:rPr>
          <m:t>R</m:t>
        </m:r>
      </m:oMath>
      <w:r>
        <w:rPr>
          <w:rFonts w:hint="eastAsia" w:ascii="华文楷体" w:hAnsi="华文楷体" w:eastAsia="华文楷体"/>
          <w:sz w:val="24"/>
        </w:rPr>
        <w:t>表示</w:t>
      </w:r>
      <w:bookmarkStart w:id="194" w:name="OLE_LINK102"/>
      <w:r>
        <w:rPr>
          <w:rFonts w:hint="eastAsia" w:ascii="华文楷体" w:hAnsi="华文楷体" w:eastAsia="华文楷体"/>
          <w:sz w:val="24"/>
        </w:rPr>
        <w:t>区域内所有新能源汽车总行驶里程</w:t>
      </w:r>
      <w:bookmarkEnd w:id="194"/>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bookmarkStart w:id="195" w:name="OLE_LINK105"/>
      <w:r>
        <w:rPr>
          <w:rFonts w:hint="eastAsia" w:ascii="华文楷体" w:hAnsi="华文楷体" w:eastAsia="华文楷体"/>
          <w:sz w:val="24"/>
        </w:rPr>
        <w:t>表示</w:t>
      </w:r>
      <w:bookmarkStart w:id="196" w:name="OLE_LINK100"/>
      <w:r>
        <w:rPr>
          <w:rFonts w:hint="eastAsia" w:ascii="华文楷体" w:hAnsi="华文楷体" w:eastAsia="华文楷体"/>
          <w:sz w:val="24"/>
        </w:rPr>
        <w:t>燃油车平均每公里碳排放因子</w:t>
      </w:r>
      <w:bookmarkEnd w:id="195"/>
      <w:bookmarkEnd w:id="196"/>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r>
        <w:rPr>
          <w:rFonts w:hint="eastAsia" w:ascii="华文楷体" w:hAnsi="华文楷体" w:eastAsia="华文楷体"/>
          <w:sz w:val="24"/>
        </w:rPr>
        <w:t>表示新能源车平均每公里碳排放因子。</w:t>
      </w:r>
    </w:p>
    <w:p w14:paraId="0323C21E">
      <w:pPr>
        <w:ind w:firstLine="480" w:firstLineChars="200"/>
        <w:jc w:val="both"/>
        <w:rPr>
          <w:rFonts w:hint="eastAsia" w:ascii="华文楷体" w:hAnsi="华文楷体" w:eastAsia="华文楷体"/>
          <w:sz w:val="24"/>
        </w:rPr>
      </w:pPr>
      <w:r>
        <w:rPr>
          <w:rFonts w:hint="eastAsia" w:ascii="华文楷体" w:hAnsi="华文楷体" w:eastAsia="华文楷体"/>
          <w:sz w:val="24"/>
        </w:rPr>
        <w:t>“区域内所有</w:t>
      </w:r>
      <w:bookmarkStart w:id="197" w:name="OLE_LINK103"/>
      <w:r>
        <w:rPr>
          <w:rFonts w:hint="eastAsia" w:ascii="华文楷体" w:hAnsi="华文楷体" w:eastAsia="华文楷体"/>
          <w:sz w:val="24"/>
        </w:rPr>
        <w:t>新能源汽车总行驶里程</w:t>
      </w:r>
      <w:bookmarkEnd w:id="197"/>
      <w:r>
        <w:rPr>
          <w:rFonts w:hint="eastAsia" w:ascii="华文楷体" w:hAnsi="华文楷体" w:eastAsia="华文楷体"/>
          <w:sz w:val="24"/>
        </w:rPr>
        <w:t>”变量统计指定区域内每月新能源汽车总行驶里程。表示</w:t>
      </w:r>
      <w:bookmarkStart w:id="198" w:name="OLE_LINK250"/>
      <w:r>
        <w:rPr>
          <w:rFonts w:hint="eastAsia" w:ascii="华文楷体" w:hAnsi="华文楷体" w:eastAsia="华文楷体"/>
          <w:sz w:val="24"/>
        </w:rPr>
        <w:t>燃油车平均每公里碳排放因子为</w:t>
      </w:r>
      <w:r>
        <w:rPr>
          <w:rFonts w:ascii="华文楷体" w:hAnsi="华文楷体" w:eastAsia="华文楷体"/>
          <w:sz w:val="24"/>
        </w:rPr>
        <w:t>200克/公里</w:t>
      </w:r>
      <w:r>
        <w:rPr>
          <w:rFonts w:hint="eastAsia" w:ascii="华文楷体" w:hAnsi="华文楷体" w:eastAsia="华文楷体"/>
          <w:sz w:val="24"/>
        </w:rPr>
        <w:t>，新能源车平均每公里碳排放因子为</w:t>
      </w:r>
      <w:r>
        <w:rPr>
          <w:rFonts w:ascii="华文楷体" w:hAnsi="华文楷体" w:eastAsia="华文楷体"/>
          <w:sz w:val="24"/>
        </w:rPr>
        <w:t>100克/公里</w:t>
      </w:r>
      <w:bookmarkEnd w:id="198"/>
      <w:r>
        <w:rPr>
          <w:rFonts w:hint="eastAsia" w:ascii="华文楷体" w:hAnsi="华文楷体" w:eastAsia="华文楷体"/>
          <w:sz w:val="24"/>
        </w:rPr>
        <w:t>。</w:t>
      </w:r>
    </w:p>
    <w:p w14:paraId="2A45D0EC">
      <w:pPr>
        <w:ind w:firstLine="480" w:firstLineChars="200"/>
        <w:jc w:val="both"/>
        <w:rPr>
          <w:rFonts w:hint="eastAsia" w:ascii="华文楷体" w:hAnsi="华文楷体" w:eastAsia="华文楷体"/>
          <w:sz w:val="24"/>
        </w:rPr>
      </w:pPr>
      <w:bookmarkStart w:id="199" w:name="OLE_LINK71"/>
      <w:r>
        <w:rPr>
          <w:rFonts w:ascii="华文楷体" w:hAnsi="华文楷体" w:eastAsia="华文楷体"/>
          <w:sz w:val="24"/>
        </w:rPr>
        <w:t>该指标它不仅能评估交通领域绿色转型的成效，还能为</w:t>
      </w:r>
      <w:r>
        <w:rPr>
          <w:rFonts w:hint="eastAsia" w:ascii="华文楷体" w:hAnsi="华文楷体" w:eastAsia="华文楷体"/>
          <w:sz w:val="24"/>
        </w:rPr>
        <w:t>相关</w:t>
      </w:r>
      <w:r>
        <w:rPr>
          <w:rFonts w:ascii="华文楷体" w:hAnsi="华文楷体" w:eastAsia="华文楷体"/>
          <w:sz w:val="24"/>
        </w:rPr>
        <w:t>企业履行ESG责任提供有力的数据证明，具有显著的社会价值和政策影响力。</w:t>
      </w:r>
      <w:bookmarkEnd w:id="199"/>
      <w:bookmarkStart w:id="200" w:name="_Hlk212744387"/>
    </w:p>
    <w:p w14:paraId="181B18E6">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A</w:t>
      </w:r>
      <w:r>
        <w:rPr>
          <w:rFonts w:ascii="华文楷体" w:hAnsi="华文楷体" w:eastAsia="华文楷体"/>
          <w:b/>
          <w:bCs/>
          <w:color w:val="auto"/>
          <w:sz w:val="24"/>
          <w:szCs w:val="24"/>
        </w:rPr>
        <w:t>.</w:t>
      </w:r>
      <w:r>
        <w:rPr>
          <w:rFonts w:hint="eastAsia" w:ascii="华文楷体" w:hAnsi="华文楷体" w:eastAsia="华文楷体"/>
          <w:b/>
          <w:bCs/>
          <w:color w:val="auto"/>
          <w:sz w:val="24"/>
          <w:szCs w:val="24"/>
        </w:rPr>
        <w:t>6 产业链聚集度 (HHI指数)</w:t>
      </w:r>
    </w:p>
    <w:p w14:paraId="6296EBF2">
      <w:pPr>
        <w:ind w:firstLine="480" w:firstLineChars="200"/>
        <w:jc w:val="both"/>
        <w:rPr>
          <w:rFonts w:hint="eastAsia" w:ascii="华文楷体" w:hAnsi="华文楷体" w:eastAsia="华文楷体"/>
          <w:sz w:val="24"/>
        </w:rPr>
      </w:pPr>
      <w:bookmarkStart w:id="201" w:name="OLE_LINK73"/>
      <w:bookmarkStart w:id="202" w:name="OLE_LINK34"/>
      <w:bookmarkStart w:id="203" w:name="OLE_LINK32"/>
      <w:r>
        <w:rPr>
          <w:rFonts w:ascii="华文楷体" w:hAnsi="华文楷体" w:eastAsia="华文楷体"/>
          <w:sz w:val="24"/>
        </w:rPr>
        <w:t>产业链聚集度(HHI指数)</w:t>
      </w:r>
      <w:bookmarkEnd w:id="201"/>
      <w:r>
        <w:rPr>
          <w:rFonts w:ascii="华文楷体" w:hAnsi="华文楷体" w:eastAsia="华文楷体"/>
          <w:sz w:val="24"/>
        </w:rPr>
        <w:t>用于衡量特定产业链</w:t>
      </w:r>
      <w:r>
        <w:rPr>
          <w:rFonts w:hint="eastAsia" w:ascii="华文楷体" w:hAnsi="华文楷体" w:eastAsia="华文楷体"/>
          <w:sz w:val="24"/>
        </w:rPr>
        <w:t>上下游供应来源地的地理集中度</w:t>
      </w:r>
      <w:r>
        <w:rPr>
          <w:rFonts w:ascii="华文楷体" w:hAnsi="华文楷体" w:eastAsia="华文楷体"/>
          <w:sz w:val="24"/>
        </w:rPr>
        <w:t>，反映产业链的集聚效应和市场结构。</w:t>
      </w:r>
      <w:r>
        <w:rPr>
          <w:rFonts w:hint="eastAsia" w:ascii="华文楷体" w:hAnsi="华文楷体" w:eastAsia="华文楷体"/>
          <w:sz w:val="24"/>
        </w:rPr>
        <w:t>赫芬达尔-赫希曼指数 (HHI)</w:t>
      </w:r>
      <w:r>
        <w:rPr>
          <w:rFonts w:ascii="华文楷体" w:hAnsi="华文楷体" w:eastAsia="华文楷体"/>
          <w:sz w:val="24"/>
        </w:rPr>
        <w:t>是衡量产业集中度的经典指标，其计算方法为区域内</w:t>
      </w:r>
      <w:r>
        <w:rPr>
          <w:rFonts w:hint="eastAsia" w:ascii="华文楷体" w:hAnsi="华文楷体" w:eastAsia="华文楷体"/>
          <w:sz w:val="24"/>
        </w:rPr>
        <w:t>车辆流量</w:t>
      </w:r>
      <w:r>
        <w:rPr>
          <w:rFonts w:ascii="华文楷体" w:hAnsi="华文楷体" w:eastAsia="华文楷体"/>
          <w:sz w:val="24"/>
        </w:rPr>
        <w:t>的平方和。</w:t>
      </w:r>
      <w:r>
        <w:rPr>
          <w:rFonts w:hint="eastAsia" w:ascii="华文楷体" w:hAnsi="华文楷体" w:eastAsia="华文楷体"/>
          <w:sz w:val="24"/>
        </w:rPr>
        <w:t>指标的加工口径如下：</w:t>
      </w:r>
    </w:p>
    <w:p w14:paraId="52E68C30">
      <w:pPr>
        <w:ind w:firstLine="480" w:firstLineChars="200"/>
        <w:jc w:val="both"/>
        <w:rPr>
          <w:rFonts w:hint="eastAsia" w:ascii="华文楷体" w:hAnsi="华文楷体" w:eastAsia="华文楷体"/>
          <w:sz w:val="24"/>
        </w:rPr>
      </w:pPr>
      <m:oMathPara>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6</m:t>
              </m:r>
              <m:ctrlPr>
                <w:rPr>
                  <w:rFonts w:ascii="Cambria Math" w:hAnsi="Cambria Math" w:eastAsia="华文楷体"/>
                  <w:i/>
                  <w:sz w:val="24"/>
                </w:rPr>
              </m:ctrlPr>
            </m:sub>
          </m:sSub>
          <m:r>
            <m:rPr/>
            <w:rPr>
              <w:rFonts w:ascii="Cambria Math" w:hAnsi="Cambria Math" w:eastAsia="华文楷体"/>
              <w:sz w:val="24"/>
            </w:rPr>
            <m:t>=</m:t>
          </m:r>
          <m:nary>
            <m:naryPr>
              <m:chr m:val="∑"/>
              <m:limLoc m:val="undOvr"/>
              <m:ctrlPr>
                <w:rPr>
                  <w:rFonts w:ascii="Cambria Math" w:hAnsi="Cambria Math" w:eastAsia="华文楷体"/>
                  <w:i/>
                  <w:sz w:val="24"/>
                </w:rPr>
              </m:ctrlPr>
            </m:naryPr>
            <m:sub>
              <m:r>
                <m:rPr/>
                <w:rPr>
                  <w:rFonts w:hint="eastAsia" w:ascii="Cambria Math" w:hAnsi="Cambria Math" w:eastAsia="华文楷体"/>
                  <w:sz w:val="24"/>
                </w:rPr>
                <m:t>i</m:t>
              </m:r>
              <m:r>
                <m:rPr/>
                <w:rPr>
                  <w:rFonts w:ascii="Cambria Math" w:hAnsi="Cambria Math" w:eastAsia="华文楷体"/>
                  <w:sz w:val="24"/>
                </w:rPr>
                <m:t>=1</m:t>
              </m:r>
              <m:ctrlPr>
                <w:rPr>
                  <w:rFonts w:ascii="Cambria Math" w:hAnsi="Cambria Math" w:eastAsia="华文楷体"/>
                  <w:i/>
                  <w:sz w:val="24"/>
                </w:rPr>
              </m:ctrlPr>
            </m:sub>
            <m:sup>
              <m:r>
                <m:rPr/>
                <w:rPr>
                  <w:rFonts w:hint="eastAsia" w:ascii="Cambria Math" w:hAnsi="Cambria Math" w:eastAsia="华文楷体"/>
                  <w:sz w:val="24"/>
                </w:rPr>
                <m:t>n</m:t>
              </m:r>
              <m:ctrlPr>
                <w:rPr>
                  <w:rFonts w:ascii="Cambria Math" w:hAnsi="Cambria Math" w:eastAsia="华文楷体"/>
                  <w:i/>
                  <w:sz w:val="24"/>
                </w:rPr>
              </m:ctrlPr>
            </m:sup>
            <m:e>
              <m:d>
                <m:dPr>
                  <m:ctrlPr>
                    <w:rPr>
                      <w:rFonts w:ascii="Cambria Math" w:hAnsi="Cambria Math" w:eastAsia="华文楷体"/>
                      <w:i/>
                      <w:sz w:val="24"/>
                    </w:rPr>
                  </m:ctrlPr>
                </m:dPr>
                <m:e>
                  <m:sSubSup>
                    <m:sSubSupPr>
                      <m:ctrlPr>
                        <w:rPr>
                          <w:rFonts w:ascii="Cambria Math" w:hAnsi="Cambria Math" w:eastAsia="华文楷体"/>
                          <w:i/>
                          <w:sz w:val="24"/>
                        </w:rPr>
                      </m:ctrlPr>
                    </m:sSubSupPr>
                    <m:e>
                      <m:r>
                        <m:rPr/>
                        <w:rPr>
                          <w:rFonts w:ascii="Cambria Math" w:hAnsi="Cambria Math" w:eastAsia="华文楷体"/>
                          <w:sz w:val="24"/>
                        </w:rPr>
                        <m:t>S</m:t>
                      </m:r>
                      <m:ctrlPr>
                        <w:rPr>
                          <w:rFonts w:ascii="Cambria Math" w:hAnsi="Cambria Math" w:eastAsia="华文楷体"/>
                          <w:i/>
                          <w:sz w:val="24"/>
                        </w:rPr>
                      </m:ctrlPr>
                    </m:e>
                    <m:sub>
                      <m:r>
                        <m:rPr/>
                        <w:rPr>
                          <w:rFonts w:hint="eastAsia" w:ascii="Cambria Math" w:hAnsi="Cambria Math" w:eastAsia="华文楷体"/>
                          <w:sz w:val="24"/>
                        </w:rPr>
                        <m:t>i</m:t>
                      </m:r>
                      <m:ctrlPr>
                        <w:rPr>
                          <w:rFonts w:ascii="Cambria Math" w:hAnsi="Cambria Math" w:eastAsia="华文楷体"/>
                          <w:i/>
                          <w:sz w:val="24"/>
                        </w:rPr>
                      </m:ctrlPr>
                    </m:sub>
                    <m:sup>
                      <m:r>
                        <m:rPr/>
                        <w:rPr>
                          <w:rFonts w:ascii="Cambria Math" w:hAnsi="Cambria Math" w:eastAsia="华文楷体"/>
                          <w:sz w:val="24"/>
                        </w:rPr>
                        <m:t>2</m:t>
                      </m:r>
                      <m:ctrlPr>
                        <w:rPr>
                          <w:rFonts w:ascii="Cambria Math" w:hAnsi="Cambria Math" w:eastAsia="华文楷体"/>
                          <w:i/>
                          <w:sz w:val="24"/>
                        </w:rPr>
                      </m:ctrlPr>
                    </m:sup>
                  </m:sSubSup>
                  <m:ctrlPr>
                    <w:rPr>
                      <w:rFonts w:ascii="Cambria Math" w:hAnsi="Cambria Math" w:eastAsia="华文楷体"/>
                      <w:i/>
                      <w:sz w:val="24"/>
                    </w:rPr>
                  </m:ctrlPr>
                </m:e>
              </m:d>
              <m:ctrlPr>
                <w:rPr>
                  <w:rFonts w:ascii="Cambria Math" w:hAnsi="Cambria Math" w:eastAsia="华文楷体"/>
                  <w:i/>
                  <w:sz w:val="24"/>
                </w:rPr>
              </m:ctrlPr>
            </m:e>
          </m:nary>
        </m:oMath>
      </m:oMathPara>
    </w:p>
    <w:p w14:paraId="719CEF24">
      <w:pPr>
        <w:ind w:firstLine="480" w:firstLineChars="200"/>
        <w:jc w:val="both"/>
        <w:rPr>
          <w:rFonts w:hint="eastAsia" w:ascii="华文楷体" w:hAnsi="华文楷体" w:eastAsia="华文楷体"/>
          <w:sz w:val="24"/>
        </w:rPr>
      </w:pPr>
      <w:r>
        <w:rPr>
          <w:rFonts w:hint="eastAsia" w:ascii="华文楷体" w:hAnsi="华文楷体" w:eastAsia="华文楷体"/>
          <w:sz w:val="24"/>
        </w:rPr>
        <w:t>上式中，</w:t>
      </w:r>
      <m:oMath>
        <m:sSub>
          <m:sSubPr>
            <m:ctrlPr>
              <w:rPr>
                <w:rFonts w:ascii="Cambria Math" w:hAnsi="Cambria Math" w:eastAsia="华文楷体"/>
                <w:i/>
                <w:sz w:val="24"/>
              </w:rPr>
            </m:ctrlPr>
          </m:sSubPr>
          <m:e>
            <m:r>
              <m:rPr/>
              <w:rPr>
                <w:rFonts w:ascii="Cambria Math" w:hAnsi="Cambria Math" w:eastAsia="华文楷体"/>
                <w:sz w:val="24"/>
              </w:rPr>
              <m:t>α</m:t>
            </m:r>
            <m:ctrlPr>
              <w:rPr>
                <w:rFonts w:ascii="Cambria Math" w:hAnsi="Cambria Math" w:eastAsia="华文楷体"/>
                <w:i/>
                <w:sz w:val="24"/>
              </w:rPr>
            </m:ctrlPr>
          </m:e>
          <m:sub>
            <m:r>
              <m:rPr/>
              <w:rPr>
                <w:rFonts w:ascii="Cambria Math" w:hAnsi="Cambria Math" w:eastAsia="华文楷体"/>
                <w:sz w:val="24"/>
              </w:rPr>
              <m:t>6</m:t>
            </m:r>
            <m:ctrlPr>
              <w:rPr>
                <w:rFonts w:ascii="Cambria Math" w:hAnsi="Cambria Math" w:eastAsia="华文楷体"/>
                <w:i/>
                <w:sz w:val="24"/>
              </w:rPr>
            </m:ctrlPr>
          </m:sub>
        </m:sSub>
      </m:oMath>
      <w:r>
        <w:rPr>
          <w:rFonts w:hint="eastAsia" w:ascii="华文楷体" w:hAnsi="华文楷体" w:eastAsia="华文楷体"/>
          <w:sz w:val="24"/>
        </w:rPr>
        <w:t>表示</w:t>
      </w:r>
      <w:r>
        <w:rPr>
          <w:rFonts w:ascii="华文楷体" w:hAnsi="华文楷体" w:eastAsia="华文楷体"/>
          <w:sz w:val="24"/>
        </w:rPr>
        <w:t>产业链聚集度指数</w:t>
      </w:r>
      <w:r>
        <w:rPr>
          <w:rFonts w:hint="eastAsia" w:ascii="华文楷体" w:hAnsi="华文楷体" w:eastAsia="华文楷体"/>
          <w:sz w:val="24"/>
        </w:rPr>
        <w:t>，</w:t>
      </w:r>
      <m:oMath>
        <m:sSub>
          <w:bookmarkStart w:id="204" w:name="OLE_LINK31"/>
          <m:sSubPr>
            <m:ctrlPr>
              <w:rPr>
                <w:rFonts w:ascii="Cambria Math" w:hAnsi="Cambria Math" w:eastAsia="华文楷体"/>
                <w:i/>
                <w:sz w:val="24"/>
              </w:rPr>
            </m:ctrlPr>
          </m:sSubPr>
          <m:e>
            <m:r>
              <m:rPr/>
              <w:rPr>
                <w:rFonts w:ascii="Cambria Math" w:hAnsi="Cambria Math" w:eastAsia="华文楷体"/>
                <w:sz w:val="24"/>
              </w:rPr>
              <m:t>S</m:t>
            </m:r>
            <m:ctrlPr>
              <w:rPr>
                <w:rFonts w:ascii="Cambria Math" w:hAnsi="Cambria Math" w:eastAsia="华文楷体"/>
                <w:i/>
                <w:sz w:val="24"/>
              </w:rPr>
            </m:ctrlPr>
          </m:e>
          <m:sub>
            <m:r>
              <m:rPr/>
              <w:rPr>
                <w:rFonts w:hint="eastAsia" w:ascii="Cambria Math" w:hAnsi="Cambria Math" w:eastAsia="华文楷体"/>
                <w:sz w:val="24"/>
              </w:rPr>
              <m:t>i</m:t>
            </m:r>
            <m:ctrlPr>
              <w:rPr>
                <w:rFonts w:ascii="Cambria Math" w:hAnsi="Cambria Math" w:eastAsia="华文楷体"/>
                <w:i/>
                <w:sz w:val="24"/>
              </w:rPr>
            </m:ctrlPr>
          </m:sub>
        </m:sSub>
      </m:oMath>
      <w:r>
        <w:rPr>
          <w:rFonts w:hint="eastAsia" w:ascii="华文楷体" w:hAnsi="华文楷体" w:eastAsia="华文楷体"/>
          <w:sz w:val="24"/>
        </w:rPr>
        <w:t>表示第</w:t>
      </w:r>
      <m:oMath>
        <m:r>
          <m:rPr/>
          <w:rPr>
            <w:rFonts w:hint="eastAsia" w:ascii="Cambria Math" w:hAnsi="Cambria Math" w:eastAsia="华文楷体"/>
            <w:sz w:val="24"/>
          </w:rPr>
          <m:t>i</m:t>
        </m:r>
      </m:oMath>
      <w:r>
        <w:rPr>
          <w:rFonts w:hint="eastAsia" w:ascii="华文楷体" w:hAnsi="华文楷体" w:eastAsia="华文楷体"/>
          <w:sz w:val="24"/>
        </w:rPr>
        <w:t>个来源地</w:t>
      </w:r>
      <w:bookmarkEnd w:id="204"/>
      <w:bookmarkStart w:id="205" w:name="OLE_LINK403"/>
      <w:r>
        <w:rPr>
          <w:rFonts w:hint="eastAsia" w:ascii="华文楷体" w:hAnsi="华文楷体" w:eastAsia="华文楷体"/>
          <w:sz w:val="24"/>
        </w:rPr>
        <w:t>车流量占总车流量的比例</w:t>
      </w:r>
      <w:bookmarkEnd w:id="205"/>
      <w:r>
        <w:rPr>
          <w:rFonts w:hint="eastAsia" w:ascii="华文楷体" w:hAnsi="华文楷体" w:eastAsia="华文楷体"/>
          <w:sz w:val="24"/>
        </w:rPr>
        <w:t>。</w:t>
      </w:r>
    </w:p>
    <w:bookmarkEnd w:id="202"/>
    <w:p w14:paraId="2C8F32E3">
      <w:pPr>
        <w:ind w:firstLine="480" w:firstLineChars="200"/>
        <w:jc w:val="both"/>
        <w:rPr>
          <w:rFonts w:hint="eastAsia" w:ascii="华文楷体" w:hAnsi="华文楷体" w:eastAsia="华文楷体"/>
          <w:sz w:val="24"/>
        </w:rPr>
      </w:pPr>
      <w:r>
        <w:rPr>
          <w:rFonts w:ascii="华文楷体" w:hAnsi="华文楷体" w:eastAsia="华文楷体"/>
          <w:sz w:val="24"/>
        </w:rPr>
        <w:t>产业链聚集度(HHI指数)</w:t>
      </w:r>
      <w:r>
        <w:rPr>
          <w:rFonts w:ascii="Helvetica" w:hAnsi="Helvetica"/>
          <w:color w:val="111133"/>
          <w:spacing w:val="1"/>
          <w:shd w:val="clear" w:color="auto" w:fill="FFFFFF"/>
        </w:rPr>
        <w:t xml:space="preserve"> </w:t>
      </w:r>
      <w:r>
        <w:rPr>
          <w:rFonts w:ascii="华文楷体" w:hAnsi="华文楷体" w:eastAsia="华文楷体"/>
          <w:sz w:val="24"/>
        </w:rPr>
        <w:t>通过计算区域内</w:t>
      </w:r>
      <w:r>
        <w:rPr>
          <w:rFonts w:hint="eastAsia" w:ascii="华文楷体" w:hAnsi="华文楷体" w:eastAsia="华文楷体"/>
          <w:sz w:val="24"/>
        </w:rPr>
        <w:t>每月车流量</w:t>
      </w:r>
      <w:r>
        <w:rPr>
          <w:rFonts w:ascii="华文楷体" w:hAnsi="华文楷体" w:eastAsia="华文楷体"/>
          <w:sz w:val="24"/>
        </w:rPr>
        <w:t>的平方和，衡量特定产业链</w:t>
      </w:r>
      <w:r>
        <w:rPr>
          <w:rFonts w:hint="eastAsia" w:ascii="华文楷体" w:hAnsi="华文楷体" w:eastAsia="华文楷体"/>
          <w:sz w:val="24"/>
        </w:rPr>
        <w:t>上下游供应来源地的地理集中度</w:t>
      </w:r>
      <w:r>
        <w:rPr>
          <w:rFonts w:ascii="华文楷体" w:hAnsi="华文楷体" w:eastAsia="华文楷体"/>
          <w:sz w:val="24"/>
        </w:rPr>
        <w:t>，反映产业链的集聚效应和市场结构，为政府制定产业政策、企业评估市场竞争力提供量化依据。</w:t>
      </w:r>
    </w:p>
    <w:bookmarkEnd w:id="203"/>
    <w:p w14:paraId="69FCD373">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A</w:t>
      </w:r>
      <w:r>
        <w:rPr>
          <w:rFonts w:ascii="华文楷体" w:hAnsi="华文楷体" w:eastAsia="华文楷体"/>
          <w:b/>
          <w:bCs/>
          <w:color w:val="auto"/>
          <w:sz w:val="24"/>
          <w:szCs w:val="24"/>
        </w:rPr>
        <w:t>.</w:t>
      </w:r>
      <w:r>
        <w:rPr>
          <w:rFonts w:hint="eastAsia" w:ascii="华文楷体" w:hAnsi="华文楷体" w:eastAsia="华文楷体"/>
          <w:b/>
          <w:bCs/>
          <w:color w:val="auto"/>
          <w:sz w:val="24"/>
          <w:szCs w:val="24"/>
        </w:rPr>
        <w:t>7</w:t>
      </w:r>
      <w:r>
        <w:rPr>
          <w:rFonts w:ascii="华文楷体" w:hAnsi="华文楷体" w:eastAsia="华文楷体"/>
          <w:b/>
          <w:bCs/>
          <w:color w:val="auto"/>
          <w:sz w:val="24"/>
          <w:szCs w:val="24"/>
        </w:rPr>
        <w:t xml:space="preserve"> 经济走廊车流构成</w:t>
      </w:r>
    </w:p>
    <w:p w14:paraId="2348D831">
      <w:pPr>
        <w:ind w:firstLine="480" w:firstLineChars="200"/>
        <w:jc w:val="both"/>
        <w:rPr>
          <w:rFonts w:hint="eastAsia" w:ascii="华文楷体" w:hAnsi="华文楷体" w:eastAsia="华文楷体"/>
          <w:sz w:val="24"/>
        </w:rPr>
      </w:pPr>
      <w:r>
        <w:rPr>
          <w:rFonts w:ascii="华文楷体" w:hAnsi="华文楷体" w:eastAsia="华文楷体"/>
          <w:sz w:val="24"/>
        </w:rPr>
        <w:t>经济走廊车流构成</w:t>
      </w:r>
      <w:bookmarkStart w:id="206" w:name="OLE_LINK37"/>
      <w:r>
        <w:rPr>
          <w:rFonts w:ascii="华文楷体" w:hAnsi="华文楷体" w:eastAsia="华文楷体"/>
          <w:sz w:val="24"/>
        </w:rPr>
        <w:t>旨在</w:t>
      </w:r>
      <w:bookmarkEnd w:id="206"/>
      <w:r>
        <w:rPr>
          <w:rFonts w:ascii="华文楷体" w:hAnsi="华文楷体" w:eastAsia="华文楷体"/>
          <w:sz w:val="24"/>
        </w:rPr>
        <w:t>揭示特定经济走廊上，不同类型车辆</w:t>
      </w:r>
      <w:bookmarkStart w:id="207" w:name="OLE_LINK56"/>
      <w:r>
        <w:rPr>
          <w:rFonts w:ascii="华文楷体" w:hAnsi="华文楷体" w:eastAsia="华文楷体"/>
          <w:sz w:val="24"/>
        </w:rPr>
        <w:t>（</w:t>
      </w:r>
      <w:r>
        <w:rPr>
          <w:rFonts w:hint="eastAsia" w:ascii="华文楷体" w:hAnsi="华文楷体" w:eastAsia="华文楷体"/>
          <w:sz w:val="24"/>
        </w:rPr>
        <w:t>客车、货车</w:t>
      </w:r>
      <w:r>
        <w:rPr>
          <w:rFonts w:ascii="华文楷体" w:hAnsi="华文楷体" w:eastAsia="华文楷体"/>
          <w:sz w:val="24"/>
        </w:rPr>
        <w:t>）</w:t>
      </w:r>
      <w:bookmarkEnd w:id="207"/>
      <w:r>
        <w:rPr>
          <w:rFonts w:ascii="华文楷体" w:hAnsi="华文楷体" w:eastAsia="华文楷体"/>
          <w:sz w:val="24"/>
        </w:rPr>
        <w:t>的流量占比结构。</w:t>
      </w:r>
    </w:p>
    <w:p w14:paraId="3C9A9B7B">
      <w:pPr>
        <w:ind w:firstLine="480" w:firstLineChars="200"/>
        <w:jc w:val="both"/>
        <w:rPr>
          <w:rFonts w:hint="eastAsia" w:ascii="华文楷体" w:hAnsi="华文楷体" w:eastAsia="华文楷体"/>
          <w:sz w:val="24"/>
        </w:rPr>
      </w:pPr>
      <w:r>
        <w:rPr>
          <w:rFonts w:ascii="华文楷体" w:hAnsi="华文楷体" w:eastAsia="华文楷体"/>
          <w:sz w:val="24"/>
        </w:rPr>
        <w:t>不同类型的车辆代表了不同的经济活动。客运车流反映人员往来和消费活力，货运车流则直接关联生产与贸易。在货运内部，轻卡多服务于城市配送和电商，重卡则多服务于大宗原材料和工业品运输。分析其构成变化，可以洞察区域产业结构的变迁。</w:t>
      </w:r>
    </w:p>
    <w:p w14:paraId="124B82B2">
      <w:pPr>
        <w:ind w:firstLine="480" w:firstLineChars="200"/>
        <w:jc w:val="both"/>
        <w:rPr>
          <w:rFonts w:hint="eastAsia" w:ascii="华文楷体" w:hAnsi="华文楷体" w:eastAsia="华文楷体"/>
          <w:sz w:val="24"/>
        </w:rPr>
      </w:pPr>
      <w:r>
        <w:rPr>
          <w:rFonts w:hint="eastAsia" w:ascii="华文楷体" w:hAnsi="华文楷体" w:eastAsia="华文楷体"/>
          <w:sz w:val="24"/>
        </w:rPr>
        <w:t>指标加工逻辑：</w:t>
      </w:r>
      <w:r>
        <w:rPr>
          <w:rFonts w:ascii="华文楷体" w:hAnsi="华文楷体" w:eastAsia="华文楷体"/>
          <w:sz w:val="24"/>
        </w:rPr>
        <w:t>筛选出在指定高速路段行驶的所有车辆，按车型（</w:t>
      </w:r>
      <w:r>
        <w:rPr>
          <w:rFonts w:hint="eastAsia" w:ascii="华文楷体" w:hAnsi="华文楷体" w:eastAsia="华文楷体"/>
          <w:sz w:val="24"/>
        </w:rPr>
        <w:t>客车、货车</w:t>
      </w:r>
      <w:r>
        <w:rPr>
          <w:rFonts w:ascii="华文楷体" w:hAnsi="华文楷体" w:eastAsia="华文楷体"/>
          <w:sz w:val="24"/>
        </w:rPr>
        <w:t>）进行分类统计，计算各类车型的流量占比。</w:t>
      </w:r>
    </w:p>
    <w:p w14:paraId="75E1A54D">
      <w:pPr>
        <w:ind w:firstLine="480" w:firstLineChars="200"/>
        <w:jc w:val="both"/>
        <w:rPr>
          <w:rFonts w:hint="eastAsia" w:ascii="华文楷体" w:hAnsi="华文楷体" w:eastAsia="华文楷体"/>
          <w:sz w:val="24"/>
        </w:rPr>
      </w:pPr>
      <w:r>
        <w:rPr>
          <w:rFonts w:hint="eastAsia" w:ascii="华文楷体" w:hAnsi="华文楷体" w:eastAsia="华文楷体"/>
          <w:sz w:val="24"/>
        </w:rPr>
        <w:t>指标的加工口径如下：</w:t>
      </w:r>
    </w:p>
    <w:p w14:paraId="6C8F757A">
      <w:pPr>
        <w:ind w:firstLine="480" w:firstLineChars="200"/>
        <w:jc w:val="both"/>
        <w:rPr>
          <w:rFonts w:hint="eastAsia" w:ascii="华文楷体" w:hAnsi="华文楷体" w:eastAsia="华文楷体"/>
          <w:sz w:val="24"/>
        </w:rPr>
      </w:pPr>
      <m:oMathPara>
        <m:oMath>
          <m:sSub>
            <m:sSubPr>
              <m:ctrlPr>
                <w:rPr>
                  <w:rFonts w:ascii="Cambria Math" w:hAnsi="Cambria Math" w:eastAsia="华文楷体"/>
                  <w:i/>
                  <w:sz w:val="24"/>
                </w:rPr>
              </m:ctrlPr>
            </m:sSubPr>
            <m:e>
              <m:r>
                <m:rPr/>
                <w:rPr>
                  <w:rFonts w:ascii="Cambria Math" w:hAnsi="Cambria Math" w:eastAsia="华文楷体"/>
                  <w:sz w:val="24"/>
                </w:rPr>
                <m:t>β</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r>
            <m:rPr/>
            <w:rPr>
              <w:rFonts w:ascii="Cambria Math" w:hAnsi="Cambria Math" w:eastAsia="华文楷体"/>
              <w:sz w:val="24"/>
            </w:rPr>
            <m:t>=</m:t>
          </m:r>
          <m:f>
            <m:fPr>
              <m:ctrlPr>
                <w:rPr>
                  <w:rFonts w:ascii="Cambria Math" w:hAnsi="Cambria Math" w:eastAsia="华文楷体"/>
                  <w:i/>
                  <w:sz w:val="24"/>
                </w:rPr>
              </m:ctrlPr>
            </m:fPr>
            <m:num>
              <m:sSub>
                <m:sSubPr>
                  <m:ctrlPr>
                    <w:rPr>
                      <w:rFonts w:ascii="Cambria Math" w:hAnsi="Cambria Math" w:eastAsia="华文楷体"/>
                      <w:i/>
                      <w:sz w:val="24"/>
                    </w:rPr>
                  </m:ctrlPr>
                </m:sSubPr>
                <m:e>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B</m:t>
                  </m:r>
                  <m:ctrlPr>
                    <w:rPr>
                      <w:rFonts w:ascii="Cambria Math" w:hAnsi="Cambria Math" w:eastAsia="华文楷体"/>
                      <w:i/>
                      <w:sz w:val="24"/>
                    </w:rPr>
                  </m:ctrlPr>
                </m:sub>
              </m:sSub>
              <m:ctrlPr>
                <w:rPr>
                  <w:rFonts w:ascii="Cambria Math" w:hAnsi="Cambria Math" w:eastAsia="华文楷体"/>
                  <w:i/>
                  <w:sz w:val="24"/>
                </w:rPr>
              </m:ctrlPr>
            </m:num>
            <m:den>
              <m:r>
                <m:rPr/>
                <w:rPr>
                  <w:rFonts w:ascii="Cambria Math" w:hAnsi="Cambria Math" w:eastAsia="华文楷体"/>
                  <w:sz w:val="24"/>
                </w:rPr>
                <m:t>P</m:t>
              </m:r>
              <m:ctrlPr>
                <w:rPr>
                  <w:rFonts w:ascii="Cambria Math" w:hAnsi="Cambria Math" w:eastAsia="华文楷体"/>
                  <w:i/>
                  <w:sz w:val="24"/>
                </w:rPr>
              </m:ctrlPr>
            </m:den>
          </m:f>
        </m:oMath>
      </m:oMathPara>
    </w:p>
    <w:p w14:paraId="569AC8EC">
      <w:pPr>
        <w:ind w:firstLine="480" w:firstLineChars="200"/>
        <w:jc w:val="both"/>
        <w:rPr>
          <w:rFonts w:hint="eastAsia" w:ascii="华文楷体" w:hAnsi="华文楷体" w:eastAsia="华文楷体"/>
          <w:sz w:val="24"/>
        </w:rPr>
      </w:pPr>
      <m:oMathPara>
        <m:oMath>
          <m:sSub>
            <m:sSubPr>
              <m:ctrlPr>
                <w:rPr>
                  <w:rFonts w:ascii="Cambria Math" w:hAnsi="Cambria Math" w:eastAsia="华文楷体"/>
                  <w:i/>
                  <w:sz w:val="24"/>
                </w:rPr>
              </m:ctrlPr>
            </m:sSubPr>
            <m:e>
              <m:r>
                <m:rPr/>
                <w:rPr>
                  <w:rFonts w:ascii="Cambria Math" w:hAnsi="Cambria Math" w:eastAsia="华文楷体"/>
                  <w:sz w:val="24"/>
                </w:rPr>
                <m:t>β</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r>
            <m:rPr/>
            <w:rPr>
              <w:rFonts w:ascii="Cambria Math" w:hAnsi="Cambria Math" w:eastAsia="华文楷体"/>
              <w:sz w:val="24"/>
            </w:rPr>
            <m:t>=</m:t>
          </m:r>
          <m:f>
            <m:fPr>
              <m:ctrlPr>
                <w:rPr>
                  <w:rFonts w:ascii="Cambria Math" w:hAnsi="Cambria Math" w:eastAsia="华文楷体"/>
                  <w:i/>
                  <w:sz w:val="24"/>
                </w:rPr>
              </m:ctrlPr>
            </m:fPr>
            <m:num>
              <m:sSub>
                <m:sSubPr>
                  <m:ctrlPr>
                    <w:rPr>
                      <w:rFonts w:ascii="Cambria Math" w:hAnsi="Cambria Math" w:eastAsia="华文楷体"/>
                      <w:i/>
                      <w:sz w:val="24"/>
                    </w:rPr>
                  </m:ctrlPr>
                </m:sSubPr>
                <m:e>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T</m:t>
                  </m:r>
                  <m:ctrlPr>
                    <w:rPr>
                      <w:rFonts w:ascii="Cambria Math" w:hAnsi="Cambria Math" w:eastAsia="华文楷体"/>
                      <w:i/>
                      <w:sz w:val="24"/>
                    </w:rPr>
                  </m:ctrlPr>
                </m:sub>
              </m:sSub>
              <m:ctrlPr>
                <w:rPr>
                  <w:rFonts w:ascii="Cambria Math" w:hAnsi="Cambria Math" w:eastAsia="华文楷体"/>
                  <w:i/>
                  <w:sz w:val="24"/>
                </w:rPr>
              </m:ctrlPr>
            </m:num>
            <m:den>
              <m:r>
                <m:rPr/>
                <w:rPr>
                  <w:rFonts w:ascii="Cambria Math" w:hAnsi="Cambria Math" w:eastAsia="华文楷体"/>
                  <w:sz w:val="24"/>
                </w:rPr>
                <m:t>P</m:t>
              </m:r>
              <m:ctrlPr>
                <w:rPr>
                  <w:rFonts w:ascii="Cambria Math" w:hAnsi="Cambria Math" w:eastAsia="华文楷体"/>
                  <w:i/>
                  <w:sz w:val="24"/>
                </w:rPr>
              </m:ctrlPr>
            </m:den>
          </m:f>
        </m:oMath>
      </m:oMathPara>
    </w:p>
    <w:p w14:paraId="29F9C37D">
      <w:pPr>
        <w:ind w:firstLine="480" w:firstLineChars="200"/>
        <w:jc w:val="both"/>
        <w:rPr>
          <w:rFonts w:hint="eastAsia" w:ascii="华文楷体" w:hAnsi="华文楷体" w:eastAsia="华文楷体"/>
          <w:sz w:val="24"/>
        </w:rPr>
      </w:pPr>
      <w:r>
        <w:rPr>
          <w:rFonts w:hint="eastAsia" w:ascii="华文楷体" w:hAnsi="华文楷体" w:eastAsia="华文楷体"/>
          <w:sz w:val="24"/>
        </w:rPr>
        <w:t>上式中，</w:t>
      </w:r>
      <m:oMath>
        <m:r>
          <m:rPr/>
          <w:rPr>
            <w:rFonts w:ascii="Cambria Math" w:hAnsi="Cambria Math" w:eastAsia="华文楷体"/>
            <w:sz w:val="24"/>
          </w:rPr>
          <m:t>P</m:t>
        </m:r>
      </m:oMath>
      <w:r>
        <w:rPr>
          <w:rFonts w:hint="eastAsia" w:ascii="华文楷体" w:hAnsi="华文楷体" w:eastAsia="华文楷体"/>
          <w:sz w:val="24"/>
        </w:rPr>
        <w:t>表示所有</w:t>
      </w:r>
      <w:bookmarkStart w:id="208" w:name="OLE_LINK77"/>
      <w:r>
        <w:rPr>
          <w:rFonts w:hint="eastAsia" w:ascii="华文楷体" w:hAnsi="华文楷体" w:eastAsia="华文楷体"/>
          <w:sz w:val="24"/>
        </w:rPr>
        <w:t>车型车辆流量汇总</w:t>
      </w:r>
      <w:bookmarkEnd w:id="208"/>
      <w:r>
        <w:rPr>
          <w:rFonts w:hint="eastAsia" w:ascii="华文楷体" w:hAnsi="华文楷体" w:eastAsia="华文楷体"/>
          <w:sz w:val="24"/>
        </w:rPr>
        <w:t>，</w:t>
      </w:r>
      <m:oMath>
        <m:sSub>
          <m:sSubPr>
            <m:ctrlPr>
              <w:rPr>
                <w:rFonts w:ascii="Cambria Math" w:hAnsi="Cambria Math" w:eastAsia="华文楷体"/>
                <w:i/>
                <w:sz w:val="24"/>
              </w:rPr>
            </m:ctrlPr>
          </m:sSubPr>
          <m:e>
            <m:r>
              <m:rPr/>
              <w:rPr>
                <w:rFonts w:ascii="Cambria Math" w:hAnsi="Cambria Math" w:eastAsia="华文楷体"/>
                <w:sz w:val="24"/>
              </w:rPr>
              <m:t>β</m:t>
            </m:r>
            <m:ctrlPr>
              <w:rPr>
                <w:rFonts w:ascii="Cambria Math" w:hAnsi="Cambria Math" w:eastAsia="华文楷体"/>
                <w:i/>
                <w:sz w:val="24"/>
              </w:rPr>
            </m:ctrlPr>
          </m:e>
          <m:sub>
            <m:r>
              <m:rPr/>
              <w:rPr>
                <w:rFonts w:ascii="Cambria Math" w:hAnsi="Cambria Math" w:eastAsia="华文楷体"/>
                <w:sz w:val="24"/>
              </w:rPr>
              <m:t>1</m:t>
            </m:r>
            <m:ctrlPr>
              <w:rPr>
                <w:rFonts w:ascii="Cambria Math" w:hAnsi="Cambria Math" w:eastAsia="华文楷体"/>
                <w:i/>
                <w:sz w:val="24"/>
              </w:rPr>
            </m:ctrlPr>
          </m:sub>
        </m:sSub>
      </m:oMath>
      <w:r>
        <w:rPr>
          <w:rFonts w:hint="eastAsia" w:ascii="华文楷体" w:hAnsi="华文楷体" w:eastAsia="华文楷体"/>
          <w:sz w:val="24"/>
        </w:rPr>
        <w:t>表示</w:t>
      </w:r>
      <w:r>
        <w:rPr>
          <w:rFonts w:ascii="华文楷体" w:hAnsi="华文楷体" w:eastAsia="华文楷体"/>
          <w:sz w:val="24"/>
        </w:rPr>
        <w:t>客车</w:t>
      </w:r>
      <w:r>
        <w:rPr>
          <w:rFonts w:hint="eastAsia" w:ascii="华文楷体" w:hAnsi="华文楷体" w:eastAsia="华文楷体"/>
          <w:sz w:val="24"/>
        </w:rPr>
        <w:t>流量占比，</w:t>
      </w:r>
      <m:oMath>
        <m:sSub>
          <m:sSubPr>
            <m:ctrlPr>
              <w:rPr>
                <w:rFonts w:ascii="Cambria Math" w:hAnsi="Cambria Math" w:eastAsia="华文楷体"/>
                <w:i/>
                <w:sz w:val="24"/>
              </w:rPr>
            </m:ctrlPr>
          </m:sSubPr>
          <m:e>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B</m:t>
            </m:r>
            <m:ctrlPr>
              <w:rPr>
                <w:rFonts w:ascii="Cambria Math" w:hAnsi="Cambria Math" w:eastAsia="华文楷体"/>
                <w:i/>
                <w:sz w:val="24"/>
              </w:rPr>
            </m:ctrlPr>
          </m:sub>
        </m:sSub>
      </m:oMath>
      <w:r>
        <w:rPr>
          <w:rFonts w:hint="eastAsia" w:ascii="华文楷体" w:hAnsi="华文楷体" w:eastAsia="华文楷体"/>
          <w:sz w:val="24"/>
        </w:rPr>
        <w:t>表示</w:t>
      </w:r>
      <w:r>
        <w:rPr>
          <w:rFonts w:ascii="华文楷体" w:hAnsi="华文楷体" w:eastAsia="华文楷体"/>
          <w:sz w:val="24"/>
        </w:rPr>
        <w:t>客车</w:t>
      </w:r>
      <w:r>
        <w:rPr>
          <w:rFonts w:hint="eastAsia" w:ascii="华文楷体" w:hAnsi="华文楷体" w:eastAsia="华文楷体"/>
          <w:sz w:val="24"/>
        </w:rPr>
        <w:t>流量，</w:t>
      </w:r>
      <m:oMath>
        <m:sSub>
          <m:sSubPr>
            <m:ctrlPr>
              <w:rPr>
                <w:rFonts w:ascii="Cambria Math" w:hAnsi="Cambria Math" w:eastAsia="华文楷体"/>
                <w:i/>
                <w:sz w:val="24"/>
              </w:rPr>
            </m:ctrlPr>
          </m:sSubPr>
          <m:e>
            <m:r>
              <m:rPr/>
              <w:rPr>
                <w:rFonts w:ascii="Cambria Math" w:hAnsi="Cambria Math" w:eastAsia="华文楷体"/>
                <w:sz w:val="24"/>
              </w:rPr>
              <m:t>β</m:t>
            </m:r>
            <m:ctrlPr>
              <w:rPr>
                <w:rFonts w:ascii="Cambria Math" w:hAnsi="Cambria Math" w:eastAsia="华文楷体"/>
                <w:i/>
                <w:sz w:val="24"/>
              </w:rPr>
            </m:ctrlPr>
          </m:e>
          <m:sub>
            <m:r>
              <m:rPr/>
              <w:rPr>
                <w:rFonts w:ascii="Cambria Math" w:hAnsi="Cambria Math" w:eastAsia="华文楷体"/>
                <w:sz w:val="24"/>
              </w:rPr>
              <m:t>2</m:t>
            </m:r>
            <m:ctrlPr>
              <w:rPr>
                <w:rFonts w:ascii="Cambria Math" w:hAnsi="Cambria Math" w:eastAsia="华文楷体"/>
                <w:i/>
                <w:sz w:val="24"/>
              </w:rPr>
            </m:ctrlPr>
          </m:sub>
        </m:sSub>
      </m:oMath>
      <w:r>
        <w:rPr>
          <w:rFonts w:hint="eastAsia" w:ascii="华文楷体" w:hAnsi="华文楷体" w:eastAsia="华文楷体"/>
          <w:sz w:val="24"/>
        </w:rPr>
        <w:t>表示货车流量占比，</w:t>
      </w:r>
      <m:oMath>
        <m:sSub>
          <m:sSubPr>
            <m:ctrlPr>
              <w:rPr>
                <w:rFonts w:ascii="Cambria Math" w:hAnsi="Cambria Math" w:eastAsia="华文楷体"/>
                <w:i/>
                <w:sz w:val="24"/>
              </w:rPr>
            </m:ctrlPr>
          </m:sSubPr>
          <m:e>
            <m:r>
              <m:rPr/>
              <w:rPr>
                <w:rFonts w:ascii="Cambria Math" w:hAnsi="Cambria Math" w:eastAsia="华文楷体"/>
                <w:sz w:val="24"/>
              </w:rPr>
              <m:t>P</m:t>
            </m:r>
            <m:ctrlPr>
              <w:rPr>
                <w:rFonts w:ascii="Cambria Math" w:hAnsi="Cambria Math" w:eastAsia="华文楷体"/>
                <w:i/>
                <w:sz w:val="24"/>
              </w:rPr>
            </m:ctrlPr>
          </m:e>
          <m:sub>
            <m:r>
              <m:rPr/>
              <w:rPr>
                <w:rFonts w:ascii="Cambria Math" w:hAnsi="Cambria Math" w:eastAsia="华文楷体"/>
                <w:sz w:val="24"/>
              </w:rPr>
              <m:t>T</m:t>
            </m:r>
            <m:ctrlPr>
              <w:rPr>
                <w:rFonts w:ascii="Cambria Math" w:hAnsi="Cambria Math" w:eastAsia="华文楷体"/>
                <w:i/>
                <w:sz w:val="24"/>
              </w:rPr>
            </m:ctrlPr>
          </m:sub>
        </m:sSub>
      </m:oMath>
      <w:r>
        <w:rPr>
          <w:rFonts w:hint="eastAsia" w:ascii="华文楷体" w:hAnsi="华文楷体" w:eastAsia="华文楷体"/>
          <w:sz w:val="24"/>
        </w:rPr>
        <w:t>表示货车流量。</w:t>
      </w:r>
    </w:p>
    <w:p w14:paraId="4F0BD814">
      <w:pPr>
        <w:ind w:firstLine="480" w:firstLineChars="200"/>
        <w:jc w:val="both"/>
        <w:rPr>
          <w:rFonts w:hint="eastAsia" w:ascii="华文楷体" w:hAnsi="华文楷体" w:eastAsia="华文楷体"/>
          <w:sz w:val="24"/>
        </w:rPr>
      </w:pPr>
      <w:r>
        <w:rPr>
          <w:rFonts w:ascii="华文楷体" w:hAnsi="华文楷体" w:eastAsia="华文楷体"/>
          <w:sz w:val="24"/>
        </w:rPr>
        <w:t>经济走廊车流构成通过分析特定经济走廊上不同类型车辆</w:t>
      </w:r>
      <w:r>
        <w:rPr>
          <w:rFonts w:hint="eastAsia" w:ascii="华文楷体" w:hAnsi="华文楷体" w:eastAsia="华文楷体"/>
          <w:sz w:val="24"/>
        </w:rPr>
        <w:t>（客车、货车）</w:t>
      </w:r>
      <w:r>
        <w:rPr>
          <w:rFonts w:ascii="华文楷体" w:hAnsi="华文楷体" w:eastAsia="华文楷体"/>
          <w:sz w:val="24"/>
        </w:rPr>
        <w:t>的流量占比结构，揭示了不同经济活动的特征，为洞察区域产业结构变迁提供数据支撑，帮助识别区域经济活动的特征和趋势。</w:t>
      </w:r>
    </w:p>
    <w:p w14:paraId="77AF01CE">
      <w:pPr>
        <w:pStyle w:val="2"/>
        <w:adjustRightInd w:val="0"/>
        <w:snapToGrid w:val="0"/>
        <w:spacing w:line="288" w:lineRule="auto"/>
        <w:jc w:val="center"/>
        <w:rPr>
          <w:rFonts w:hint="eastAsia" w:ascii="华文楷体" w:hAnsi="华文楷体" w:eastAsia="华文楷体"/>
          <w:b/>
          <w:bCs/>
          <w:color w:val="auto"/>
          <w:sz w:val="28"/>
          <w:szCs w:val="28"/>
        </w:rPr>
      </w:pPr>
      <w:r>
        <w:rPr>
          <w:rFonts w:hint="eastAsia" w:ascii="华文楷体" w:hAnsi="华文楷体" w:eastAsia="华文楷体"/>
          <w:b/>
          <w:bCs/>
          <w:color w:val="auto"/>
          <w:sz w:val="28"/>
          <w:szCs w:val="28"/>
        </w:rPr>
        <w:t>附录B报告</w:t>
      </w:r>
      <w:r>
        <w:rPr>
          <w:rFonts w:ascii="华文楷体" w:hAnsi="华文楷体" w:eastAsia="华文楷体"/>
          <w:b/>
          <w:bCs/>
          <w:color w:val="auto"/>
          <w:sz w:val="28"/>
          <w:szCs w:val="28"/>
        </w:rPr>
        <w:t>应用场景与</w:t>
      </w:r>
      <w:r>
        <w:rPr>
          <w:rFonts w:hint="eastAsia" w:ascii="华文楷体" w:hAnsi="华文楷体" w:eastAsia="华文楷体"/>
          <w:b/>
          <w:bCs/>
          <w:color w:val="auto"/>
          <w:sz w:val="28"/>
          <w:szCs w:val="28"/>
        </w:rPr>
        <w:t>使用说明</w:t>
      </w:r>
    </w:p>
    <w:bookmarkEnd w:id="200"/>
    <w:p w14:paraId="7DA83C21">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.1 政府宏观经济监测与政策评估</w:t>
      </w:r>
    </w:p>
    <w:p w14:paraId="008CBCDA">
      <w:pPr>
        <w:ind w:firstLine="480" w:firstLineChars="200"/>
        <w:jc w:val="both"/>
        <w:rPr>
          <w:rFonts w:hint="eastAsia" w:ascii="华文楷体" w:hAnsi="华文楷体" w:eastAsia="华文楷体"/>
          <w:sz w:val="24"/>
        </w:rPr>
      </w:pPr>
      <w:r>
        <w:rPr>
          <w:rFonts w:ascii="华文楷体" w:hAnsi="华文楷体" w:eastAsia="华文楷体"/>
          <w:sz w:val="24"/>
        </w:rPr>
        <w:t>政府在制定区域经济政策前，需要了解当前经济运行状况；政策实施后，需要评估政策效果。</w:t>
      </w:r>
      <w:bookmarkStart w:id="209" w:name="OLE_LINK13"/>
      <w:r>
        <w:rPr>
          <w:rFonts w:hint="eastAsia" w:ascii="华文楷体" w:hAnsi="华文楷体" w:eastAsia="华文楷体"/>
          <w:sz w:val="24"/>
        </w:rPr>
        <w:t>“交通看·区域经济”</w:t>
      </w:r>
      <w:bookmarkEnd w:id="209"/>
      <w:bookmarkStart w:id="210" w:name="OLE_LINK152"/>
      <w:r>
        <w:rPr>
          <w:rFonts w:ascii="华文楷体" w:hAnsi="华文楷体" w:eastAsia="华文楷体"/>
          <w:sz w:val="24"/>
        </w:rPr>
        <w:t>产业研究报告</w:t>
      </w:r>
      <w:bookmarkEnd w:id="210"/>
      <w:r>
        <w:rPr>
          <w:rFonts w:ascii="华文楷体" w:hAnsi="华文楷体" w:eastAsia="华文楷体"/>
          <w:sz w:val="24"/>
        </w:rPr>
        <w:t>为政府提供客观、颗粒度细的经济运行</w:t>
      </w:r>
      <w:r>
        <w:rPr>
          <w:rFonts w:hint="eastAsia" w:ascii="华文楷体" w:hAnsi="华文楷体" w:eastAsia="华文楷体"/>
          <w:sz w:val="24"/>
        </w:rPr>
        <w:t>分析</w:t>
      </w:r>
      <w:r>
        <w:rPr>
          <w:rFonts w:ascii="华文楷体" w:hAnsi="华文楷体" w:eastAsia="华文楷体"/>
          <w:sz w:val="24"/>
        </w:rPr>
        <w:t>工具。</w:t>
      </w:r>
    </w:p>
    <w:p w14:paraId="08EF1641">
      <w:pPr>
        <w:ind w:firstLine="480" w:firstLineChars="200"/>
        <w:jc w:val="both"/>
        <w:rPr>
          <w:rFonts w:hint="eastAsia" w:ascii="华文楷体" w:hAnsi="华文楷体" w:eastAsia="华文楷体"/>
          <w:sz w:val="24"/>
        </w:rPr>
      </w:pPr>
      <w:r>
        <w:rPr>
          <w:rFonts w:ascii="华文楷体" w:hAnsi="华文楷体" w:eastAsia="华文楷体"/>
          <w:sz w:val="24"/>
        </w:rPr>
        <w:t>通过区域经济活力</w:t>
      </w:r>
      <w:bookmarkStart w:id="211" w:name="OLE_LINK225"/>
      <w:r>
        <w:rPr>
          <w:rFonts w:hint="eastAsia" w:ascii="华文楷体" w:hAnsi="华文楷体" w:eastAsia="华文楷体"/>
          <w:sz w:val="24"/>
        </w:rPr>
        <w:t>分析</w:t>
      </w:r>
      <w:bookmarkEnd w:id="211"/>
      <w:r>
        <w:rPr>
          <w:rFonts w:ascii="华文楷体" w:hAnsi="华文楷体" w:eastAsia="华文楷体"/>
          <w:sz w:val="24"/>
        </w:rPr>
        <w:t>、城际经济连接</w:t>
      </w:r>
      <w:r>
        <w:rPr>
          <w:rFonts w:hint="eastAsia" w:ascii="华文楷体" w:hAnsi="华文楷体" w:eastAsia="华文楷体"/>
          <w:sz w:val="24"/>
        </w:rPr>
        <w:t>分析</w:t>
      </w:r>
      <w:r>
        <w:rPr>
          <w:rFonts w:ascii="华文楷体" w:hAnsi="华文楷体" w:eastAsia="华文楷体"/>
          <w:sz w:val="24"/>
        </w:rPr>
        <w:t>，政府可在政策制定前获取实时经济态势，避免</w:t>
      </w:r>
      <w:r>
        <w:rPr>
          <w:rFonts w:hint="eastAsia" w:ascii="华文楷体" w:hAnsi="华文楷体" w:eastAsia="华文楷体"/>
          <w:sz w:val="24"/>
        </w:rPr>
        <w:t>“</w:t>
      </w:r>
      <w:r>
        <w:rPr>
          <w:rFonts w:ascii="华文楷体" w:hAnsi="华文楷体" w:eastAsia="华文楷体"/>
          <w:sz w:val="24"/>
        </w:rPr>
        <w:t>拍脑袋</w:t>
      </w:r>
      <w:r>
        <w:rPr>
          <w:rFonts w:hint="eastAsia" w:ascii="华文楷体" w:hAnsi="华文楷体" w:eastAsia="华文楷体"/>
          <w:sz w:val="24"/>
        </w:rPr>
        <w:t>”</w:t>
      </w:r>
      <w:r>
        <w:rPr>
          <w:rFonts w:ascii="华文楷体" w:hAnsi="华文楷体" w:eastAsia="华文楷体"/>
          <w:sz w:val="24"/>
        </w:rPr>
        <w:t>决策。可缩短政策制定周期，提升政策</w:t>
      </w:r>
      <w:r>
        <w:rPr>
          <w:rFonts w:hint="eastAsia" w:ascii="华文楷体" w:hAnsi="华文楷体" w:eastAsia="华文楷体"/>
          <w:sz w:val="24"/>
        </w:rPr>
        <w:t>的</w:t>
      </w:r>
      <w:r>
        <w:rPr>
          <w:rFonts w:ascii="华文楷体" w:hAnsi="华文楷体" w:eastAsia="华文楷体"/>
          <w:sz w:val="24"/>
        </w:rPr>
        <w:t>精准度。</w:t>
      </w:r>
    </w:p>
    <w:p w14:paraId="42533D3C">
      <w:pPr>
        <w:ind w:firstLine="480" w:firstLineChars="200"/>
        <w:jc w:val="both"/>
        <w:rPr>
          <w:rFonts w:hint="eastAsia" w:ascii="华文楷体" w:hAnsi="华文楷体" w:eastAsia="华文楷体"/>
          <w:sz w:val="24"/>
        </w:rPr>
      </w:pPr>
      <w:r>
        <w:rPr>
          <w:rFonts w:ascii="华文楷体" w:hAnsi="华文楷体" w:eastAsia="华文楷体"/>
          <w:sz w:val="24"/>
        </w:rPr>
        <w:t>通过监测区域经济活力</w:t>
      </w:r>
      <w:r>
        <w:rPr>
          <w:rFonts w:hint="eastAsia" w:ascii="华文楷体" w:hAnsi="华文楷体" w:eastAsia="华文楷体"/>
          <w:sz w:val="24"/>
        </w:rPr>
        <w:t>分析</w:t>
      </w:r>
      <w:r>
        <w:rPr>
          <w:rFonts w:ascii="华文楷体" w:hAnsi="华文楷体" w:eastAsia="华文楷体"/>
          <w:sz w:val="24"/>
        </w:rPr>
        <w:t>、</w:t>
      </w:r>
      <w:r>
        <w:rPr>
          <w:rFonts w:hint="eastAsia" w:ascii="华文楷体" w:hAnsi="华文楷体" w:eastAsia="华文楷体"/>
          <w:sz w:val="24"/>
        </w:rPr>
        <w:t>区域</w:t>
      </w:r>
      <w:r>
        <w:rPr>
          <w:rFonts w:ascii="华文楷体" w:hAnsi="华文楷体" w:eastAsia="华文楷体"/>
          <w:sz w:val="24"/>
        </w:rPr>
        <w:t>物流</w:t>
      </w:r>
      <w:r>
        <w:rPr>
          <w:rFonts w:hint="eastAsia" w:ascii="华文楷体" w:hAnsi="华文楷体" w:eastAsia="华文楷体"/>
          <w:sz w:val="24"/>
        </w:rPr>
        <w:t>活力分析</w:t>
      </w:r>
      <w:r>
        <w:rPr>
          <w:rFonts w:ascii="华文楷体" w:hAnsi="华文楷体" w:eastAsia="华文楷体"/>
          <w:sz w:val="24"/>
        </w:rPr>
        <w:t>，政府可提前识别经济风险点</w:t>
      </w:r>
      <w:r>
        <w:rPr>
          <w:rFonts w:hint="eastAsia" w:ascii="华文楷体" w:hAnsi="华文楷体" w:eastAsia="华文楷体"/>
          <w:sz w:val="24"/>
        </w:rPr>
        <w:t>，</w:t>
      </w:r>
      <w:r>
        <w:rPr>
          <w:rFonts w:ascii="华文楷体" w:hAnsi="华文楷体" w:eastAsia="华文楷体"/>
          <w:sz w:val="24"/>
        </w:rPr>
        <w:t>提升经济风险预警准确率，</w:t>
      </w:r>
      <w:r>
        <w:rPr>
          <w:rFonts w:hint="eastAsia" w:ascii="华文楷体" w:hAnsi="华文楷体" w:eastAsia="华文楷体"/>
          <w:sz w:val="24"/>
        </w:rPr>
        <w:t>缩短</w:t>
      </w:r>
      <w:r>
        <w:rPr>
          <w:rFonts w:ascii="华文楷体" w:hAnsi="华文楷体" w:eastAsia="华文楷体"/>
          <w:sz w:val="24"/>
        </w:rPr>
        <w:t>风险应对时间。</w:t>
      </w:r>
    </w:p>
    <w:p w14:paraId="5EBF405F">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.2 产业园区招商与规划</w:t>
      </w:r>
    </w:p>
    <w:p w14:paraId="3CADC0EF">
      <w:pPr>
        <w:ind w:firstLine="480" w:firstLineChars="200"/>
        <w:jc w:val="both"/>
        <w:rPr>
          <w:rFonts w:hint="eastAsia" w:ascii="华文楷体" w:hAnsi="华文楷体" w:eastAsia="华文楷体"/>
          <w:sz w:val="24"/>
        </w:rPr>
      </w:pPr>
      <w:r>
        <w:rPr>
          <w:rFonts w:ascii="华文楷体" w:hAnsi="华文楷体" w:eastAsia="华文楷体"/>
          <w:sz w:val="24"/>
        </w:rPr>
        <w:t>产业园区在招商前，需要了解自身与周边地区的经济联系；在规划中，需要了解物流条件和产业配套；在运营中，需要评估产业聚集度和物流效率。</w:t>
      </w:r>
    </w:p>
    <w:p w14:paraId="5052E733">
      <w:pPr>
        <w:ind w:firstLine="480" w:firstLineChars="200"/>
        <w:jc w:val="both"/>
        <w:rPr>
          <w:rFonts w:hint="eastAsia" w:ascii="华文楷体" w:hAnsi="华文楷体" w:eastAsia="华文楷体"/>
          <w:sz w:val="24"/>
        </w:rPr>
      </w:pPr>
      <w:r>
        <w:rPr>
          <w:rFonts w:ascii="华文楷体" w:hAnsi="华文楷体" w:eastAsia="华文楷体"/>
          <w:sz w:val="24"/>
        </w:rPr>
        <w:t>通过城际经济连接度</w:t>
      </w:r>
      <w:r>
        <w:rPr>
          <w:rFonts w:hint="eastAsia" w:ascii="华文楷体" w:hAnsi="华文楷体" w:eastAsia="华文楷体"/>
          <w:sz w:val="24"/>
        </w:rPr>
        <w:t>分析、</w:t>
      </w:r>
      <w:r>
        <w:rPr>
          <w:rFonts w:ascii="华文楷体" w:hAnsi="华文楷体" w:eastAsia="华文楷体"/>
          <w:sz w:val="24"/>
        </w:rPr>
        <w:t>经济走廊车流分析</w:t>
      </w:r>
      <w:r>
        <w:rPr>
          <w:rFonts w:hint="eastAsia" w:ascii="华文楷体" w:hAnsi="华文楷体" w:eastAsia="华文楷体"/>
          <w:sz w:val="24"/>
        </w:rPr>
        <w:t>和产业链聚集度分析</w:t>
      </w:r>
      <w:r>
        <w:rPr>
          <w:rFonts w:ascii="华文楷体" w:hAnsi="华文楷体" w:eastAsia="华文楷体"/>
          <w:sz w:val="24"/>
        </w:rPr>
        <w:t>，精准识别与产业园区经济联系最紧密的城市群和产业链条，提高招商精准度</w:t>
      </w:r>
      <w:r>
        <w:rPr>
          <w:rFonts w:hint="eastAsia" w:ascii="华文楷体" w:hAnsi="华文楷体" w:eastAsia="华文楷体"/>
          <w:sz w:val="24"/>
        </w:rPr>
        <w:t>，</w:t>
      </w:r>
      <w:r>
        <w:rPr>
          <w:rFonts w:ascii="华文楷体" w:hAnsi="华文楷体" w:eastAsia="华文楷体"/>
          <w:sz w:val="24"/>
        </w:rPr>
        <w:t>提升招商成功率，缩短招商周期。</w:t>
      </w:r>
    </w:p>
    <w:p w14:paraId="14735C92">
      <w:pPr>
        <w:ind w:firstLine="480" w:firstLineChars="200"/>
        <w:jc w:val="both"/>
        <w:rPr>
          <w:rFonts w:hint="eastAsia" w:ascii="华文楷体" w:hAnsi="华文楷体" w:eastAsia="华文楷体"/>
          <w:sz w:val="24"/>
        </w:rPr>
      </w:pPr>
      <w:r>
        <w:rPr>
          <w:rFonts w:ascii="华文楷体" w:hAnsi="华文楷体" w:eastAsia="华文楷体"/>
          <w:sz w:val="24"/>
        </w:rPr>
        <w:t>通过区域物流</w:t>
      </w:r>
      <w:r>
        <w:rPr>
          <w:rFonts w:hint="eastAsia" w:ascii="华文楷体" w:hAnsi="华文楷体" w:eastAsia="华文楷体"/>
          <w:sz w:val="24"/>
        </w:rPr>
        <w:t>活力分析</w:t>
      </w:r>
      <w:r>
        <w:rPr>
          <w:rFonts w:ascii="华文楷体" w:hAnsi="华文楷体" w:eastAsia="华文楷体"/>
          <w:sz w:val="24"/>
        </w:rPr>
        <w:t>和经济走廊车流</w:t>
      </w:r>
      <w:r>
        <w:rPr>
          <w:rFonts w:hint="eastAsia" w:ascii="华文楷体" w:hAnsi="华文楷体" w:eastAsia="华文楷体"/>
          <w:sz w:val="24"/>
        </w:rPr>
        <w:t>分析</w:t>
      </w:r>
      <w:r>
        <w:rPr>
          <w:rFonts w:ascii="华文楷体" w:hAnsi="华文楷体" w:eastAsia="华文楷体"/>
          <w:sz w:val="24"/>
        </w:rPr>
        <w:t>，评估产业园区的物流条件和产业承载能力，优化园区基础设施规划</w:t>
      </w:r>
      <w:r>
        <w:rPr>
          <w:rFonts w:hint="eastAsia" w:ascii="华文楷体" w:hAnsi="华文楷体" w:eastAsia="华文楷体"/>
          <w:sz w:val="24"/>
        </w:rPr>
        <w:t>，</w:t>
      </w:r>
      <w:r>
        <w:rPr>
          <w:rFonts w:ascii="华文楷体" w:hAnsi="华文楷体" w:eastAsia="华文楷体"/>
          <w:sz w:val="24"/>
        </w:rPr>
        <w:t>提升园区基础设施投资回报率</w:t>
      </w:r>
      <w:r>
        <w:rPr>
          <w:rFonts w:hint="eastAsia" w:ascii="华文楷体" w:hAnsi="华文楷体" w:eastAsia="华文楷体"/>
          <w:sz w:val="24"/>
        </w:rPr>
        <w:t>以及</w:t>
      </w:r>
      <w:r>
        <w:rPr>
          <w:rFonts w:ascii="华文楷体" w:hAnsi="华文楷体" w:eastAsia="华文楷体"/>
          <w:sz w:val="24"/>
        </w:rPr>
        <w:t>园区</w:t>
      </w:r>
      <w:r>
        <w:rPr>
          <w:rFonts w:hint="eastAsia" w:ascii="华文楷体" w:hAnsi="华文楷体" w:eastAsia="华文楷体"/>
          <w:sz w:val="24"/>
        </w:rPr>
        <w:t>的</w:t>
      </w:r>
      <w:r>
        <w:rPr>
          <w:rFonts w:ascii="华文楷体" w:hAnsi="华文楷体" w:eastAsia="华文楷体"/>
          <w:sz w:val="24"/>
        </w:rPr>
        <w:t>入驻率。</w:t>
      </w:r>
    </w:p>
    <w:p w14:paraId="081A84B0">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.3 产业链供应链优化</w:t>
      </w:r>
    </w:p>
    <w:p w14:paraId="583143C3">
      <w:pPr>
        <w:ind w:firstLine="480" w:firstLineChars="200"/>
        <w:jc w:val="both"/>
        <w:rPr>
          <w:rFonts w:hint="eastAsia" w:ascii="华文楷体" w:hAnsi="华文楷体" w:eastAsia="华文楷体"/>
          <w:sz w:val="24"/>
        </w:rPr>
      </w:pPr>
      <w:r>
        <w:rPr>
          <w:rFonts w:ascii="华文楷体" w:hAnsi="华文楷体" w:eastAsia="华文楷体"/>
          <w:sz w:val="24"/>
        </w:rPr>
        <w:t>企业需要了解自身供应链的稳定性和效率，优化</w:t>
      </w:r>
      <w:bookmarkStart w:id="212" w:name="OLE_LINK14"/>
      <w:r>
        <w:rPr>
          <w:rFonts w:ascii="华文楷体" w:hAnsi="华文楷体" w:eastAsia="华文楷体"/>
          <w:sz w:val="24"/>
        </w:rPr>
        <w:t>供应商</w:t>
      </w:r>
      <w:bookmarkEnd w:id="212"/>
      <w:r>
        <w:rPr>
          <w:rFonts w:ascii="华文楷体" w:hAnsi="华文楷体" w:eastAsia="华文楷体"/>
          <w:sz w:val="24"/>
        </w:rPr>
        <w:t>选择和物流路径；政府需要了解区域产业链的完整性和协同性，制定产业政策。</w:t>
      </w:r>
    </w:p>
    <w:p w14:paraId="51ECADA2">
      <w:pPr>
        <w:ind w:firstLine="480" w:firstLineChars="200"/>
        <w:jc w:val="both"/>
        <w:rPr>
          <w:rFonts w:hint="eastAsia" w:ascii="华文楷体" w:hAnsi="华文楷体" w:eastAsia="华文楷体"/>
          <w:sz w:val="24"/>
        </w:rPr>
      </w:pPr>
      <w:r>
        <w:rPr>
          <w:rFonts w:ascii="华文楷体" w:hAnsi="华文楷体" w:eastAsia="华文楷体"/>
          <w:sz w:val="24"/>
        </w:rPr>
        <w:t>通过区域物流</w:t>
      </w:r>
      <w:r>
        <w:rPr>
          <w:rFonts w:hint="eastAsia" w:ascii="华文楷体" w:hAnsi="华文楷体" w:eastAsia="华文楷体"/>
          <w:sz w:val="24"/>
        </w:rPr>
        <w:t>活力分析</w:t>
      </w:r>
      <w:r>
        <w:rPr>
          <w:rFonts w:ascii="华文楷体" w:hAnsi="华文楷体" w:eastAsia="华文楷体"/>
          <w:sz w:val="24"/>
        </w:rPr>
        <w:t>，企业可优化物流路径，降低运输成本</w:t>
      </w:r>
      <w:r>
        <w:rPr>
          <w:rFonts w:hint="eastAsia" w:ascii="华文楷体" w:hAnsi="华文楷体" w:eastAsia="华文楷体"/>
          <w:sz w:val="24"/>
        </w:rPr>
        <w:t>，提升</w:t>
      </w:r>
      <w:r>
        <w:rPr>
          <w:rFonts w:ascii="华文楷体" w:hAnsi="华文楷体" w:eastAsia="华文楷体"/>
          <w:sz w:val="24"/>
        </w:rPr>
        <w:t>运输效率。</w:t>
      </w:r>
    </w:p>
    <w:p w14:paraId="01CC1A8C">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.4 金融机构风险评估与创新</w:t>
      </w:r>
    </w:p>
    <w:p w14:paraId="159D91E2">
      <w:pPr>
        <w:ind w:firstLine="480" w:firstLineChars="200"/>
        <w:jc w:val="both"/>
        <w:rPr>
          <w:rFonts w:hint="eastAsia" w:ascii="华文楷体" w:hAnsi="华文楷体" w:eastAsia="华文楷体"/>
          <w:sz w:val="24"/>
        </w:rPr>
      </w:pPr>
      <w:r>
        <w:rPr>
          <w:rFonts w:ascii="华文楷体" w:hAnsi="华文楷体" w:eastAsia="华文楷体"/>
          <w:sz w:val="24"/>
        </w:rPr>
        <w:t>金融机构在向企业发放贷款前，需要评估其经营状况和信用风险；在创新金融产品时，需要评估区域经济活力和产业前景。</w:t>
      </w:r>
    </w:p>
    <w:p w14:paraId="235B9541">
      <w:pPr>
        <w:ind w:firstLine="480" w:firstLineChars="200"/>
        <w:jc w:val="both"/>
        <w:rPr>
          <w:rFonts w:hint="eastAsia" w:ascii="华文楷体" w:hAnsi="华文楷体" w:eastAsia="华文楷体"/>
          <w:sz w:val="24"/>
        </w:rPr>
      </w:pPr>
      <w:r>
        <w:rPr>
          <w:rFonts w:ascii="华文楷体" w:hAnsi="华文楷体" w:eastAsia="华文楷体"/>
          <w:sz w:val="24"/>
        </w:rPr>
        <w:t>通过区域经济活力</w:t>
      </w:r>
      <w:r>
        <w:rPr>
          <w:rFonts w:hint="eastAsia" w:ascii="华文楷体" w:hAnsi="华文楷体" w:eastAsia="华文楷体"/>
          <w:sz w:val="24"/>
        </w:rPr>
        <w:t>分析</w:t>
      </w:r>
      <w:r>
        <w:rPr>
          <w:rFonts w:ascii="华文楷体" w:hAnsi="华文楷体" w:eastAsia="华文楷体"/>
          <w:sz w:val="24"/>
        </w:rPr>
        <w:t>、区域物流</w:t>
      </w:r>
      <w:r>
        <w:rPr>
          <w:rFonts w:hint="eastAsia" w:ascii="华文楷体" w:hAnsi="华文楷体" w:eastAsia="华文楷体"/>
          <w:sz w:val="24"/>
        </w:rPr>
        <w:t>活力分析</w:t>
      </w:r>
      <w:r>
        <w:rPr>
          <w:rFonts w:ascii="华文楷体" w:hAnsi="华文楷体" w:eastAsia="华文楷体"/>
          <w:sz w:val="24"/>
        </w:rPr>
        <w:t>，金融机构可动态评估企业所在区域的经济活跃度和商贸活跃度，作为信用评估的辅助指标</w:t>
      </w:r>
      <w:r>
        <w:rPr>
          <w:rFonts w:hint="eastAsia" w:ascii="华文楷体" w:hAnsi="华文楷体" w:eastAsia="华文楷体"/>
          <w:sz w:val="24"/>
        </w:rPr>
        <w:t>，</w:t>
      </w:r>
      <w:r>
        <w:rPr>
          <w:rFonts w:ascii="华文楷体" w:hAnsi="华文楷体" w:eastAsia="华文楷体"/>
          <w:sz w:val="24"/>
        </w:rPr>
        <w:t>提升风险评估准确率，降低不良贷款率。</w:t>
      </w:r>
    </w:p>
    <w:p w14:paraId="32360FC3">
      <w:pPr>
        <w:ind w:firstLine="480" w:firstLineChars="200"/>
        <w:jc w:val="both"/>
        <w:rPr>
          <w:rFonts w:hint="eastAsia" w:ascii="华文楷体" w:hAnsi="华文楷体" w:eastAsia="华文楷体"/>
          <w:sz w:val="24"/>
        </w:rPr>
      </w:pPr>
      <w:r>
        <w:rPr>
          <w:rFonts w:ascii="华文楷体" w:hAnsi="华文楷体" w:eastAsia="华文楷体"/>
          <w:sz w:val="24"/>
        </w:rPr>
        <w:t>通过碳减排贡献度</w:t>
      </w:r>
      <w:r>
        <w:rPr>
          <w:rFonts w:hint="eastAsia" w:ascii="华文楷体" w:hAnsi="华文楷体" w:eastAsia="华文楷体"/>
          <w:sz w:val="24"/>
        </w:rPr>
        <w:t>分析</w:t>
      </w:r>
      <w:r>
        <w:rPr>
          <w:rFonts w:ascii="华文楷体" w:hAnsi="华文楷体" w:eastAsia="华文楷体"/>
          <w:sz w:val="24"/>
        </w:rPr>
        <w:t>，金融机构可开发绿色金融产品，如</w:t>
      </w:r>
      <w:r>
        <w:rPr>
          <w:rFonts w:hint="eastAsia" w:ascii="华文楷体" w:hAnsi="华文楷体" w:eastAsia="华文楷体"/>
          <w:sz w:val="24"/>
        </w:rPr>
        <w:t>“</w:t>
      </w:r>
      <w:r>
        <w:rPr>
          <w:rFonts w:ascii="华文楷体" w:hAnsi="华文楷体" w:eastAsia="华文楷体"/>
          <w:sz w:val="24"/>
        </w:rPr>
        <w:t>碳减排挂钩贷款</w:t>
      </w:r>
      <w:r>
        <w:rPr>
          <w:rFonts w:hint="eastAsia" w:ascii="华文楷体" w:hAnsi="华文楷体" w:eastAsia="华文楷体"/>
          <w:sz w:val="24"/>
        </w:rPr>
        <w:t>”</w:t>
      </w:r>
      <w:r>
        <w:rPr>
          <w:rFonts w:ascii="华文楷体" w:hAnsi="华文楷体" w:eastAsia="华文楷体"/>
          <w:sz w:val="24"/>
        </w:rPr>
        <w:t>、</w:t>
      </w:r>
      <w:r>
        <w:rPr>
          <w:rFonts w:hint="eastAsia" w:ascii="华文楷体" w:hAnsi="华文楷体" w:eastAsia="华文楷体"/>
          <w:sz w:val="24"/>
        </w:rPr>
        <w:t>“</w:t>
      </w:r>
      <w:r>
        <w:rPr>
          <w:rFonts w:ascii="华文楷体" w:hAnsi="华文楷体" w:eastAsia="华文楷体"/>
          <w:sz w:val="24"/>
        </w:rPr>
        <w:t>绿色供应链金融</w:t>
      </w:r>
      <w:r>
        <w:rPr>
          <w:rFonts w:hint="eastAsia" w:ascii="华文楷体" w:hAnsi="华文楷体" w:eastAsia="华文楷体"/>
          <w:sz w:val="24"/>
        </w:rPr>
        <w:t>”</w:t>
      </w:r>
      <w:r>
        <w:rPr>
          <w:rFonts w:ascii="华文楷体" w:hAnsi="华文楷体" w:eastAsia="华文楷体"/>
          <w:sz w:val="24"/>
        </w:rPr>
        <w:t>，满足企业ESG需求</w:t>
      </w:r>
      <w:r>
        <w:rPr>
          <w:rFonts w:hint="eastAsia" w:ascii="华文楷体" w:hAnsi="华文楷体" w:eastAsia="华文楷体"/>
          <w:sz w:val="24"/>
        </w:rPr>
        <w:t>，提升</w:t>
      </w:r>
      <w:r>
        <w:rPr>
          <w:rFonts w:ascii="华文楷体" w:hAnsi="华文楷体" w:eastAsia="华文楷体"/>
          <w:sz w:val="24"/>
        </w:rPr>
        <w:t>绿色金融产品规模</w:t>
      </w:r>
      <w:r>
        <w:rPr>
          <w:rFonts w:hint="eastAsia" w:ascii="华文楷体" w:hAnsi="华文楷体" w:eastAsia="华文楷体"/>
          <w:sz w:val="24"/>
        </w:rPr>
        <w:t>以及</w:t>
      </w:r>
      <w:r>
        <w:rPr>
          <w:rFonts w:ascii="华文楷体" w:hAnsi="华文楷体" w:eastAsia="华文楷体"/>
          <w:sz w:val="24"/>
        </w:rPr>
        <w:t>客户满意度。</w:t>
      </w:r>
    </w:p>
    <w:p w14:paraId="3EAA236C">
      <w:pPr>
        <w:pStyle w:val="3"/>
        <w:adjustRightInd w:val="0"/>
        <w:snapToGrid w:val="0"/>
        <w:spacing w:line="288" w:lineRule="auto"/>
        <w:ind w:firstLine="420"/>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.5 绿色交通与</w:t>
      </w:r>
      <w:r>
        <w:rPr>
          <w:rFonts w:hint="eastAsia" w:ascii="华文楷体" w:hAnsi="华文楷体" w:eastAsia="华文楷体"/>
          <w:b/>
          <w:bCs/>
          <w:color w:val="auto"/>
          <w:sz w:val="24"/>
          <w:szCs w:val="24"/>
        </w:rPr>
        <w:t>“双碳”</w:t>
      </w:r>
      <w:r>
        <w:rPr>
          <w:rFonts w:ascii="华文楷体" w:hAnsi="华文楷体" w:eastAsia="华文楷体"/>
          <w:b/>
          <w:bCs/>
          <w:color w:val="auto"/>
          <w:sz w:val="24"/>
          <w:szCs w:val="24"/>
        </w:rPr>
        <w:t>目标评估</w:t>
      </w:r>
    </w:p>
    <w:p w14:paraId="75EE5C06">
      <w:pPr>
        <w:ind w:firstLine="480" w:firstLineChars="200"/>
        <w:jc w:val="both"/>
        <w:rPr>
          <w:rFonts w:hint="eastAsia" w:ascii="华文楷体" w:hAnsi="华文楷体" w:eastAsia="华文楷体"/>
          <w:sz w:val="24"/>
        </w:rPr>
      </w:pPr>
      <w:r>
        <w:rPr>
          <w:rFonts w:ascii="华文楷体" w:hAnsi="华文楷体" w:eastAsia="华文楷体"/>
          <w:sz w:val="24"/>
        </w:rPr>
        <w:t>政府部门需要评估交通物流领域的碳减排成效，为</w:t>
      </w:r>
      <w:r>
        <w:rPr>
          <w:rFonts w:hint="eastAsia" w:ascii="华文楷体" w:hAnsi="华文楷体" w:eastAsia="华文楷体"/>
          <w:sz w:val="24"/>
        </w:rPr>
        <w:t>“双碳”</w:t>
      </w:r>
      <w:r>
        <w:rPr>
          <w:rFonts w:ascii="华文楷体" w:hAnsi="华文楷体" w:eastAsia="华文楷体"/>
          <w:sz w:val="24"/>
        </w:rPr>
        <w:t>目标提供数据支撑；企业需要评估自身绿色转型成效，履行ESG责任。</w:t>
      </w:r>
    </w:p>
    <w:p w14:paraId="6CABAD6E">
      <w:pPr>
        <w:ind w:firstLine="480" w:firstLineChars="200"/>
        <w:jc w:val="both"/>
        <w:rPr>
          <w:rFonts w:hint="eastAsia" w:ascii="华文楷体" w:hAnsi="华文楷体" w:eastAsia="华文楷体"/>
          <w:sz w:val="24"/>
        </w:rPr>
      </w:pPr>
      <w:r>
        <w:rPr>
          <w:rFonts w:ascii="华文楷体" w:hAnsi="华文楷体" w:eastAsia="华文楷体"/>
          <w:sz w:val="24"/>
        </w:rPr>
        <w:t>通过碳减排贡献度</w:t>
      </w:r>
      <w:r>
        <w:rPr>
          <w:rFonts w:hint="eastAsia" w:ascii="华文楷体" w:hAnsi="华文楷体" w:eastAsia="华文楷体"/>
          <w:sz w:val="24"/>
        </w:rPr>
        <w:t>分析</w:t>
      </w:r>
      <w:r>
        <w:rPr>
          <w:rFonts w:ascii="华文楷体" w:hAnsi="华文楷体" w:eastAsia="华文楷体"/>
          <w:sz w:val="24"/>
        </w:rPr>
        <w:t>，政府部门可量化交通物流领域的碳减排成效，为“双碳”目标提供数据支撑</w:t>
      </w:r>
      <w:r>
        <w:rPr>
          <w:rFonts w:hint="eastAsia" w:ascii="华文楷体" w:hAnsi="华文楷体" w:eastAsia="华文楷体"/>
          <w:sz w:val="24"/>
        </w:rPr>
        <w:t>，</w:t>
      </w:r>
      <w:r>
        <w:rPr>
          <w:rFonts w:ascii="华文楷体" w:hAnsi="华文楷体" w:eastAsia="华文楷体"/>
          <w:sz w:val="24"/>
        </w:rPr>
        <w:t>提升碳减排数据准确率</w:t>
      </w:r>
      <w:r>
        <w:rPr>
          <w:rFonts w:hint="eastAsia" w:ascii="华文楷体" w:hAnsi="华文楷体" w:eastAsia="华文楷体"/>
          <w:sz w:val="24"/>
        </w:rPr>
        <w:t>以及</w:t>
      </w:r>
      <w:r>
        <w:rPr>
          <w:rFonts w:ascii="华文楷体" w:hAnsi="华文楷体" w:eastAsia="华文楷体"/>
          <w:sz w:val="24"/>
        </w:rPr>
        <w:t>政策制定效率。</w:t>
      </w:r>
    </w:p>
    <w:p w14:paraId="30E39B32">
      <w:pPr>
        <w:ind w:firstLine="480" w:firstLineChars="200"/>
        <w:jc w:val="both"/>
        <w:rPr>
          <w:rFonts w:hint="eastAsia" w:ascii="华文楷体" w:hAnsi="华文楷体" w:eastAsia="华文楷体"/>
          <w:sz w:val="24"/>
        </w:rPr>
      </w:pPr>
      <w:r>
        <w:rPr>
          <w:rFonts w:ascii="华文楷体" w:hAnsi="华文楷体" w:eastAsia="华文楷体"/>
          <w:sz w:val="24"/>
        </w:rPr>
        <w:t>通过监测碳减排贡献度，政府部门可制定针对性政策，加速绿色交通转型</w:t>
      </w:r>
      <w:r>
        <w:rPr>
          <w:rFonts w:hint="eastAsia" w:ascii="华文楷体" w:hAnsi="华文楷体" w:eastAsia="华文楷体"/>
          <w:sz w:val="24"/>
        </w:rPr>
        <w:t>，</w:t>
      </w:r>
      <w:r>
        <w:rPr>
          <w:rFonts w:ascii="华文楷体" w:hAnsi="华文楷体" w:eastAsia="华文楷体"/>
          <w:sz w:val="24"/>
        </w:rPr>
        <w:t>提升新能源货车使用率</w:t>
      </w:r>
      <w:r>
        <w:rPr>
          <w:rFonts w:hint="eastAsia" w:ascii="华文楷体" w:hAnsi="华文楷体" w:eastAsia="华文楷体"/>
          <w:sz w:val="24"/>
        </w:rPr>
        <w:t>以及</w:t>
      </w:r>
      <w:r>
        <w:rPr>
          <w:rFonts w:ascii="华文楷体" w:hAnsi="华文楷体" w:eastAsia="华文楷体"/>
          <w:sz w:val="24"/>
        </w:rPr>
        <w:t>碳减排贡献度。</w:t>
      </w:r>
    </w:p>
    <w:p w14:paraId="2911BC4C">
      <w:pPr>
        <w:ind w:firstLine="480" w:firstLineChars="200"/>
        <w:jc w:val="both"/>
        <w:rPr>
          <w:rFonts w:hint="eastAsia" w:ascii="华文楷体" w:hAnsi="华文楷体" w:eastAsia="华文楷体"/>
          <w:sz w:val="24"/>
        </w:rPr>
      </w:pPr>
      <w:r>
        <w:rPr>
          <w:rFonts w:ascii="华文楷体" w:hAnsi="华文楷体" w:eastAsia="华文楷体"/>
          <w:sz w:val="24"/>
        </w:rPr>
        <w:t>通过碳减排贡献度指标，企业可量化自身绿色转型成效，提升ESG评级，增强市场竞争力。</w:t>
      </w:r>
    </w:p>
    <w:p w14:paraId="2582EE3A">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.6 交通规划与基础设施优化</w:t>
      </w:r>
    </w:p>
    <w:p w14:paraId="4D98CF53">
      <w:pPr>
        <w:ind w:firstLine="480" w:firstLineChars="200"/>
        <w:jc w:val="both"/>
        <w:rPr>
          <w:rFonts w:hint="eastAsia" w:ascii="华文楷体" w:hAnsi="华文楷体" w:eastAsia="华文楷体"/>
          <w:sz w:val="24"/>
        </w:rPr>
      </w:pPr>
      <w:r>
        <w:rPr>
          <w:rFonts w:ascii="华文楷体" w:hAnsi="华文楷体" w:eastAsia="华文楷体"/>
          <w:sz w:val="24"/>
        </w:rPr>
        <w:t>交通部门在规划路网、优化交通设施时，需要了解路网运行状况和需求；在应对交通拥堵时，需要实时监测和快速响应。</w:t>
      </w:r>
    </w:p>
    <w:p w14:paraId="0DD73206">
      <w:pPr>
        <w:ind w:firstLine="480" w:firstLineChars="200"/>
        <w:jc w:val="both"/>
        <w:rPr>
          <w:rFonts w:hint="eastAsia" w:ascii="华文楷体" w:hAnsi="华文楷体" w:eastAsia="华文楷体"/>
          <w:sz w:val="24"/>
        </w:rPr>
      </w:pPr>
      <w:r>
        <w:rPr>
          <w:rFonts w:ascii="华文楷体" w:hAnsi="华文楷体" w:eastAsia="华文楷体"/>
          <w:sz w:val="24"/>
        </w:rPr>
        <w:t>通过区域物流</w:t>
      </w:r>
      <w:r>
        <w:rPr>
          <w:rFonts w:hint="eastAsia" w:ascii="华文楷体" w:hAnsi="华文楷体" w:eastAsia="华文楷体"/>
          <w:sz w:val="24"/>
        </w:rPr>
        <w:t>活力分析</w:t>
      </w:r>
      <w:r>
        <w:rPr>
          <w:rFonts w:ascii="华文楷体" w:hAnsi="华文楷体" w:eastAsia="华文楷体"/>
          <w:sz w:val="24"/>
        </w:rPr>
        <w:t>和城际经济连接</w:t>
      </w:r>
      <w:r>
        <w:rPr>
          <w:rFonts w:hint="eastAsia" w:ascii="华文楷体" w:hAnsi="华文楷体" w:eastAsia="华文楷体"/>
          <w:sz w:val="24"/>
        </w:rPr>
        <w:t>分析</w:t>
      </w:r>
      <w:r>
        <w:rPr>
          <w:rFonts w:ascii="华文楷体" w:hAnsi="华文楷体" w:eastAsia="华文楷体"/>
          <w:sz w:val="24"/>
        </w:rPr>
        <w:t>，交通部门可精准识别路网拥堵热点和重点经济走廊，优化路网规划</w:t>
      </w:r>
      <w:r>
        <w:rPr>
          <w:rFonts w:hint="eastAsia" w:ascii="华文楷体" w:hAnsi="华文楷体" w:eastAsia="华文楷体"/>
          <w:sz w:val="24"/>
        </w:rPr>
        <w:t>，</w:t>
      </w:r>
      <w:r>
        <w:rPr>
          <w:rFonts w:ascii="华文楷体" w:hAnsi="华文楷体" w:eastAsia="华文楷体"/>
          <w:sz w:val="24"/>
        </w:rPr>
        <w:t>提升路网规划精准度</w:t>
      </w:r>
      <w:r>
        <w:rPr>
          <w:rFonts w:hint="eastAsia" w:ascii="华文楷体" w:hAnsi="华文楷体" w:eastAsia="华文楷体"/>
          <w:sz w:val="24"/>
        </w:rPr>
        <w:t>以及</w:t>
      </w:r>
      <w:r>
        <w:rPr>
          <w:rFonts w:ascii="华文楷体" w:hAnsi="华文楷体" w:eastAsia="华文楷体"/>
          <w:sz w:val="24"/>
        </w:rPr>
        <w:t>投资回报率。</w:t>
      </w:r>
    </w:p>
    <w:p w14:paraId="329E765A">
      <w:pPr>
        <w:ind w:firstLine="480" w:firstLineChars="200"/>
        <w:jc w:val="both"/>
        <w:rPr>
          <w:rFonts w:hint="eastAsia" w:ascii="华文楷体" w:hAnsi="华文楷体" w:eastAsia="华文楷体"/>
          <w:sz w:val="24"/>
        </w:rPr>
      </w:pPr>
      <w:r>
        <w:rPr>
          <w:rFonts w:ascii="华文楷体" w:hAnsi="华文楷体" w:eastAsia="华文楷体"/>
          <w:sz w:val="24"/>
        </w:rPr>
        <w:t>通过区域物流</w:t>
      </w:r>
      <w:r>
        <w:rPr>
          <w:rFonts w:hint="eastAsia" w:ascii="华文楷体" w:hAnsi="华文楷体" w:eastAsia="华文楷体"/>
          <w:sz w:val="24"/>
        </w:rPr>
        <w:t>活力分析</w:t>
      </w:r>
      <w:r>
        <w:rPr>
          <w:rFonts w:ascii="华文楷体" w:hAnsi="华文楷体" w:eastAsia="华文楷体"/>
          <w:sz w:val="24"/>
        </w:rPr>
        <w:t>和经济走廊车流</w:t>
      </w:r>
      <w:r>
        <w:rPr>
          <w:rFonts w:hint="eastAsia" w:ascii="华文楷体" w:hAnsi="华文楷体" w:eastAsia="华文楷体"/>
          <w:sz w:val="24"/>
        </w:rPr>
        <w:t>分析</w:t>
      </w:r>
      <w:r>
        <w:rPr>
          <w:rFonts w:ascii="华文楷体" w:hAnsi="华文楷体" w:eastAsia="华文楷体"/>
          <w:sz w:val="24"/>
        </w:rPr>
        <w:t>，交通部门可实时监测路网拥堵状况，及时采取应对措施</w:t>
      </w:r>
      <w:r>
        <w:rPr>
          <w:rFonts w:hint="eastAsia" w:ascii="华文楷体" w:hAnsi="华文楷体" w:eastAsia="华文楷体"/>
          <w:sz w:val="24"/>
        </w:rPr>
        <w:t>，降低</w:t>
      </w:r>
      <w:r>
        <w:rPr>
          <w:rFonts w:ascii="华文楷体" w:hAnsi="华文楷体" w:eastAsia="华文楷体"/>
          <w:sz w:val="24"/>
        </w:rPr>
        <w:t>交通拥堵缓率，缩短市民出行时间。</w:t>
      </w:r>
    </w:p>
    <w:p w14:paraId="6641522E">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.7 企业经营决策支持</w:t>
      </w:r>
    </w:p>
    <w:p w14:paraId="643CF88F">
      <w:pPr>
        <w:ind w:firstLine="480" w:firstLineChars="200"/>
        <w:jc w:val="both"/>
        <w:rPr>
          <w:rFonts w:hint="eastAsia" w:ascii="华文楷体" w:hAnsi="华文楷体" w:eastAsia="华文楷体"/>
          <w:sz w:val="24"/>
        </w:rPr>
      </w:pPr>
      <w:r>
        <w:rPr>
          <w:rFonts w:ascii="华文楷体" w:hAnsi="华文楷体" w:eastAsia="华文楷体"/>
          <w:sz w:val="24"/>
        </w:rPr>
        <w:t>企业需要了解市场动态、竞争对手情况和供应链状况，进行经营决策；在制定市场拓展计划时，需要了解区域经济活跃度。</w:t>
      </w:r>
    </w:p>
    <w:p w14:paraId="24988B6B">
      <w:pPr>
        <w:ind w:firstLine="480" w:firstLineChars="200"/>
        <w:jc w:val="both"/>
        <w:rPr>
          <w:rFonts w:hint="eastAsia" w:ascii="华文楷体" w:hAnsi="华文楷体" w:eastAsia="华文楷体"/>
          <w:sz w:val="24"/>
        </w:rPr>
      </w:pPr>
      <w:r>
        <w:rPr>
          <w:rFonts w:ascii="华文楷体" w:hAnsi="华文楷体" w:eastAsia="华文楷体"/>
          <w:sz w:val="24"/>
        </w:rPr>
        <w:t>通过区域经济活力</w:t>
      </w:r>
      <w:r>
        <w:rPr>
          <w:rFonts w:hint="eastAsia" w:ascii="华文楷体" w:hAnsi="华文楷体" w:eastAsia="华文楷体"/>
          <w:sz w:val="24"/>
        </w:rPr>
        <w:t>分析</w:t>
      </w:r>
      <w:r>
        <w:rPr>
          <w:rFonts w:ascii="华文楷体" w:hAnsi="华文楷体" w:eastAsia="华文楷体"/>
          <w:sz w:val="24"/>
        </w:rPr>
        <w:t>和城际经济连接</w:t>
      </w:r>
      <w:r>
        <w:rPr>
          <w:rFonts w:hint="eastAsia" w:ascii="华文楷体" w:hAnsi="华文楷体" w:eastAsia="华文楷体"/>
          <w:sz w:val="24"/>
        </w:rPr>
        <w:t>分析</w:t>
      </w:r>
      <w:r>
        <w:rPr>
          <w:rFonts w:ascii="华文楷体" w:hAnsi="华文楷体" w:eastAsia="华文楷体"/>
          <w:sz w:val="24"/>
        </w:rPr>
        <w:t>，企业可精准把握区域市场动态，制定更有效的市场拓展计划</w:t>
      </w:r>
      <w:r>
        <w:rPr>
          <w:rFonts w:hint="eastAsia" w:ascii="华文楷体" w:hAnsi="华文楷体" w:eastAsia="华文楷体"/>
          <w:sz w:val="24"/>
        </w:rPr>
        <w:t>，</w:t>
      </w:r>
      <w:r>
        <w:rPr>
          <w:rFonts w:ascii="华文楷体" w:hAnsi="华文楷体" w:eastAsia="华文楷体"/>
          <w:sz w:val="24"/>
        </w:rPr>
        <w:t>提升市场拓展成功率</w:t>
      </w:r>
      <w:r>
        <w:rPr>
          <w:rFonts w:hint="eastAsia" w:ascii="华文楷体" w:hAnsi="华文楷体" w:eastAsia="华文楷体"/>
          <w:sz w:val="24"/>
        </w:rPr>
        <w:t>以及</w:t>
      </w:r>
      <w:r>
        <w:rPr>
          <w:rFonts w:ascii="华文楷体" w:hAnsi="华文楷体" w:eastAsia="华文楷体"/>
          <w:sz w:val="24"/>
        </w:rPr>
        <w:t>市场反应速度。</w:t>
      </w:r>
    </w:p>
    <w:p w14:paraId="0A0B1889">
      <w:pPr>
        <w:pStyle w:val="3"/>
        <w:adjustRightInd w:val="0"/>
        <w:snapToGrid w:val="0"/>
        <w:spacing w:line="288" w:lineRule="auto"/>
        <w:rPr>
          <w:rFonts w:hint="eastAsia" w:ascii="华文楷体" w:hAnsi="华文楷体" w:eastAsia="华文楷体"/>
          <w:b/>
          <w:bCs/>
          <w:color w:val="auto"/>
          <w:sz w:val="24"/>
          <w:szCs w:val="24"/>
        </w:rPr>
      </w:pPr>
      <w:r>
        <w:rPr>
          <w:rFonts w:hint="eastAsia" w:ascii="华文楷体" w:hAnsi="华文楷体" w:eastAsia="华文楷体"/>
          <w:b/>
          <w:bCs/>
          <w:color w:val="auto"/>
          <w:sz w:val="24"/>
          <w:szCs w:val="24"/>
        </w:rPr>
        <w:t>B</w:t>
      </w:r>
      <w:r>
        <w:rPr>
          <w:rFonts w:ascii="华文楷体" w:hAnsi="华文楷体" w:eastAsia="华文楷体"/>
          <w:b/>
          <w:bCs/>
          <w:color w:val="auto"/>
          <w:sz w:val="24"/>
          <w:szCs w:val="24"/>
        </w:rPr>
        <w:t>.</w:t>
      </w:r>
      <w:r>
        <w:rPr>
          <w:rFonts w:hint="eastAsia" w:ascii="华文楷体" w:hAnsi="华文楷体" w:eastAsia="华文楷体"/>
          <w:b/>
          <w:bCs/>
          <w:color w:val="auto"/>
          <w:sz w:val="24"/>
          <w:szCs w:val="24"/>
        </w:rPr>
        <w:t>9</w:t>
      </w:r>
      <w:r>
        <w:rPr>
          <w:rFonts w:ascii="华文楷体" w:hAnsi="华文楷体" w:eastAsia="华文楷体"/>
          <w:b/>
          <w:bCs/>
          <w:color w:val="auto"/>
          <w:sz w:val="24"/>
          <w:szCs w:val="24"/>
        </w:rPr>
        <w:t xml:space="preserve"> 旅游产业发展与优化</w:t>
      </w:r>
    </w:p>
    <w:p w14:paraId="056189FB">
      <w:pPr>
        <w:ind w:firstLine="480" w:firstLineChars="200"/>
        <w:jc w:val="both"/>
        <w:rPr>
          <w:rFonts w:hint="eastAsia" w:ascii="华文楷体" w:hAnsi="华文楷体" w:eastAsia="华文楷体"/>
          <w:sz w:val="24"/>
        </w:rPr>
      </w:pPr>
      <w:r>
        <w:rPr>
          <w:rFonts w:ascii="华文楷体" w:hAnsi="华文楷体" w:eastAsia="华文楷体"/>
          <w:sz w:val="24"/>
        </w:rPr>
        <w:t>旅游部门在制定旅游发展规划、优化旅游产品时，需要了解旅游客流量和旅游经济活跃度；在进行旅游营销时，需要了解旅游目的地的经济活力和吸引力。</w:t>
      </w:r>
    </w:p>
    <w:p w14:paraId="0BDC634B">
      <w:pPr>
        <w:ind w:firstLine="480" w:firstLineChars="200"/>
        <w:jc w:val="both"/>
        <w:rPr>
          <w:rFonts w:hint="eastAsia" w:ascii="华文楷体" w:hAnsi="华文楷体" w:eastAsia="华文楷体"/>
          <w:sz w:val="24"/>
        </w:rPr>
      </w:pPr>
      <w:r>
        <w:rPr>
          <w:rFonts w:ascii="华文楷体" w:hAnsi="华文楷体" w:eastAsia="华文楷体"/>
          <w:sz w:val="24"/>
        </w:rPr>
        <w:t>通过区域经济活力</w:t>
      </w:r>
      <w:r>
        <w:rPr>
          <w:rFonts w:hint="eastAsia" w:ascii="华文楷体" w:hAnsi="华文楷体" w:eastAsia="华文楷体"/>
          <w:sz w:val="24"/>
        </w:rPr>
        <w:t>分析</w:t>
      </w:r>
      <w:r>
        <w:rPr>
          <w:rFonts w:ascii="华文楷体" w:hAnsi="华文楷体" w:eastAsia="华文楷体"/>
          <w:sz w:val="24"/>
        </w:rPr>
        <w:t>和城际经济连接度</w:t>
      </w:r>
      <w:r>
        <w:rPr>
          <w:rFonts w:hint="eastAsia" w:ascii="华文楷体" w:hAnsi="华文楷体" w:eastAsia="华文楷体"/>
          <w:sz w:val="24"/>
        </w:rPr>
        <w:t>分析</w:t>
      </w:r>
      <w:r>
        <w:rPr>
          <w:rFonts w:ascii="华文楷体" w:hAnsi="华文楷体" w:eastAsia="华文楷体"/>
          <w:sz w:val="24"/>
        </w:rPr>
        <w:t>，旅游部门可预测旅游客流量，制定更有效的旅游发展规划</w:t>
      </w:r>
      <w:r>
        <w:rPr>
          <w:rFonts w:hint="eastAsia" w:ascii="华文楷体" w:hAnsi="华文楷体" w:eastAsia="华文楷体"/>
          <w:sz w:val="24"/>
        </w:rPr>
        <w:t>，</w:t>
      </w:r>
      <w:r>
        <w:rPr>
          <w:rFonts w:ascii="华文楷体" w:hAnsi="华文楷体" w:eastAsia="华文楷体"/>
          <w:sz w:val="24"/>
        </w:rPr>
        <w:t>提升旅游客流量预测准确率</w:t>
      </w:r>
      <w:r>
        <w:rPr>
          <w:rFonts w:hint="eastAsia" w:ascii="华文楷体" w:hAnsi="华文楷体" w:eastAsia="华文楷体"/>
          <w:sz w:val="24"/>
        </w:rPr>
        <w:t>以及</w:t>
      </w:r>
      <w:r>
        <w:rPr>
          <w:rFonts w:ascii="华文楷体" w:hAnsi="华文楷体" w:eastAsia="华文楷体"/>
          <w:sz w:val="24"/>
        </w:rPr>
        <w:t>旅游规划精准度。</w:t>
      </w:r>
    </w:p>
    <w:p w14:paraId="0D037D2B">
      <w:pPr>
        <w:widowControl/>
        <w:spacing w:after="0" w:line="240" w:lineRule="auto"/>
        <w:rPr>
          <w:rFonts w:hint="eastAsia" w:ascii="华文楷体" w:hAnsi="华文楷体" w:eastAsia="华文楷体" w:cstheme="majorBidi"/>
          <w:b/>
          <w:bCs/>
          <w:sz w:val="28"/>
          <w:szCs w:val="28"/>
        </w:rPr>
      </w:pPr>
      <w:r>
        <w:rPr>
          <w:rFonts w:hint="eastAsia" w:ascii="华文楷体" w:hAnsi="华文楷体" w:eastAsia="华文楷体"/>
          <w:b/>
          <w:bCs/>
          <w:sz w:val="28"/>
          <w:szCs w:val="28"/>
        </w:rPr>
        <w:br w:type="page"/>
      </w:r>
    </w:p>
    <w:p w14:paraId="72D2FF53">
      <w:pPr>
        <w:pStyle w:val="2"/>
        <w:adjustRightInd w:val="0"/>
        <w:snapToGrid w:val="0"/>
        <w:spacing w:line="288" w:lineRule="auto"/>
        <w:jc w:val="center"/>
        <w:rPr>
          <w:rFonts w:hint="eastAsia" w:ascii="华文楷体" w:hAnsi="华文楷体" w:eastAsia="华文楷体"/>
          <w:b/>
          <w:bCs/>
          <w:color w:val="auto"/>
          <w:sz w:val="28"/>
          <w:szCs w:val="28"/>
        </w:rPr>
      </w:pPr>
      <w:r>
        <w:rPr>
          <w:rFonts w:hint="eastAsia" w:ascii="华文楷体" w:hAnsi="华文楷体" w:eastAsia="华文楷体"/>
          <w:b/>
          <w:bCs/>
          <w:color w:val="auto"/>
          <w:sz w:val="28"/>
          <w:szCs w:val="28"/>
        </w:rPr>
        <w:t>附录C 各市区的连接度</w:t>
      </w:r>
    </w:p>
    <w:p w14:paraId="0DB1A350">
      <w:pPr>
        <w:jc w:val="both"/>
        <w:rPr>
          <w:rFonts w:hint="eastAsia" w:ascii="华文楷体" w:hAnsi="华文楷体" w:eastAsia="华文楷体"/>
          <w:sz w:val="24"/>
        </w:rPr>
      </w:pPr>
      <w:r>
        <w:rPr>
          <w:rFonts w:hint="eastAsia" w:ascii="华文楷体" w:hAnsi="华文楷体" w:eastAsia="华文楷体"/>
          <w:sz w:val="24"/>
        </w:rPr>
        <w:object>
          <v:shape id="_x0000_i1025" o:spt="75" type="#_x0000_t75" style="height:50.5pt;width:74.05pt;" o:ole="t" filled="f" o:preferrelative="t" stroked="f" coordsize="21600,21600">
            <v:path/>
            <v:fill on="f" focussize="0,0"/>
            <v:stroke on="f" joinstyle="miter"/>
            <v:imagedata r:id="rId19" o:title=""/>
            <o:lock v:ext="edit" aspectratio="t"/>
            <w10:wrap type="none"/>
            <w10:anchorlock/>
          </v:shape>
          <o:OLEObject Type="Embed" ProgID="Excel.Sheet.8" ShapeID="_x0000_i1025" DrawAspect="Icon" ObjectID="_1468075725" r:id="rId18">
            <o:LockedField>false</o:LockedField>
          </o:OLEObject>
        </w:object>
      </w:r>
    </w:p>
    <w:sectPr>
      <w:footerReference r:id="rId7"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e.zheng" w:date="2026-03-01T22:19:54Z" w:initials="H">
    <w:p w14:paraId="3BD3E66E">
      <w:pPr>
        <w:pStyle w:val="11"/>
        <w:rPr>
          <w:rFonts w:hint="eastAsia"/>
          <w:lang w:val="en-US" w:eastAsia="zh-CN"/>
        </w:rPr>
      </w:pPr>
      <w:r>
        <w:rPr>
          <w:rFonts w:hint="eastAsia"/>
          <w:lang w:val="en-US" w:eastAsia="zh-CN"/>
        </w:rPr>
        <w:t>这段话的AI味非常重，文章中的其它部分也有比较重的AI痕迹，需要调整文章的AI味。</w:t>
      </w:r>
      <w:r>
        <w:rPr>
          <w:rFonts w:hint="eastAsia"/>
          <w:lang w:val="en-US" w:eastAsia="zh-CN"/>
        </w:rPr>
        <w:br w:type="textWrapping"/>
      </w:r>
      <w:r>
        <w:rPr>
          <w:rFonts w:hint="eastAsia"/>
          <w:lang w:val="en-US" w:eastAsia="zh-CN"/>
        </w:rPr>
        <w:br w:type="textWrapping"/>
      </w:r>
      <w:r>
        <w:rPr>
          <w:rFonts w:hint="eastAsia"/>
          <w:lang w:val="en-US" w:eastAsia="zh-CN"/>
        </w:rPr>
        <w:t>AI味比较重的章节：</w:t>
      </w:r>
      <w:r>
        <w:rPr>
          <w:rFonts w:hint="eastAsia"/>
          <w:lang w:val="en-US" w:eastAsia="zh-CN"/>
        </w:rPr>
        <w:br w:type="textWrapping"/>
      </w:r>
      <w:r>
        <w:rPr>
          <w:rFonts w:hint="eastAsia"/>
          <w:lang w:val="en-US" w:eastAsia="zh-CN"/>
        </w:rPr>
        <w:br w:type="textWrapping"/>
      </w:r>
      <w:r>
        <w:rPr>
          <w:rFonts w:hint="eastAsia"/>
          <w:lang w:val="en-US" w:eastAsia="zh-CN"/>
        </w:rPr>
        <w:t>确实，经过仔细审阅，报告中确实存在部分段落带有比较明显的“AI生成痕迹”。AI在撰写专业报告时，往往会暴露出句式高度模板化、喜欢堆砌宏观词汇（如“赋能”、“数据支撑”）、缺乏具体业务体感、以及同义反复等问题。</w:t>
      </w:r>
    </w:p>
    <w:p w14:paraId="52932854">
      <w:pPr>
        <w:pStyle w:val="11"/>
        <w:rPr>
          <w:rFonts w:hint="eastAsia"/>
          <w:lang w:val="en-US" w:eastAsia="zh-CN"/>
        </w:rPr>
      </w:pPr>
    </w:p>
    <w:p w14:paraId="50D32649">
      <w:pPr>
        <w:pStyle w:val="11"/>
        <w:rPr>
          <w:rFonts w:hint="eastAsia"/>
          <w:lang w:val="en-US" w:eastAsia="zh-CN"/>
        </w:rPr>
      </w:pPr>
      <w:r>
        <w:rPr>
          <w:rFonts w:hint="eastAsia"/>
          <w:lang w:val="en-US" w:eastAsia="zh-CN"/>
        </w:rPr>
        <w:t>为了提升整份报告的“含金量”和人工撰写的专业深度，我为您梳理了以下三大类具有典型“AI味”的内容，并提供了具体的修改建议：</w:t>
      </w:r>
    </w:p>
    <w:p w14:paraId="60B8077B">
      <w:pPr>
        <w:pStyle w:val="11"/>
        <w:rPr>
          <w:rFonts w:hint="eastAsia"/>
          <w:lang w:val="en-US" w:eastAsia="zh-CN"/>
        </w:rPr>
      </w:pPr>
    </w:p>
    <w:p w14:paraId="46C5BB90">
      <w:pPr>
        <w:pStyle w:val="11"/>
        <w:rPr>
          <w:rFonts w:hint="eastAsia"/>
          <w:lang w:val="en-US" w:eastAsia="zh-CN"/>
        </w:rPr>
      </w:pPr>
      <w:r>
        <w:rPr>
          <w:rFonts w:hint="eastAsia"/>
          <w:lang w:val="en-US" w:eastAsia="zh-CN"/>
        </w:rPr>
        <w:t>1. 附录B（应用场景）中高度模板化的“排比句”</w:t>
      </w:r>
    </w:p>
    <w:p w14:paraId="04CEA49D">
      <w:pPr>
        <w:pStyle w:val="11"/>
        <w:rPr>
          <w:rFonts w:hint="eastAsia"/>
          <w:lang w:val="en-US" w:eastAsia="zh-CN"/>
        </w:rPr>
      </w:pPr>
    </w:p>
    <w:p w14:paraId="7CE54EFE">
      <w:pPr>
        <w:pStyle w:val="11"/>
        <w:rPr>
          <w:rFonts w:hint="eastAsia"/>
          <w:lang w:val="en-US" w:eastAsia="zh-CN"/>
        </w:rPr>
      </w:pPr>
      <w:r>
        <w:rPr>
          <w:rFonts w:hint="eastAsia"/>
          <w:lang w:val="en-US" w:eastAsia="zh-CN"/>
        </w:rPr>
        <w:t>问题诊断： 附录B是整篇报告“AI味”最重的地方。系统几乎为每一个小节都套用了一个固定的公式：“通过[某某分析]，[某某主体]可[采取动作]，提升[指标A]以及[指标B]，降低[指标C]。”这种机械的句式在B.1到B.9中反复出现，显得非常空洞 。</w:t>
      </w:r>
    </w:p>
    <w:p w14:paraId="042F52E8">
      <w:pPr>
        <w:pStyle w:val="11"/>
        <w:rPr>
          <w:rFonts w:hint="eastAsia"/>
          <w:lang w:val="en-US" w:eastAsia="zh-CN"/>
        </w:rPr>
      </w:pPr>
    </w:p>
    <w:p w14:paraId="5FB9E21E">
      <w:pPr>
        <w:pStyle w:val="11"/>
        <w:rPr>
          <w:rFonts w:hint="eastAsia"/>
          <w:lang w:val="en-US" w:eastAsia="zh-CN"/>
        </w:rPr>
      </w:pPr>
      <w:r>
        <w:rPr>
          <w:rFonts w:hint="eastAsia"/>
          <w:lang w:val="en-US" w:eastAsia="zh-CN"/>
        </w:rPr>
        <w:t xml:space="preserve">原句（B.6）： “通过区域物流活力分析和城际经济连接分析，交通部门可精准识别路网拥堵热点和重点经济走廊，优化路网规划，提升路网规划精准度以及投资回报率。” </w:t>
      </w:r>
    </w:p>
    <w:p w14:paraId="7AA1EEE1">
      <w:pPr>
        <w:pStyle w:val="11"/>
        <w:rPr>
          <w:rFonts w:hint="eastAsia"/>
          <w:lang w:val="en-US" w:eastAsia="zh-CN"/>
        </w:rPr>
      </w:pPr>
    </w:p>
    <w:p w14:paraId="3E7E28D7">
      <w:pPr>
        <w:pStyle w:val="11"/>
        <w:rPr>
          <w:rFonts w:hint="eastAsia"/>
          <w:lang w:val="en-US" w:eastAsia="zh-CN"/>
        </w:rPr>
      </w:pPr>
      <w:r>
        <w:rPr>
          <w:rFonts w:hint="eastAsia"/>
          <w:lang w:val="en-US" w:eastAsia="zh-CN"/>
        </w:rPr>
        <w:t>在第2.2节以及附录A的指标解释部分，AI为了凑字数，经常把一句话颠来倒去说两遍，或者使用“提供数据支撑”、“助力高质量发展”等万能套话，缺乏具体的指向性 。</w:t>
      </w:r>
    </w:p>
    <w:p w14:paraId="7316E172">
      <w:pPr>
        <w:pStyle w:val="11"/>
        <w:rPr>
          <w:rFonts w:hint="eastAsia"/>
          <w:lang w:val="en-US" w:eastAsia="zh-CN"/>
        </w:rPr>
      </w:pPr>
    </w:p>
    <w:p w14:paraId="23D55B12">
      <w:pPr>
        <w:pStyle w:val="11"/>
        <w:rPr>
          <w:rFonts w:hint="eastAsia"/>
          <w:lang w:val="en-US" w:eastAsia="zh-CN"/>
        </w:rPr>
      </w:pPr>
      <w:r>
        <w:rPr>
          <w:rFonts w:hint="eastAsia"/>
          <w:lang w:val="en-US" w:eastAsia="zh-CN"/>
        </w:rPr>
        <w:t xml:space="preserve"> “作为经济运行的先行指标，该指标能及时捕捉经济活跃度变化，帮助政府和企业把握市场信心变化，实现经济活力的实时监测与预警，避免传统经济指标的滞后性问题。” </w:t>
      </w:r>
    </w:p>
    <w:p w14:paraId="246C80CC">
      <w:pPr>
        <w:pStyle w:val="11"/>
        <w:rPr>
          <w:rFonts w:hint="eastAsia"/>
          <w:lang w:val="en-US" w:eastAsia="zh-CN"/>
        </w:rPr>
      </w:pPr>
    </w:p>
    <w:p w14:paraId="3767A7CC">
      <w:pPr>
        <w:pStyle w:val="11"/>
        <w:rPr>
          <w:rFonts w:hint="eastAsia"/>
          <w:lang w:val="en-US" w:eastAsia="zh-CN"/>
        </w:rPr>
      </w:pPr>
      <w:r>
        <w:rPr>
          <w:rFonts w:hint="eastAsia"/>
          <w:lang w:val="en-US" w:eastAsia="zh-CN"/>
        </w:rPr>
        <w:t xml:space="preserve">“该指标能够评估新能源车推广成效，为新能源车政策制定提供数据支撑，助力“双碳”目标实现。” </w:t>
      </w:r>
    </w:p>
    <w:p w14:paraId="5A66F697">
      <w:pPr>
        <w:pStyle w:val="11"/>
        <w:rPr>
          <w:rFonts w:hint="eastAsia"/>
          <w:lang w:val="en-US" w:eastAsia="zh-CN"/>
        </w:rPr>
      </w:pPr>
    </w:p>
    <w:p w14:paraId="78485D8E">
      <w:pPr>
        <w:pStyle w:val="11"/>
        <w:rPr>
          <w:rFonts w:hint="eastAsia"/>
          <w:lang w:val="en-US" w:eastAsia="zh-CN"/>
        </w:rPr>
      </w:pPr>
    </w:p>
    <w:p w14:paraId="00DE4596">
      <w:pPr>
        <w:pStyle w:val="11"/>
        <w:rPr>
          <w:rFonts w:hint="eastAsia"/>
          <w:lang w:val="en-US" w:eastAsia="zh-CN"/>
        </w:rPr>
      </w:pPr>
      <w:r>
        <w:rPr>
          <w:rFonts w:hint="eastAsia"/>
          <w:lang w:val="en-US" w:eastAsia="zh-CN"/>
        </w:rPr>
        <w:t>3. 过度使用万能宏观词汇（套话堆砌）</w:t>
      </w:r>
    </w:p>
    <w:p w14:paraId="4D7BF705">
      <w:pPr>
        <w:pStyle w:val="11"/>
        <w:rPr>
          <w:rFonts w:hint="eastAsia"/>
          <w:lang w:val="en-US" w:eastAsia="zh-CN"/>
        </w:rPr>
      </w:pPr>
    </w:p>
    <w:p w14:paraId="0DB750B8">
      <w:pPr>
        <w:pStyle w:val="11"/>
        <w:rPr>
          <w:rFonts w:hint="eastAsia"/>
          <w:lang w:val="en-US" w:eastAsia="zh-CN"/>
        </w:rPr>
      </w:pPr>
      <w:r>
        <w:rPr>
          <w:rFonts w:hint="eastAsia"/>
          <w:lang w:val="en-US" w:eastAsia="zh-CN"/>
        </w:rPr>
        <w:t>问题诊断： 报告摘要和未来展望（第一章和第三章）中，AI堆砌了大量的抽象副词和修饰语，如“高价值”、“精准决策支持”、“全链条”、“跃迁”等。这些词汇看似高级，但读起来像政府公文模板，缺乏智库研究报告应有的客观冷峻感 。</w:t>
      </w:r>
    </w:p>
    <w:p w14:paraId="69A4096C">
      <w:pPr>
        <w:pStyle w:val="11"/>
        <w:rPr>
          <w:rFonts w:hint="eastAsia"/>
          <w:lang w:val="en-US" w:eastAsia="zh-CN"/>
        </w:rPr>
      </w:pPr>
    </w:p>
    <w:p w14:paraId="0EE6784D">
      <w:pPr>
        <w:pStyle w:val="11"/>
        <w:rPr>
          <w:rFonts w:hint="eastAsia"/>
          <w:lang w:val="en-US" w:eastAsia="zh-CN"/>
        </w:rPr>
      </w:pPr>
      <w:r>
        <w:rPr>
          <w:rFonts w:hint="eastAsia"/>
          <w:lang w:val="en-US" w:eastAsia="zh-CN"/>
        </w:rPr>
        <w:t>修改建议：用具体的数据能力或业务动作替代抽象形容词。</w:t>
      </w:r>
    </w:p>
    <w:p w14:paraId="26B461A6">
      <w:pPr>
        <w:pStyle w:val="11"/>
        <w:rPr>
          <w:rFonts w:hint="eastAsia"/>
          <w:lang w:val="en-US" w:eastAsia="zh-CN"/>
        </w:rPr>
      </w:pPr>
    </w:p>
    <w:p w14:paraId="540EE22D">
      <w:pPr>
        <w:pStyle w:val="11"/>
        <w:rPr>
          <w:rFonts w:hint="eastAsia"/>
          <w:lang w:val="en-US" w:eastAsia="zh-CN"/>
        </w:rPr>
      </w:pPr>
      <w:r>
        <w:rPr>
          <w:rFonts w:hint="eastAsia"/>
          <w:lang w:val="en-US" w:eastAsia="zh-CN"/>
        </w:rPr>
        <w:t xml:space="preserve">原句（摘要）： “报告为政府、企业及金融机构提供决策支持……报告能缩短政策制定周期、提升招商精准度、降低物流成本、优化供应链稳定性，为区域经济高质量发展提供数据支持。” </w:t>
      </w:r>
    </w:p>
    <w:p w14:paraId="688D4091">
      <w:pPr>
        <w:pStyle w:val="11"/>
        <w:rPr>
          <w:rFonts w:hint="eastAsia"/>
          <w:lang w:val="en-US" w:eastAsia="zh-CN"/>
        </w:rPr>
      </w:pPr>
    </w:p>
    <w:p w14:paraId="5B38AB7F">
      <w:pPr>
        <w:pStyle w:val="11"/>
        <w:rPr>
          <w:rFonts w:hint="default" w:eastAsiaTheme="minorEastAsia"/>
          <w:lang w:val="en-US" w:eastAsia="zh-CN"/>
        </w:rPr>
      </w:pPr>
      <w:r>
        <w:rPr>
          <w:rFonts w:hint="eastAsia"/>
          <w:lang w:val="en-US" w:eastAsia="zh-CN"/>
        </w:rPr>
        <w:t>修改为： “本报告旨在填补宏观统计数据与微观经济活动之间的监测空白。通过量化经济活力与物流协同度，为主管部门在产业落子、高速公路网优化，以及金融机构在供应链信贷风控方面，提供独立、高频的第三方观察视角。”</w:t>
      </w:r>
    </w:p>
  </w:comment>
  <w:comment w:id="1" w:author="He.zheng" w:date="2026-03-01T22:22:08Z" w:initials="H">
    <w:p w14:paraId="31B0CE83">
      <w:pPr>
        <w:pStyle w:val="11"/>
        <w:rPr>
          <w:rFonts w:hint="default" w:eastAsiaTheme="minorEastAsia"/>
          <w:lang w:val="en-US" w:eastAsia="zh-CN"/>
        </w:rPr>
      </w:pPr>
      <w:r>
        <w:rPr>
          <w:rFonts w:hint="eastAsia"/>
          <w:lang w:val="en-US" w:eastAsia="zh-CN"/>
        </w:rPr>
        <w:t>杭州和杭州的连接没有列示的必要，可以在附录的指标上，说明去掉杭州。</w:t>
      </w:r>
    </w:p>
  </w:comment>
  <w:comment w:id="2" w:author="He.zheng" w:date="2026-03-01T22:21:33Z" w:initials="H">
    <w:p w14:paraId="6ACF2D35">
      <w:pPr>
        <w:pStyle w:val="11"/>
        <w:rPr>
          <w:rFonts w:hint="default" w:eastAsiaTheme="minorEastAsia"/>
          <w:lang w:val="en-US" w:eastAsia="zh-CN"/>
        </w:rPr>
      </w:pPr>
      <w:r>
        <w:rPr>
          <w:rFonts w:hint="eastAsia"/>
          <w:lang w:val="en-US" w:eastAsia="zh-CN"/>
        </w:rPr>
        <w:t>讨论的时间说过，都把杭州放在前面</w:t>
      </w:r>
    </w:p>
  </w:comment>
  <w:comment w:id="3" w:author="He.zheng" w:date="2026-03-01T22:22:38Z" w:initials="H">
    <w:p w14:paraId="56573F8C">
      <w:pPr>
        <w:pStyle w:val="11"/>
        <w:rPr>
          <w:rFonts w:hint="default" w:eastAsiaTheme="minorEastAsia"/>
          <w:lang w:val="en-US" w:eastAsia="zh-CN"/>
        </w:rPr>
      </w:pPr>
      <w:r>
        <w:rPr>
          <w:rFonts w:hint="eastAsia"/>
          <w:lang w:val="en-US" w:eastAsia="zh-CN"/>
        </w:rPr>
        <w:t>杭州到杭州列不用列在图里</w:t>
      </w:r>
    </w:p>
  </w:comment>
  <w:comment w:id="4" w:author="泡芙熊" w:date="2026-03-02T00:08:06Z" w:initials="">
    <w:p w14:paraId="5E1C259A">
      <w:pPr>
        <w:pStyle w:val="11"/>
        <w:rPr>
          <w:rFonts w:hint="default" w:eastAsiaTheme="minorEastAsia"/>
          <w:lang w:val="en-US" w:eastAsia="zh-CN"/>
        </w:rPr>
      </w:pPr>
      <w:r>
        <w:rPr>
          <w:rFonts w:hint="eastAsia"/>
          <w:lang w:val="en-US" w:eastAsia="zh-CN"/>
        </w:rPr>
        <w:t>金华有义乌小商品城，物流排第4，比嘉兴低，这个合理么，特别是在描述中把它放在第二梯队，不合理，如果杭州的数值差距不大，应该放在第一梯队，并说明与它的“</w:t>
      </w:r>
      <w:r>
        <w:rPr>
          <w:rFonts w:ascii="宋体" w:hAnsi="宋体" w:eastAsia="宋体" w:cs="宋体"/>
          <w:sz w:val="24"/>
          <w:szCs w:val="24"/>
        </w:rPr>
        <w:t>世界小商品之都</w:t>
      </w:r>
      <w:r>
        <w:rPr>
          <w:rFonts w:hint="eastAsia"/>
          <w:lang w:val="en-US" w:eastAsia="zh-CN"/>
        </w:rPr>
        <w:t>”的地位相符。</w:t>
      </w:r>
      <w:bookmarkStart w:id="214" w:name="_GoBack"/>
      <w:bookmarkEnd w:id="214"/>
    </w:p>
  </w:comment>
  <w:comment w:id="5" w:author="He.zheng" w:date="2026-03-01T22:28:48Z" w:initials="H">
    <w:p w14:paraId="511CA45D">
      <w:pPr>
        <w:pStyle w:val="11"/>
        <w:rPr>
          <w:rFonts w:hint="default" w:eastAsiaTheme="minorEastAsia"/>
          <w:lang w:val="en-US" w:eastAsia="zh-CN"/>
        </w:rPr>
      </w:pPr>
      <w:r>
        <w:rPr>
          <w:rFonts w:hint="eastAsia"/>
          <w:lang w:val="en-US" w:eastAsia="zh-CN"/>
        </w:rPr>
        <w:t>标号重复</w:t>
      </w:r>
    </w:p>
  </w:comment>
  <w:comment w:id="6" w:author="He.zheng" w:date="2026-03-01T22:24:54Z" w:initials="H">
    <w:p w14:paraId="7B0CFF09">
      <w:pPr>
        <w:pStyle w:val="11"/>
        <w:rPr>
          <w:rFonts w:hint="default" w:eastAsiaTheme="minorEastAsia"/>
          <w:lang w:val="en-US" w:eastAsia="zh-CN"/>
        </w:rPr>
      </w:pPr>
      <w:r>
        <w:rPr>
          <w:rFonts w:hint="eastAsia"/>
          <w:lang w:val="en-US" w:eastAsia="zh-CN"/>
        </w:rPr>
        <w:t>单独成章</w:t>
      </w:r>
    </w:p>
  </w:comment>
  <w:comment w:id="7" w:author="He.zheng" w:date="2026-03-01T22:29:15Z" w:initials="H">
    <w:p w14:paraId="6796CB1A">
      <w:pPr>
        <w:pStyle w:val="11"/>
        <w:rPr>
          <w:rFonts w:hint="default" w:eastAsiaTheme="minorEastAsia"/>
          <w:lang w:val="en-US" w:eastAsia="zh-CN"/>
        </w:rPr>
      </w:pPr>
      <w:r>
        <w:rPr>
          <w:rFonts w:hint="eastAsia"/>
          <w:lang w:val="en-US" w:eastAsia="zh-CN"/>
        </w:rPr>
        <w:t>编号错误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38AB7F" w15:done="0"/>
  <w15:commentEx w15:paraId="31B0CE83" w15:done="0"/>
  <w15:commentEx w15:paraId="6ACF2D35" w15:done="0"/>
  <w15:commentEx w15:paraId="56573F8C" w15:done="0"/>
  <w15:commentEx w15:paraId="5E1C259A" w15:done="0"/>
  <w15:commentEx w15:paraId="511CA45D" w15:done="0"/>
  <w15:commentEx w15:paraId="7B0CFF09" w15:done="0"/>
  <w15:commentEx w15:paraId="6796CB1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7FC4CF2A">
    <w:panose1 w:val="020B0604020202020204"/>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5363725"/>
      <w:docPartObj>
        <w:docPartGallery w:val="autotext"/>
      </w:docPartObj>
    </w:sdtPr>
    <w:sdtContent>
      <w:p w14:paraId="59A95BE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1D95D484">
    <w:pPr>
      <w:pStyle w:val="13"/>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0">
    <w:p>
      <w:pPr>
        <w:spacing w:before="0" w:after="0" w:line="278" w:lineRule="auto"/>
      </w:pPr>
      <w:r>
        <w:separator/>
      </w:r>
    </w:p>
  </w:footnote>
  <w:footnote w:type="continuationSeparator" w:id="71">
    <w:p>
      <w:pPr>
        <w:spacing w:before="0" w:after="0" w:line="278" w:lineRule="auto"/>
      </w:pPr>
      <w:r>
        <w:continuationSeparator/>
      </w:r>
    </w:p>
  </w:footnote>
  <w:footnote w:id="0">
    <w:p w14:paraId="084FBC87">
      <w:pPr>
        <w:pStyle w:val="16"/>
        <w:rPr>
          <w:rFonts w:hint="eastAsia"/>
        </w:rPr>
      </w:pPr>
      <w:r>
        <w:rPr>
          <w:rStyle w:val="24"/>
          <w:rFonts w:hint="eastAsia"/>
        </w:rPr>
        <w:footnoteRef/>
      </w:r>
      <w:r>
        <w:rPr>
          <w:rFonts w:hint="eastAsia"/>
        </w:rPr>
        <w:t xml:space="preserve"> https://www.cac.gov.cn/2024-01/05/c_1706119078060945.htm</w:t>
      </w:r>
    </w:p>
  </w:footnote>
  <w:footnote w:id="1">
    <w:p w14:paraId="6583E3B8">
      <w:pPr>
        <w:pStyle w:val="16"/>
        <w:rPr>
          <w:rFonts w:hint="eastAsia"/>
        </w:rPr>
      </w:pPr>
      <w:r>
        <w:rPr>
          <w:rStyle w:val="24"/>
          <w:rFonts w:hint="eastAsia"/>
        </w:rPr>
        <w:footnoteRef/>
      </w:r>
      <w:r>
        <w:rPr>
          <w:rFonts w:hint="eastAsia"/>
        </w:rPr>
        <w:t xml:space="preserve"> https://jxt.zj.gov.cn/art/2023/8/10/art_1657978_58930925.html</w:t>
      </w:r>
    </w:p>
  </w:footnote>
  <w:footnote w:id="2">
    <w:p w14:paraId="6D3CCC7C">
      <w:pPr>
        <w:pStyle w:val="16"/>
        <w:rPr>
          <w:rFonts w:hint="eastAsia"/>
        </w:rPr>
      </w:pPr>
      <w:r>
        <w:rPr>
          <w:rStyle w:val="24"/>
          <w:rFonts w:hint="eastAsia"/>
        </w:rPr>
        <w:footnoteRef/>
      </w:r>
      <w:r>
        <w:rPr>
          <w:rFonts w:hint="eastAsia"/>
        </w:rPr>
        <w:t xml:space="preserve"> https://www.mot.gov.cn/xinwen/jiaotongyaowen/202512/t20251226_4185187.html</w:t>
      </w:r>
    </w:p>
  </w:footnote>
  <w:footnote w:id="3">
    <w:p w14:paraId="582618B5">
      <w:pPr>
        <w:pStyle w:val="16"/>
        <w:rPr>
          <w:rFonts w:hint="eastAsia"/>
        </w:rPr>
      </w:pPr>
      <w:r>
        <w:rPr>
          <w:rStyle w:val="24"/>
          <w:rFonts w:hint="eastAsia"/>
        </w:rPr>
        <w:footnoteRef/>
      </w:r>
      <w:r>
        <w:rPr>
          <w:rFonts w:hint="eastAsia"/>
        </w:rPr>
        <w:t xml:space="preserve"> </w:t>
      </w:r>
      <w:r>
        <w:fldChar w:fldCharType="begin"/>
      </w:r>
      <w:r>
        <w:instrText xml:space="preserve"> HYPERLINK "https://pdf.dfcfw.com/pdf/H2_AN202411011640667451_1.pdf" </w:instrText>
      </w:r>
      <w:r>
        <w:fldChar w:fldCharType="separate"/>
      </w:r>
      <w:r>
        <w:rPr>
          <w:rStyle w:val="22"/>
        </w:rPr>
        <w:t>H2_AN202411011640667451_1.pdf</w:t>
      </w:r>
      <w:r>
        <w:rPr>
          <w:rStyle w:val="22"/>
        </w:rPr>
        <w:fldChar w:fldCharType="end"/>
      </w:r>
    </w:p>
  </w:footnote>
  <w:footnote w:id="4">
    <w:p w14:paraId="798BDB46">
      <w:pPr>
        <w:pStyle w:val="16"/>
        <w:rPr>
          <w:rFonts w:hint="eastAsia"/>
        </w:rPr>
      </w:pPr>
      <w:r>
        <w:rPr>
          <w:rStyle w:val="24"/>
          <w:rFonts w:hint="eastAsia"/>
        </w:rPr>
        <w:footnoteRef/>
      </w:r>
      <w:r>
        <w:rPr>
          <w:rFonts w:hint="eastAsia"/>
        </w:rPr>
        <w:t xml:space="preserve"> https://zj87.jxt.zj.gov.cn/zlzq/web/views/article/news/detail.html?id=272518</w:t>
      </w:r>
    </w:p>
  </w:footnote>
  <w:footnote w:id="5">
    <w:p w14:paraId="754A66F1">
      <w:pPr>
        <w:pStyle w:val="16"/>
        <w:rPr>
          <w:rFonts w:hint="eastAsia"/>
        </w:rPr>
      </w:pPr>
      <w:r>
        <w:rPr>
          <w:rStyle w:val="24"/>
          <w:rFonts w:hint="eastAsia"/>
        </w:rPr>
        <w:footnoteRef/>
      </w:r>
      <w:r>
        <w:rPr>
          <w:rFonts w:hint="eastAsia"/>
        </w:rPr>
        <w:t>https://zfgb.hangzhou.gov.cn/upload/default/bigfile/2025/06/03/20250603_5f817322513fff9f114b852dc60bab67.pdf</w:t>
      </w:r>
    </w:p>
  </w:footnote>
  <w:footnote w:id="6">
    <w:p w14:paraId="7E6ABC65">
      <w:pPr>
        <w:pStyle w:val="16"/>
        <w:rPr>
          <w:rFonts w:hint="eastAsia"/>
        </w:rPr>
      </w:pPr>
      <w:r>
        <w:rPr>
          <w:rStyle w:val="24"/>
          <w:rFonts w:hint="eastAsia"/>
        </w:rPr>
        <w:footnoteRef/>
      </w:r>
      <w:r>
        <w:rPr>
          <w:rFonts w:hint="eastAsia"/>
        </w:rPr>
        <w:t xml:space="preserve"> https://www.163.com/dy/article/KLPST8SI05568W0A.html</w:t>
      </w:r>
    </w:p>
  </w:footnote>
  <w:footnote w:id="7">
    <w:p w14:paraId="4BA7EBCB">
      <w:pPr>
        <w:pStyle w:val="16"/>
        <w:rPr>
          <w:rFonts w:hint="eastAsia"/>
        </w:rPr>
      </w:pPr>
      <w:r>
        <w:rPr>
          <w:rStyle w:val="24"/>
          <w:rFonts w:hint="eastAsia"/>
        </w:rPr>
        <w:footnoteRef/>
      </w:r>
      <w:r>
        <w:rPr>
          <w:rFonts w:hint="eastAsia"/>
        </w:rPr>
        <w:t xml:space="preserve"> https://tradeinservices.mofcom.gov.cn/article/gjszck/zcfb/202107/117927.html</w:t>
      </w:r>
    </w:p>
  </w:footnote>
  <w:footnote w:id="8">
    <w:p w14:paraId="01E11E82">
      <w:pPr>
        <w:pStyle w:val="16"/>
        <w:rPr>
          <w:rFonts w:hint="eastAsia"/>
        </w:rPr>
      </w:pPr>
      <w:r>
        <w:rPr>
          <w:rStyle w:val="24"/>
          <w:rFonts w:hint="eastAsia"/>
        </w:rPr>
        <w:footnoteRef/>
      </w:r>
      <w:r>
        <w:rPr>
          <w:rFonts w:hint="eastAsia"/>
        </w:rPr>
        <w:t xml:space="preserve"> https://zjnews.zjol.com.cn/yc/qmt/202504/t20250409_30929359.shtml</w:t>
      </w:r>
    </w:p>
  </w:footnote>
  <w:footnote w:id="9">
    <w:p w14:paraId="719B8989">
      <w:pPr>
        <w:pStyle w:val="16"/>
        <w:rPr>
          <w:rFonts w:hint="eastAsia"/>
        </w:rPr>
      </w:pPr>
      <w:r>
        <w:rPr>
          <w:rStyle w:val="24"/>
          <w:rFonts w:hint="eastAsia"/>
        </w:rPr>
        <w:footnoteRef/>
      </w:r>
      <w:r>
        <w:rPr>
          <w:rFonts w:hint="eastAsia"/>
        </w:rPr>
        <w:t xml:space="preserve"> https://baike.baidu.com/item/%E9%BE%99%E5%BA%86%E9%AB%98%E9%80%9F%E5%85%AC%E8%B7%AF/7055552</w:t>
      </w:r>
    </w:p>
  </w:footnote>
  <w:footnote w:id="10">
    <w:p w14:paraId="5439D7D2">
      <w:pPr>
        <w:pStyle w:val="16"/>
        <w:rPr>
          <w:rFonts w:hint="eastAsia"/>
        </w:rPr>
      </w:pPr>
      <w:r>
        <w:rPr>
          <w:rStyle w:val="24"/>
          <w:rFonts w:hint="eastAsia"/>
        </w:rPr>
        <w:footnoteRef/>
      </w:r>
      <w:r>
        <w:rPr>
          <w:rFonts w:hint="eastAsia"/>
        </w:rPr>
        <w:t xml:space="preserve"> https://zfgb.hangzhou.gov.cn/upload/default/bigfile/2025/06/03/20250603_15ae5ab35bf3327df3e981b95eed5b15.pdf</w:t>
      </w:r>
    </w:p>
  </w:footnote>
  <w:footnote w:id="11">
    <w:p w14:paraId="48C8AC86">
      <w:pPr>
        <w:pStyle w:val="16"/>
        <w:rPr>
          <w:rFonts w:hint="eastAsia"/>
        </w:rPr>
      </w:pPr>
      <w:r>
        <w:rPr>
          <w:rStyle w:val="24"/>
          <w:rFonts w:hint="eastAsia"/>
        </w:rPr>
        <w:footnoteRef/>
      </w:r>
      <w:r>
        <w:rPr>
          <w:rFonts w:hint="eastAsia"/>
        </w:rPr>
        <w:t xml:space="preserve"> https://mp.weixin.qq.com/s?__biz=MjM5ODM4Mjg3Mg==&amp;mid=2651677499&amp;idx=3&amp;sn=4e2b49df83475842b8da4ba6213c0fc6&amp;poc_token=HBssoWmjPseUIS4OxlEe-32svhGW30A0ufoiirOj</w:t>
      </w:r>
    </w:p>
  </w:footnote>
  <w:footnote w:id="12">
    <w:p w14:paraId="209AA918">
      <w:pPr>
        <w:pStyle w:val="16"/>
        <w:rPr>
          <w:rFonts w:hint="eastAsia"/>
        </w:rPr>
      </w:pPr>
      <w:r>
        <w:rPr>
          <w:rStyle w:val="24"/>
          <w:rFonts w:hint="eastAsia"/>
        </w:rPr>
        <w:footnoteRef/>
      </w:r>
      <w:r>
        <w:rPr>
          <w:rFonts w:hint="eastAsia"/>
        </w:rPr>
        <w:t xml:space="preserve"> https://jtysj.jiaxing.gov.cn/art/2025/1/7/art_1229503215_2542423.html</w:t>
      </w:r>
    </w:p>
  </w:footnote>
  <w:footnote w:id="13">
    <w:p w14:paraId="14D5444D">
      <w:pPr>
        <w:pStyle w:val="16"/>
        <w:rPr>
          <w:rFonts w:hint="eastAsia"/>
        </w:rPr>
      </w:pPr>
      <w:r>
        <w:rPr>
          <w:rStyle w:val="24"/>
          <w:rFonts w:hint="eastAsia"/>
        </w:rPr>
        <w:footnoteRef/>
      </w:r>
      <w:r>
        <w:rPr>
          <w:rFonts w:hint="eastAsia"/>
        </w:rPr>
        <w:t xml:space="preserve"> https://zjic.zj.gov.cn/ywdh/nyhj/202512/t20251202_23838060.shtml</w:t>
      </w:r>
    </w:p>
  </w:footnote>
  <w:footnote w:id="14">
    <w:p w14:paraId="0BDECD7E">
      <w:pPr>
        <w:pStyle w:val="16"/>
        <w:rPr>
          <w:rFonts w:hint="eastAsia"/>
        </w:rPr>
      </w:pPr>
      <w:r>
        <w:rPr>
          <w:rStyle w:val="24"/>
          <w:rFonts w:hint="eastAsia"/>
        </w:rPr>
        <w:footnoteRef/>
      </w:r>
      <w:r>
        <w:rPr>
          <w:rFonts w:hint="eastAsia"/>
        </w:rPr>
        <w:t xml:space="preserve"> https://jtyst.zj.gov.cn/art/2025/4/10/art_1229248360_5493829.html</w:t>
      </w:r>
    </w:p>
  </w:footnote>
  <w:footnote w:id="15">
    <w:p w14:paraId="0A2E99FF">
      <w:pPr>
        <w:pStyle w:val="16"/>
        <w:rPr>
          <w:rFonts w:hint="eastAsia"/>
        </w:rPr>
      </w:pPr>
      <w:r>
        <w:rPr>
          <w:rStyle w:val="24"/>
          <w:rFonts w:hint="eastAsia"/>
        </w:rPr>
        <w:footnoteRef/>
      </w:r>
      <w:r>
        <w:rPr>
          <w:rFonts w:hint="eastAsia"/>
        </w:rPr>
        <w:t xml:space="preserve"> https://mp.weixin.qq.com/s?__biz=MjM5ODM4Mjg3Mg==&amp;mid=2651677499&amp;idx=3&amp;sn=4e2b49df83475842b8da4ba6213c0fc6&amp;poc_token=HPxEoWmjE3g_j9svSI1mUuadf_WV44o_rWY7u57c</w:t>
      </w:r>
    </w:p>
  </w:footnote>
  <w:footnote w:id="16">
    <w:p w14:paraId="51B98A55">
      <w:pPr>
        <w:pStyle w:val="16"/>
        <w:rPr>
          <w:rFonts w:hint="eastAsia"/>
        </w:rPr>
      </w:pPr>
      <w:r>
        <w:rPr>
          <w:rStyle w:val="24"/>
          <w:rFonts w:hint="eastAsia"/>
        </w:rPr>
        <w:footnoteRef/>
      </w:r>
      <w:r>
        <w:rPr>
          <w:rFonts w:hint="eastAsia"/>
        </w:rPr>
        <w:t xml:space="preserve"> https://www.zjseaport.com/jtnews/zjshgjt_nbzsgjt-ww/jtxw/202601/t20260114_6586210.shtml</w:t>
      </w:r>
    </w:p>
  </w:footnote>
  <w:footnote w:id="17">
    <w:p w14:paraId="0EA89CB3">
      <w:pPr>
        <w:pStyle w:val="16"/>
        <w:rPr>
          <w:rFonts w:hint="eastAsia"/>
        </w:rPr>
      </w:pPr>
      <w:r>
        <w:rPr>
          <w:rStyle w:val="24"/>
          <w:rFonts w:hint="eastAsia"/>
        </w:rPr>
        <w:footnoteRef/>
      </w:r>
      <w:r>
        <w:rPr>
          <w:rFonts w:hint="eastAsia"/>
        </w:rPr>
        <w:t xml:space="preserve"> https://www.cncico.com/newscenter.html?nid=2&amp;category=7225&amp;id=5966989</w:t>
      </w:r>
    </w:p>
  </w:footnote>
  <w:footnote w:id="18">
    <w:p w14:paraId="79D3580B">
      <w:pPr>
        <w:pStyle w:val="16"/>
        <w:rPr>
          <w:rFonts w:hint="eastAsia"/>
        </w:rPr>
      </w:pPr>
      <w:r>
        <w:rPr>
          <w:rStyle w:val="24"/>
          <w:rFonts w:hint="eastAsia"/>
        </w:rPr>
        <w:footnoteRef/>
      </w:r>
      <w:r>
        <w:rPr>
          <w:rFonts w:hint="eastAsia"/>
        </w:rPr>
        <w:t xml:space="preserve"> https://jtyst.zj.gov.cn/art/2025/4/10/art_1229248360_5493829.html</w:t>
      </w:r>
    </w:p>
  </w:footnote>
  <w:footnote w:id="19">
    <w:p w14:paraId="1FD0CE6B">
      <w:pPr>
        <w:pStyle w:val="16"/>
        <w:rPr>
          <w:rFonts w:hint="eastAsia"/>
        </w:rPr>
      </w:pPr>
      <w:r>
        <w:rPr>
          <w:rStyle w:val="24"/>
          <w:rFonts w:hint="eastAsia"/>
        </w:rPr>
        <w:footnoteRef/>
      </w:r>
      <w:r>
        <w:rPr>
          <w:rFonts w:hint="eastAsia"/>
        </w:rPr>
        <w:t xml:space="preserve"> https://zjic.zj.gov.cn/ywdh/ggkf/202602/t20260211_23946331.shtml</w:t>
      </w:r>
    </w:p>
  </w:footnote>
  <w:footnote w:id="20">
    <w:p w14:paraId="79D55476">
      <w:pPr>
        <w:pStyle w:val="16"/>
        <w:rPr>
          <w:rFonts w:hint="eastAsia"/>
        </w:rPr>
      </w:pPr>
      <w:r>
        <w:rPr>
          <w:rStyle w:val="24"/>
          <w:rFonts w:hint="eastAsia"/>
        </w:rPr>
        <w:footnoteRef/>
      </w:r>
      <w:r>
        <w:rPr>
          <w:rFonts w:hint="eastAsia"/>
        </w:rPr>
        <w:t xml:space="preserve"> https://mp.weixin.qq.com/s?__biz=MzIwMDU4MDk5MQ==&amp;mid=2650926715&amp;idx=2&amp;sn=1f4bad9f1c2abf39159a2d66f299308b&amp;poc_token=HFFRoWmjbCaqnQ1yIf2SlItY1tQkoZ7TRvz5RlZw</w:t>
      </w:r>
    </w:p>
  </w:footnote>
  <w:footnote w:id="21">
    <w:p w14:paraId="3BE7BED4">
      <w:pPr>
        <w:pStyle w:val="16"/>
        <w:rPr>
          <w:rFonts w:hint="eastAsia"/>
        </w:rPr>
      </w:pPr>
      <w:r>
        <w:rPr>
          <w:rStyle w:val="24"/>
          <w:rFonts w:hint="eastAsia"/>
        </w:rPr>
        <w:footnoteRef/>
      </w:r>
      <w:r>
        <w:rPr>
          <w:rFonts w:hint="eastAsia"/>
        </w:rPr>
        <w:t xml:space="preserve"> </w:t>
      </w:r>
      <w:bookmarkStart w:id="213" w:name="OLE_LINK402"/>
      <w:r>
        <w:rPr>
          <w:rFonts w:hint="eastAsia"/>
        </w:rPr>
        <w:t>https://www.cncico.com/newscenter.html?nid=2&amp;category=7225&amp;id=5966989</w:t>
      </w:r>
      <w:bookmarkEnd w:id="213"/>
    </w:p>
  </w:footnote>
  <w:footnote w:id="22">
    <w:p w14:paraId="40B541E7">
      <w:pPr>
        <w:pStyle w:val="16"/>
        <w:rPr>
          <w:rFonts w:hint="eastAsia"/>
        </w:rPr>
      </w:pPr>
      <w:r>
        <w:rPr>
          <w:rStyle w:val="24"/>
          <w:rFonts w:hint="eastAsia"/>
        </w:rPr>
        <w:footnoteRef/>
      </w:r>
      <w:r>
        <w:rPr>
          <w:rFonts w:hint="eastAsia"/>
        </w:rPr>
        <w:t xml:space="preserve"> https://www.21jingji.com/article/20251209/herald/0f1d989384b3e515b8ad87ec68b8f1c8.html</w:t>
      </w:r>
    </w:p>
  </w:footnote>
  <w:footnote w:id="23">
    <w:p w14:paraId="1BCBAD69">
      <w:pPr>
        <w:pStyle w:val="16"/>
        <w:rPr>
          <w:rFonts w:hint="eastAsia"/>
        </w:rPr>
      </w:pPr>
      <w:r>
        <w:rPr>
          <w:rStyle w:val="24"/>
          <w:rFonts w:hint="eastAsia"/>
        </w:rPr>
        <w:footnoteRef/>
      </w:r>
      <w:r>
        <w:rPr>
          <w:rFonts w:hint="eastAsia"/>
        </w:rPr>
        <w:t xml:space="preserve"> https://pdf.dfcfw.com/pdf/H3_AP202412261641430784_1.pdf?1735224206000.pdf</w:t>
      </w:r>
    </w:p>
  </w:footnote>
  <w:footnote w:id="24">
    <w:p w14:paraId="045F7680">
      <w:pPr>
        <w:pStyle w:val="16"/>
        <w:rPr>
          <w:rFonts w:hint="eastAsia"/>
        </w:rPr>
      </w:pPr>
      <w:r>
        <w:rPr>
          <w:rStyle w:val="24"/>
          <w:rFonts w:hint="eastAsia"/>
        </w:rPr>
        <w:footnoteRef/>
      </w:r>
      <w:r>
        <w:rPr>
          <w:rFonts w:hint="eastAsia"/>
        </w:rPr>
        <w:t xml:space="preserve"> https://zj87.jxt.zj.gov.cn/zlzq/web/views/article/news/detail.html?id=231908</w:t>
      </w:r>
    </w:p>
  </w:footnote>
  <w:footnote w:id="25">
    <w:p w14:paraId="628EF44F">
      <w:pPr>
        <w:pStyle w:val="16"/>
        <w:rPr>
          <w:rFonts w:hint="eastAsia"/>
        </w:rPr>
      </w:pPr>
      <w:r>
        <w:rPr>
          <w:rStyle w:val="24"/>
          <w:rFonts w:hint="eastAsia"/>
        </w:rPr>
        <w:footnoteRef/>
      </w:r>
      <w:r>
        <w:rPr>
          <w:rFonts w:hint="eastAsia"/>
        </w:rPr>
        <w:t xml:space="preserve"> http://www.zcsvillages.com/upload/2023/0413/9a76828f-9a7d-404b-96b1-29f3bf798c00.pdf</w:t>
      </w:r>
    </w:p>
  </w:footnote>
  <w:footnote w:id="26">
    <w:p w14:paraId="7440C52F">
      <w:pPr>
        <w:pStyle w:val="16"/>
        <w:rPr>
          <w:rFonts w:hint="eastAsia"/>
        </w:rPr>
      </w:pPr>
      <w:r>
        <w:rPr>
          <w:rStyle w:val="24"/>
          <w:rFonts w:hint="eastAsia"/>
        </w:rPr>
        <w:footnoteRef/>
      </w:r>
      <w:r>
        <w:rPr>
          <w:rFonts w:hint="eastAsia"/>
        </w:rPr>
        <w:t xml:space="preserve"> http://www.zj.xinhuanet.com/20251207/04171dd392564317bc83370d065e92a0/c.html</w:t>
      </w:r>
    </w:p>
  </w:footnote>
  <w:footnote w:id="27">
    <w:p w14:paraId="290C2814">
      <w:pPr>
        <w:pStyle w:val="16"/>
        <w:rPr>
          <w:rFonts w:hint="eastAsia"/>
        </w:rPr>
      </w:pPr>
      <w:r>
        <w:rPr>
          <w:rStyle w:val="24"/>
          <w:rFonts w:hint="eastAsia"/>
        </w:rPr>
        <w:footnoteRef/>
      </w:r>
      <w:r>
        <w:rPr>
          <w:rFonts w:hint="eastAsia"/>
        </w:rPr>
        <w:t xml:space="preserve"> https://qf.ningbo.gov.cn/qfpt/bl/cylyls/xmqd/index.html</w:t>
      </w:r>
    </w:p>
  </w:footnote>
  <w:footnote w:id="28">
    <w:p w14:paraId="2DD9B197">
      <w:pPr>
        <w:pStyle w:val="16"/>
        <w:rPr>
          <w:rFonts w:hint="eastAsia"/>
        </w:rPr>
      </w:pPr>
      <w:r>
        <w:rPr>
          <w:rStyle w:val="24"/>
          <w:rFonts w:hint="eastAsia"/>
        </w:rPr>
        <w:footnoteRef/>
      </w:r>
      <w:r>
        <w:rPr>
          <w:rFonts w:hint="eastAsia"/>
        </w:rPr>
        <w:t xml:space="preserve"> https://zjjcmspublic.oss-cn-hangzhou-zwynet-d01-a.internet.cloud.zj.gov.cn/jcms_files/jcms1/web3773/site/attach/0/4193c78ded304d13a44c5fa64a17942a.pdf</w:t>
      </w:r>
    </w:p>
  </w:footnote>
  <w:footnote w:id="29">
    <w:p w14:paraId="146B9639">
      <w:pPr>
        <w:pStyle w:val="16"/>
        <w:rPr>
          <w:rFonts w:hint="eastAsia"/>
        </w:rPr>
      </w:pPr>
      <w:r>
        <w:rPr>
          <w:rStyle w:val="24"/>
          <w:rFonts w:hint="eastAsia"/>
        </w:rPr>
        <w:footnoteRef/>
      </w:r>
      <w:r>
        <w:rPr>
          <w:rFonts w:hint="eastAsia"/>
        </w:rPr>
        <w:t xml:space="preserve"> https://pc-sjzs.zhanqirsj.com/sjzs/news?id=17390</w:t>
      </w:r>
    </w:p>
  </w:footnote>
  <w:footnote w:id="30">
    <w:p w14:paraId="618DFDEC">
      <w:pPr>
        <w:pStyle w:val="16"/>
        <w:rPr>
          <w:rFonts w:hint="eastAsia"/>
        </w:rPr>
      </w:pPr>
      <w:r>
        <w:rPr>
          <w:rStyle w:val="24"/>
          <w:rFonts w:hint="eastAsia"/>
        </w:rPr>
        <w:footnoteRef/>
      </w:r>
      <w:r>
        <w:rPr>
          <w:rFonts w:hint="eastAsia"/>
        </w:rPr>
        <w:t xml:space="preserve"> https://zjjcmspublic.oss-cn-hangzhou-zwynet-d01-a.internet.cloud.zj.gov.cn/jcms_files/jcms1/web2984/site/attach/0/2401241508025284.pdf</w:t>
      </w:r>
    </w:p>
  </w:footnote>
  <w:footnote w:id="31">
    <w:p w14:paraId="34DF7454">
      <w:pPr>
        <w:pStyle w:val="16"/>
        <w:rPr>
          <w:rFonts w:hint="eastAsia"/>
        </w:rPr>
      </w:pPr>
      <w:r>
        <w:rPr>
          <w:rStyle w:val="24"/>
          <w:rFonts w:hint="eastAsia"/>
        </w:rPr>
        <w:footnoteRef/>
      </w:r>
      <w:r>
        <w:rPr>
          <w:rFonts w:hint="eastAsia"/>
        </w:rPr>
        <w:t xml:space="preserve"> http://jxj.ningbo.gov.cn/art/2024/1/19/art_1229561617_58938692.html</w:t>
      </w:r>
    </w:p>
  </w:footnote>
  <w:footnote w:id="32">
    <w:p w14:paraId="5529CB53">
      <w:pPr>
        <w:pStyle w:val="16"/>
        <w:rPr>
          <w:rFonts w:hint="eastAsia"/>
        </w:rPr>
      </w:pPr>
      <w:r>
        <w:rPr>
          <w:rStyle w:val="24"/>
          <w:rFonts w:hint="eastAsia"/>
        </w:rPr>
        <w:footnoteRef/>
      </w:r>
      <w:r>
        <w:rPr>
          <w:rFonts w:hint="eastAsia"/>
        </w:rPr>
        <w:t xml:space="preserve"> https://www.zjkfq.org.cn/newsinfo/10884388.html</w:t>
      </w:r>
    </w:p>
  </w:footnote>
  <w:footnote w:id="33">
    <w:p w14:paraId="58EF1B42">
      <w:pPr>
        <w:pStyle w:val="16"/>
        <w:rPr>
          <w:rFonts w:hint="eastAsia"/>
        </w:rPr>
      </w:pPr>
      <w:r>
        <w:rPr>
          <w:rStyle w:val="24"/>
          <w:rFonts w:hint="eastAsia"/>
        </w:rPr>
        <w:footnoteRef/>
      </w:r>
      <w:r>
        <w:rPr>
          <w:rFonts w:hint="eastAsia"/>
        </w:rPr>
        <w:t xml:space="preserve"> https://dg.bendibao.com/traffic/202428/traffic170533.shtm</w:t>
      </w:r>
    </w:p>
  </w:footnote>
  <w:footnote w:id="34">
    <w:p w14:paraId="459A6D10">
      <w:pPr>
        <w:pStyle w:val="16"/>
        <w:rPr>
          <w:rFonts w:hint="eastAsia"/>
        </w:rPr>
      </w:pPr>
      <w:r>
        <w:rPr>
          <w:rStyle w:val="24"/>
          <w:rFonts w:hint="eastAsia"/>
        </w:rPr>
        <w:footnoteRef/>
      </w:r>
      <w:r>
        <w:rPr>
          <w:rFonts w:hint="eastAsia"/>
        </w:rPr>
        <w:t xml:space="preserve"> https://finance.sina.cn/2023-12-21/detail-imzytsic0783458.d.html</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zheng">
    <w15:presenceInfo w15:providerId="WPS Office" w15:userId="3695465618"/>
  </w15:person>
  <w15:person w15:author="泡芙熊">
    <w15:presenceInfo w15:providerId="WPS Office" w15:userId="20569858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70"/>
    <w:footnote w:id="7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EF4"/>
    <w:rsid w:val="000000AC"/>
    <w:rsid w:val="00001290"/>
    <w:rsid w:val="0000532A"/>
    <w:rsid w:val="00006AB0"/>
    <w:rsid w:val="000071EF"/>
    <w:rsid w:val="00010C30"/>
    <w:rsid w:val="00010E63"/>
    <w:rsid w:val="000113BE"/>
    <w:rsid w:val="000134AF"/>
    <w:rsid w:val="00015E97"/>
    <w:rsid w:val="000204AA"/>
    <w:rsid w:val="00022ACD"/>
    <w:rsid w:val="000242E6"/>
    <w:rsid w:val="00024893"/>
    <w:rsid w:val="00030047"/>
    <w:rsid w:val="000354F5"/>
    <w:rsid w:val="00040137"/>
    <w:rsid w:val="00042926"/>
    <w:rsid w:val="00046B01"/>
    <w:rsid w:val="00047A87"/>
    <w:rsid w:val="00050068"/>
    <w:rsid w:val="00052F91"/>
    <w:rsid w:val="00055616"/>
    <w:rsid w:val="00055A19"/>
    <w:rsid w:val="000574AE"/>
    <w:rsid w:val="000602CA"/>
    <w:rsid w:val="000613AE"/>
    <w:rsid w:val="00064959"/>
    <w:rsid w:val="00066DF8"/>
    <w:rsid w:val="00070FA8"/>
    <w:rsid w:val="00074697"/>
    <w:rsid w:val="000753FD"/>
    <w:rsid w:val="00075E5C"/>
    <w:rsid w:val="00076689"/>
    <w:rsid w:val="00077002"/>
    <w:rsid w:val="00080518"/>
    <w:rsid w:val="00081553"/>
    <w:rsid w:val="000815E2"/>
    <w:rsid w:val="000817EE"/>
    <w:rsid w:val="000821AC"/>
    <w:rsid w:val="00083E55"/>
    <w:rsid w:val="0009176F"/>
    <w:rsid w:val="00091E18"/>
    <w:rsid w:val="00092D51"/>
    <w:rsid w:val="000A057C"/>
    <w:rsid w:val="000A05A3"/>
    <w:rsid w:val="000A123F"/>
    <w:rsid w:val="000A1CA8"/>
    <w:rsid w:val="000A240A"/>
    <w:rsid w:val="000A2C03"/>
    <w:rsid w:val="000A2D06"/>
    <w:rsid w:val="000A2DEC"/>
    <w:rsid w:val="000A3C3A"/>
    <w:rsid w:val="000A6BC0"/>
    <w:rsid w:val="000B0334"/>
    <w:rsid w:val="000B0977"/>
    <w:rsid w:val="000B0F44"/>
    <w:rsid w:val="000B13D1"/>
    <w:rsid w:val="000B3DCD"/>
    <w:rsid w:val="000B7565"/>
    <w:rsid w:val="000B7FDD"/>
    <w:rsid w:val="000C08E1"/>
    <w:rsid w:val="000C4D4B"/>
    <w:rsid w:val="000C5307"/>
    <w:rsid w:val="000C5719"/>
    <w:rsid w:val="000C6A07"/>
    <w:rsid w:val="000D0209"/>
    <w:rsid w:val="000D10B8"/>
    <w:rsid w:val="000D1F1D"/>
    <w:rsid w:val="000D4A9F"/>
    <w:rsid w:val="000D549A"/>
    <w:rsid w:val="000D6186"/>
    <w:rsid w:val="000D79E3"/>
    <w:rsid w:val="000E1DE3"/>
    <w:rsid w:val="000E272B"/>
    <w:rsid w:val="000E2A09"/>
    <w:rsid w:val="000E4381"/>
    <w:rsid w:val="000E5FE7"/>
    <w:rsid w:val="000E7EA5"/>
    <w:rsid w:val="000F0C85"/>
    <w:rsid w:val="000F579D"/>
    <w:rsid w:val="000F5E30"/>
    <w:rsid w:val="000F6CE5"/>
    <w:rsid w:val="000F74AB"/>
    <w:rsid w:val="00100587"/>
    <w:rsid w:val="001006CF"/>
    <w:rsid w:val="00102267"/>
    <w:rsid w:val="001023D4"/>
    <w:rsid w:val="001025CC"/>
    <w:rsid w:val="00103C06"/>
    <w:rsid w:val="0010657E"/>
    <w:rsid w:val="00107EF1"/>
    <w:rsid w:val="00110A87"/>
    <w:rsid w:val="00110ABD"/>
    <w:rsid w:val="00112459"/>
    <w:rsid w:val="00112CB8"/>
    <w:rsid w:val="00116A21"/>
    <w:rsid w:val="00122BE8"/>
    <w:rsid w:val="00122CC5"/>
    <w:rsid w:val="001234BD"/>
    <w:rsid w:val="00124045"/>
    <w:rsid w:val="001247C4"/>
    <w:rsid w:val="00126906"/>
    <w:rsid w:val="00127722"/>
    <w:rsid w:val="0013236C"/>
    <w:rsid w:val="00132E17"/>
    <w:rsid w:val="00133CB4"/>
    <w:rsid w:val="00134E11"/>
    <w:rsid w:val="0014039C"/>
    <w:rsid w:val="001413A3"/>
    <w:rsid w:val="001420EB"/>
    <w:rsid w:val="00142F83"/>
    <w:rsid w:val="00143D5E"/>
    <w:rsid w:val="00145873"/>
    <w:rsid w:val="0015119C"/>
    <w:rsid w:val="00151790"/>
    <w:rsid w:val="0015236A"/>
    <w:rsid w:val="0015707A"/>
    <w:rsid w:val="001620CE"/>
    <w:rsid w:val="001636D1"/>
    <w:rsid w:val="00167EEE"/>
    <w:rsid w:val="00170B58"/>
    <w:rsid w:val="0017308A"/>
    <w:rsid w:val="00173E92"/>
    <w:rsid w:val="00174EE4"/>
    <w:rsid w:val="001755D5"/>
    <w:rsid w:val="00176D97"/>
    <w:rsid w:val="0017708C"/>
    <w:rsid w:val="00177F93"/>
    <w:rsid w:val="0018058E"/>
    <w:rsid w:val="0018072B"/>
    <w:rsid w:val="00182194"/>
    <w:rsid w:val="00187844"/>
    <w:rsid w:val="00190321"/>
    <w:rsid w:val="0019295A"/>
    <w:rsid w:val="00192D22"/>
    <w:rsid w:val="00192EA9"/>
    <w:rsid w:val="0019487F"/>
    <w:rsid w:val="00195409"/>
    <w:rsid w:val="00197CA6"/>
    <w:rsid w:val="001A4962"/>
    <w:rsid w:val="001A4EED"/>
    <w:rsid w:val="001A5E36"/>
    <w:rsid w:val="001A70B0"/>
    <w:rsid w:val="001A71EB"/>
    <w:rsid w:val="001B08EF"/>
    <w:rsid w:val="001B1387"/>
    <w:rsid w:val="001B5283"/>
    <w:rsid w:val="001B7FE6"/>
    <w:rsid w:val="001C2349"/>
    <w:rsid w:val="001C5827"/>
    <w:rsid w:val="001D0BDD"/>
    <w:rsid w:val="001D5858"/>
    <w:rsid w:val="001D6808"/>
    <w:rsid w:val="001E0270"/>
    <w:rsid w:val="001E22DF"/>
    <w:rsid w:val="001E2359"/>
    <w:rsid w:val="001E60B8"/>
    <w:rsid w:val="001E6706"/>
    <w:rsid w:val="001F0AB8"/>
    <w:rsid w:val="001F7209"/>
    <w:rsid w:val="001F798F"/>
    <w:rsid w:val="00201E93"/>
    <w:rsid w:val="00202A93"/>
    <w:rsid w:val="00202C0A"/>
    <w:rsid w:val="00202ED8"/>
    <w:rsid w:val="0020333C"/>
    <w:rsid w:val="00205ED5"/>
    <w:rsid w:val="002065D6"/>
    <w:rsid w:val="0021228A"/>
    <w:rsid w:val="0021340F"/>
    <w:rsid w:val="00215D68"/>
    <w:rsid w:val="00216D9C"/>
    <w:rsid w:val="002171B9"/>
    <w:rsid w:val="002172A0"/>
    <w:rsid w:val="00220C7D"/>
    <w:rsid w:val="00221FD2"/>
    <w:rsid w:val="00222208"/>
    <w:rsid w:val="00222F47"/>
    <w:rsid w:val="00225D41"/>
    <w:rsid w:val="002264EA"/>
    <w:rsid w:val="002314E7"/>
    <w:rsid w:val="0023164B"/>
    <w:rsid w:val="00232557"/>
    <w:rsid w:val="00236ACA"/>
    <w:rsid w:val="002400D9"/>
    <w:rsid w:val="0024305C"/>
    <w:rsid w:val="00243317"/>
    <w:rsid w:val="00245CC0"/>
    <w:rsid w:val="00246BCE"/>
    <w:rsid w:val="00251FC2"/>
    <w:rsid w:val="002544F1"/>
    <w:rsid w:val="00256076"/>
    <w:rsid w:val="00256325"/>
    <w:rsid w:val="00260899"/>
    <w:rsid w:val="0026170C"/>
    <w:rsid w:val="002617EB"/>
    <w:rsid w:val="00265C8B"/>
    <w:rsid w:val="002676D8"/>
    <w:rsid w:val="00270678"/>
    <w:rsid w:val="00271553"/>
    <w:rsid w:val="00275241"/>
    <w:rsid w:val="002752D2"/>
    <w:rsid w:val="00276B5D"/>
    <w:rsid w:val="00276BEF"/>
    <w:rsid w:val="00285C4D"/>
    <w:rsid w:val="0028627B"/>
    <w:rsid w:val="002865F8"/>
    <w:rsid w:val="00286AC0"/>
    <w:rsid w:val="00287A8E"/>
    <w:rsid w:val="00290C00"/>
    <w:rsid w:val="0029293D"/>
    <w:rsid w:val="00293123"/>
    <w:rsid w:val="00293C33"/>
    <w:rsid w:val="00296502"/>
    <w:rsid w:val="00297050"/>
    <w:rsid w:val="002977C5"/>
    <w:rsid w:val="002A0109"/>
    <w:rsid w:val="002A0121"/>
    <w:rsid w:val="002A44C4"/>
    <w:rsid w:val="002A46F2"/>
    <w:rsid w:val="002A47B4"/>
    <w:rsid w:val="002A4BC8"/>
    <w:rsid w:val="002A5825"/>
    <w:rsid w:val="002A609E"/>
    <w:rsid w:val="002A74A5"/>
    <w:rsid w:val="002B2307"/>
    <w:rsid w:val="002B2503"/>
    <w:rsid w:val="002B346A"/>
    <w:rsid w:val="002B44A1"/>
    <w:rsid w:val="002B4B8A"/>
    <w:rsid w:val="002B5BB4"/>
    <w:rsid w:val="002B6231"/>
    <w:rsid w:val="002C0B9D"/>
    <w:rsid w:val="002C1F37"/>
    <w:rsid w:val="002C2BC3"/>
    <w:rsid w:val="002C69CA"/>
    <w:rsid w:val="002C6C2D"/>
    <w:rsid w:val="002D0ECD"/>
    <w:rsid w:val="002D27FA"/>
    <w:rsid w:val="002D3146"/>
    <w:rsid w:val="002D3ADD"/>
    <w:rsid w:val="002D3BAF"/>
    <w:rsid w:val="002D591A"/>
    <w:rsid w:val="002E179B"/>
    <w:rsid w:val="002E18B1"/>
    <w:rsid w:val="002E4A98"/>
    <w:rsid w:val="002E7BF3"/>
    <w:rsid w:val="002F111F"/>
    <w:rsid w:val="002F2145"/>
    <w:rsid w:val="002F25BA"/>
    <w:rsid w:val="002F377D"/>
    <w:rsid w:val="002F3B23"/>
    <w:rsid w:val="002F501C"/>
    <w:rsid w:val="002F783C"/>
    <w:rsid w:val="002F7C09"/>
    <w:rsid w:val="00300931"/>
    <w:rsid w:val="0030229E"/>
    <w:rsid w:val="00305125"/>
    <w:rsid w:val="003065E3"/>
    <w:rsid w:val="003136DB"/>
    <w:rsid w:val="00313788"/>
    <w:rsid w:val="00315F35"/>
    <w:rsid w:val="003171BC"/>
    <w:rsid w:val="00327BA8"/>
    <w:rsid w:val="00327C3C"/>
    <w:rsid w:val="00331B5D"/>
    <w:rsid w:val="00332887"/>
    <w:rsid w:val="0033474F"/>
    <w:rsid w:val="00336F3C"/>
    <w:rsid w:val="003370A8"/>
    <w:rsid w:val="00337BDA"/>
    <w:rsid w:val="003411E2"/>
    <w:rsid w:val="00345F7D"/>
    <w:rsid w:val="00350AE1"/>
    <w:rsid w:val="00351153"/>
    <w:rsid w:val="00351470"/>
    <w:rsid w:val="00352383"/>
    <w:rsid w:val="003547CE"/>
    <w:rsid w:val="003566AB"/>
    <w:rsid w:val="00356AD0"/>
    <w:rsid w:val="00360513"/>
    <w:rsid w:val="00361759"/>
    <w:rsid w:val="00362559"/>
    <w:rsid w:val="003656E1"/>
    <w:rsid w:val="003669D5"/>
    <w:rsid w:val="00367F25"/>
    <w:rsid w:val="0037320B"/>
    <w:rsid w:val="00373972"/>
    <w:rsid w:val="0037586E"/>
    <w:rsid w:val="00377811"/>
    <w:rsid w:val="00383C8E"/>
    <w:rsid w:val="0038556C"/>
    <w:rsid w:val="00387149"/>
    <w:rsid w:val="0039150C"/>
    <w:rsid w:val="00392118"/>
    <w:rsid w:val="00392673"/>
    <w:rsid w:val="0039321B"/>
    <w:rsid w:val="003938CB"/>
    <w:rsid w:val="003A0344"/>
    <w:rsid w:val="003A2649"/>
    <w:rsid w:val="003A3EB5"/>
    <w:rsid w:val="003A5C3C"/>
    <w:rsid w:val="003A66CF"/>
    <w:rsid w:val="003B3E3C"/>
    <w:rsid w:val="003B47C2"/>
    <w:rsid w:val="003B482F"/>
    <w:rsid w:val="003B61D9"/>
    <w:rsid w:val="003B7662"/>
    <w:rsid w:val="003C1BB1"/>
    <w:rsid w:val="003C350F"/>
    <w:rsid w:val="003D2C0E"/>
    <w:rsid w:val="003D3F67"/>
    <w:rsid w:val="003D5007"/>
    <w:rsid w:val="003D50FC"/>
    <w:rsid w:val="003D5673"/>
    <w:rsid w:val="003D656D"/>
    <w:rsid w:val="003D6D7F"/>
    <w:rsid w:val="003D7BEB"/>
    <w:rsid w:val="003E0810"/>
    <w:rsid w:val="003E490E"/>
    <w:rsid w:val="003F018D"/>
    <w:rsid w:val="003F0A2E"/>
    <w:rsid w:val="003F170B"/>
    <w:rsid w:val="003F1CE3"/>
    <w:rsid w:val="003F43B1"/>
    <w:rsid w:val="003F4876"/>
    <w:rsid w:val="003F4FE1"/>
    <w:rsid w:val="003F673D"/>
    <w:rsid w:val="003F7966"/>
    <w:rsid w:val="00400035"/>
    <w:rsid w:val="00401C48"/>
    <w:rsid w:val="0040204D"/>
    <w:rsid w:val="004020AD"/>
    <w:rsid w:val="0040542D"/>
    <w:rsid w:val="004056CC"/>
    <w:rsid w:val="004061B4"/>
    <w:rsid w:val="004076E8"/>
    <w:rsid w:val="00407A19"/>
    <w:rsid w:val="00407E1B"/>
    <w:rsid w:val="004109B5"/>
    <w:rsid w:val="004122E4"/>
    <w:rsid w:val="004156BA"/>
    <w:rsid w:val="00415BBE"/>
    <w:rsid w:val="00423078"/>
    <w:rsid w:val="0042353D"/>
    <w:rsid w:val="0042442D"/>
    <w:rsid w:val="004249B4"/>
    <w:rsid w:val="0043395B"/>
    <w:rsid w:val="00444151"/>
    <w:rsid w:val="00444D2B"/>
    <w:rsid w:val="00445655"/>
    <w:rsid w:val="00445E0A"/>
    <w:rsid w:val="00447F64"/>
    <w:rsid w:val="00450C71"/>
    <w:rsid w:val="00451920"/>
    <w:rsid w:val="0045656F"/>
    <w:rsid w:val="004626FA"/>
    <w:rsid w:val="00463C98"/>
    <w:rsid w:val="00465B36"/>
    <w:rsid w:val="00466531"/>
    <w:rsid w:val="00470C44"/>
    <w:rsid w:val="00470D0E"/>
    <w:rsid w:val="00471436"/>
    <w:rsid w:val="0047224C"/>
    <w:rsid w:val="004743A9"/>
    <w:rsid w:val="00483605"/>
    <w:rsid w:val="00485562"/>
    <w:rsid w:val="00491ADE"/>
    <w:rsid w:val="004924A4"/>
    <w:rsid w:val="004926A8"/>
    <w:rsid w:val="00492B6F"/>
    <w:rsid w:val="00496689"/>
    <w:rsid w:val="00496A97"/>
    <w:rsid w:val="00497721"/>
    <w:rsid w:val="004A247C"/>
    <w:rsid w:val="004A3E66"/>
    <w:rsid w:val="004A3F16"/>
    <w:rsid w:val="004A422E"/>
    <w:rsid w:val="004A5F28"/>
    <w:rsid w:val="004A6A53"/>
    <w:rsid w:val="004A6FD9"/>
    <w:rsid w:val="004B4AD6"/>
    <w:rsid w:val="004B66B9"/>
    <w:rsid w:val="004B7B0D"/>
    <w:rsid w:val="004C2C62"/>
    <w:rsid w:val="004C306E"/>
    <w:rsid w:val="004C30EC"/>
    <w:rsid w:val="004C3870"/>
    <w:rsid w:val="004C7A39"/>
    <w:rsid w:val="004D3A48"/>
    <w:rsid w:val="004D47B3"/>
    <w:rsid w:val="004D6B58"/>
    <w:rsid w:val="004E0114"/>
    <w:rsid w:val="004E0273"/>
    <w:rsid w:val="004E0846"/>
    <w:rsid w:val="004E2D9F"/>
    <w:rsid w:val="004E2E1C"/>
    <w:rsid w:val="004E4A3E"/>
    <w:rsid w:val="004E5E3B"/>
    <w:rsid w:val="004E7BD2"/>
    <w:rsid w:val="004F0C14"/>
    <w:rsid w:val="004F216A"/>
    <w:rsid w:val="004F3A23"/>
    <w:rsid w:val="004F7882"/>
    <w:rsid w:val="004F7EBF"/>
    <w:rsid w:val="005006BD"/>
    <w:rsid w:val="0050176E"/>
    <w:rsid w:val="005018F0"/>
    <w:rsid w:val="00502E74"/>
    <w:rsid w:val="0050332F"/>
    <w:rsid w:val="00510E80"/>
    <w:rsid w:val="00512F28"/>
    <w:rsid w:val="0051408A"/>
    <w:rsid w:val="00521059"/>
    <w:rsid w:val="005217E9"/>
    <w:rsid w:val="005224D7"/>
    <w:rsid w:val="00523EFC"/>
    <w:rsid w:val="00524217"/>
    <w:rsid w:val="00524B33"/>
    <w:rsid w:val="005257C1"/>
    <w:rsid w:val="0052658F"/>
    <w:rsid w:val="005368B1"/>
    <w:rsid w:val="00541DC4"/>
    <w:rsid w:val="00542B61"/>
    <w:rsid w:val="00545525"/>
    <w:rsid w:val="00545F68"/>
    <w:rsid w:val="00546ED4"/>
    <w:rsid w:val="00554652"/>
    <w:rsid w:val="005562CA"/>
    <w:rsid w:val="00556AFB"/>
    <w:rsid w:val="00556CFD"/>
    <w:rsid w:val="00556D38"/>
    <w:rsid w:val="00557865"/>
    <w:rsid w:val="00562B27"/>
    <w:rsid w:val="00564D33"/>
    <w:rsid w:val="00564DF4"/>
    <w:rsid w:val="00566D7F"/>
    <w:rsid w:val="00566E9A"/>
    <w:rsid w:val="00571940"/>
    <w:rsid w:val="00583FA8"/>
    <w:rsid w:val="00587571"/>
    <w:rsid w:val="00587C42"/>
    <w:rsid w:val="00587F4D"/>
    <w:rsid w:val="0059004E"/>
    <w:rsid w:val="00590F99"/>
    <w:rsid w:val="005A47F6"/>
    <w:rsid w:val="005A5A67"/>
    <w:rsid w:val="005B287D"/>
    <w:rsid w:val="005B331C"/>
    <w:rsid w:val="005C32D1"/>
    <w:rsid w:val="005C4649"/>
    <w:rsid w:val="005C5279"/>
    <w:rsid w:val="005C7895"/>
    <w:rsid w:val="005C7F71"/>
    <w:rsid w:val="005D0FB1"/>
    <w:rsid w:val="005D261C"/>
    <w:rsid w:val="005D2BAC"/>
    <w:rsid w:val="005D3AF0"/>
    <w:rsid w:val="005D56CE"/>
    <w:rsid w:val="005D6CC5"/>
    <w:rsid w:val="005E0522"/>
    <w:rsid w:val="005E05BB"/>
    <w:rsid w:val="005E1DEF"/>
    <w:rsid w:val="005E3E7A"/>
    <w:rsid w:val="005E4573"/>
    <w:rsid w:val="005E50F0"/>
    <w:rsid w:val="005F2969"/>
    <w:rsid w:val="005F4873"/>
    <w:rsid w:val="00600604"/>
    <w:rsid w:val="00603079"/>
    <w:rsid w:val="00603960"/>
    <w:rsid w:val="00612CE1"/>
    <w:rsid w:val="00614F84"/>
    <w:rsid w:val="006179BF"/>
    <w:rsid w:val="0062028C"/>
    <w:rsid w:val="00621416"/>
    <w:rsid w:val="006230E3"/>
    <w:rsid w:val="006238C5"/>
    <w:rsid w:val="00624CAB"/>
    <w:rsid w:val="00625868"/>
    <w:rsid w:val="00627225"/>
    <w:rsid w:val="00627E50"/>
    <w:rsid w:val="0063149A"/>
    <w:rsid w:val="00633426"/>
    <w:rsid w:val="00635948"/>
    <w:rsid w:val="0064056C"/>
    <w:rsid w:val="0064264A"/>
    <w:rsid w:val="00643251"/>
    <w:rsid w:val="00647131"/>
    <w:rsid w:val="0064765F"/>
    <w:rsid w:val="0065245D"/>
    <w:rsid w:val="00652695"/>
    <w:rsid w:val="0065704F"/>
    <w:rsid w:val="00657752"/>
    <w:rsid w:val="00660867"/>
    <w:rsid w:val="006708BE"/>
    <w:rsid w:val="00671585"/>
    <w:rsid w:val="0067160D"/>
    <w:rsid w:val="006721BB"/>
    <w:rsid w:val="00675D13"/>
    <w:rsid w:val="00676784"/>
    <w:rsid w:val="00676A2D"/>
    <w:rsid w:val="00676FCA"/>
    <w:rsid w:val="0067776D"/>
    <w:rsid w:val="00680F15"/>
    <w:rsid w:val="00680FDB"/>
    <w:rsid w:val="00682FC6"/>
    <w:rsid w:val="00685040"/>
    <w:rsid w:val="00685AD5"/>
    <w:rsid w:val="006868AC"/>
    <w:rsid w:val="006878E2"/>
    <w:rsid w:val="006902F8"/>
    <w:rsid w:val="006929FF"/>
    <w:rsid w:val="006941D2"/>
    <w:rsid w:val="00694A30"/>
    <w:rsid w:val="0069583C"/>
    <w:rsid w:val="006A1C98"/>
    <w:rsid w:val="006A2B13"/>
    <w:rsid w:val="006A2E7E"/>
    <w:rsid w:val="006A3C55"/>
    <w:rsid w:val="006A601C"/>
    <w:rsid w:val="006A65F2"/>
    <w:rsid w:val="006B21E8"/>
    <w:rsid w:val="006B34D0"/>
    <w:rsid w:val="006B6514"/>
    <w:rsid w:val="006C1688"/>
    <w:rsid w:val="006C1C99"/>
    <w:rsid w:val="006D1E61"/>
    <w:rsid w:val="006D5BDD"/>
    <w:rsid w:val="006D623D"/>
    <w:rsid w:val="006E097C"/>
    <w:rsid w:val="006E09F4"/>
    <w:rsid w:val="006E4DAB"/>
    <w:rsid w:val="006E500E"/>
    <w:rsid w:val="006E5601"/>
    <w:rsid w:val="006E6998"/>
    <w:rsid w:val="006E7DAA"/>
    <w:rsid w:val="006E7EF4"/>
    <w:rsid w:val="006F27CE"/>
    <w:rsid w:val="006F4013"/>
    <w:rsid w:val="007015DD"/>
    <w:rsid w:val="007028EE"/>
    <w:rsid w:val="007046DD"/>
    <w:rsid w:val="007048A5"/>
    <w:rsid w:val="007051E5"/>
    <w:rsid w:val="0070638C"/>
    <w:rsid w:val="007074B2"/>
    <w:rsid w:val="00707977"/>
    <w:rsid w:val="0071000E"/>
    <w:rsid w:val="00712BE0"/>
    <w:rsid w:val="00712D5E"/>
    <w:rsid w:val="00712EF8"/>
    <w:rsid w:val="0071771E"/>
    <w:rsid w:val="00717981"/>
    <w:rsid w:val="00717B93"/>
    <w:rsid w:val="00720FEA"/>
    <w:rsid w:val="0072452E"/>
    <w:rsid w:val="00724BCC"/>
    <w:rsid w:val="00725338"/>
    <w:rsid w:val="00725B32"/>
    <w:rsid w:val="007263C1"/>
    <w:rsid w:val="00726E77"/>
    <w:rsid w:val="00727293"/>
    <w:rsid w:val="007316F7"/>
    <w:rsid w:val="00733866"/>
    <w:rsid w:val="0073628D"/>
    <w:rsid w:val="007409B6"/>
    <w:rsid w:val="007418F3"/>
    <w:rsid w:val="00741B10"/>
    <w:rsid w:val="007454FE"/>
    <w:rsid w:val="0074564E"/>
    <w:rsid w:val="007461CF"/>
    <w:rsid w:val="00747535"/>
    <w:rsid w:val="007515FF"/>
    <w:rsid w:val="00751AFC"/>
    <w:rsid w:val="00751FE9"/>
    <w:rsid w:val="00755D15"/>
    <w:rsid w:val="0075779E"/>
    <w:rsid w:val="00763503"/>
    <w:rsid w:val="00766531"/>
    <w:rsid w:val="007669B4"/>
    <w:rsid w:val="0076710D"/>
    <w:rsid w:val="00767C6E"/>
    <w:rsid w:val="00770791"/>
    <w:rsid w:val="00770D04"/>
    <w:rsid w:val="007721DB"/>
    <w:rsid w:val="007726E0"/>
    <w:rsid w:val="0077365A"/>
    <w:rsid w:val="00773718"/>
    <w:rsid w:val="00775202"/>
    <w:rsid w:val="0077566D"/>
    <w:rsid w:val="00782279"/>
    <w:rsid w:val="00782E2E"/>
    <w:rsid w:val="007835FC"/>
    <w:rsid w:val="0078482F"/>
    <w:rsid w:val="007875E7"/>
    <w:rsid w:val="007921E3"/>
    <w:rsid w:val="007939BB"/>
    <w:rsid w:val="00793A78"/>
    <w:rsid w:val="00795ED6"/>
    <w:rsid w:val="00797A70"/>
    <w:rsid w:val="007A116E"/>
    <w:rsid w:val="007A364D"/>
    <w:rsid w:val="007A4578"/>
    <w:rsid w:val="007A4E39"/>
    <w:rsid w:val="007B1C76"/>
    <w:rsid w:val="007B7897"/>
    <w:rsid w:val="007C02FB"/>
    <w:rsid w:val="007C08EE"/>
    <w:rsid w:val="007C0CA5"/>
    <w:rsid w:val="007C3A0E"/>
    <w:rsid w:val="007C4376"/>
    <w:rsid w:val="007C7C93"/>
    <w:rsid w:val="007D002F"/>
    <w:rsid w:val="007D162C"/>
    <w:rsid w:val="007D5AB7"/>
    <w:rsid w:val="007D610C"/>
    <w:rsid w:val="007D7BDA"/>
    <w:rsid w:val="007E2863"/>
    <w:rsid w:val="007E5D60"/>
    <w:rsid w:val="007E7272"/>
    <w:rsid w:val="007F1412"/>
    <w:rsid w:val="007F3CF5"/>
    <w:rsid w:val="007F531F"/>
    <w:rsid w:val="007F5B5D"/>
    <w:rsid w:val="007F6778"/>
    <w:rsid w:val="007F68EF"/>
    <w:rsid w:val="0080335B"/>
    <w:rsid w:val="00805224"/>
    <w:rsid w:val="00805E5F"/>
    <w:rsid w:val="00806642"/>
    <w:rsid w:val="0081455F"/>
    <w:rsid w:val="00814F82"/>
    <w:rsid w:val="00816725"/>
    <w:rsid w:val="0082012D"/>
    <w:rsid w:val="00820475"/>
    <w:rsid w:val="00827C92"/>
    <w:rsid w:val="00832767"/>
    <w:rsid w:val="008328C0"/>
    <w:rsid w:val="00833E78"/>
    <w:rsid w:val="00837218"/>
    <w:rsid w:val="0083750A"/>
    <w:rsid w:val="00837584"/>
    <w:rsid w:val="00841AB8"/>
    <w:rsid w:val="00843AA9"/>
    <w:rsid w:val="008450BA"/>
    <w:rsid w:val="008453EB"/>
    <w:rsid w:val="008454B5"/>
    <w:rsid w:val="008460B8"/>
    <w:rsid w:val="008464D5"/>
    <w:rsid w:val="0084696B"/>
    <w:rsid w:val="00846F01"/>
    <w:rsid w:val="008477B1"/>
    <w:rsid w:val="00850001"/>
    <w:rsid w:val="008510CD"/>
    <w:rsid w:val="00851D35"/>
    <w:rsid w:val="00851DB8"/>
    <w:rsid w:val="0085300C"/>
    <w:rsid w:val="00856B6F"/>
    <w:rsid w:val="00857700"/>
    <w:rsid w:val="008579CD"/>
    <w:rsid w:val="0086598F"/>
    <w:rsid w:val="00870219"/>
    <w:rsid w:val="00870C91"/>
    <w:rsid w:val="00872754"/>
    <w:rsid w:val="0087517C"/>
    <w:rsid w:val="00876723"/>
    <w:rsid w:val="0088289C"/>
    <w:rsid w:val="008832E4"/>
    <w:rsid w:val="008843EA"/>
    <w:rsid w:val="0088673F"/>
    <w:rsid w:val="00890DFF"/>
    <w:rsid w:val="008918D0"/>
    <w:rsid w:val="0089311B"/>
    <w:rsid w:val="0089379F"/>
    <w:rsid w:val="00895B8C"/>
    <w:rsid w:val="008A0D63"/>
    <w:rsid w:val="008A23A3"/>
    <w:rsid w:val="008A2632"/>
    <w:rsid w:val="008A3772"/>
    <w:rsid w:val="008A4C7B"/>
    <w:rsid w:val="008A6615"/>
    <w:rsid w:val="008B02A7"/>
    <w:rsid w:val="008B02F7"/>
    <w:rsid w:val="008B0FA3"/>
    <w:rsid w:val="008B34E4"/>
    <w:rsid w:val="008B3F39"/>
    <w:rsid w:val="008B5A33"/>
    <w:rsid w:val="008B60AA"/>
    <w:rsid w:val="008B7076"/>
    <w:rsid w:val="008C025F"/>
    <w:rsid w:val="008C3B71"/>
    <w:rsid w:val="008C439F"/>
    <w:rsid w:val="008C67E0"/>
    <w:rsid w:val="008C7BD1"/>
    <w:rsid w:val="008D2BF7"/>
    <w:rsid w:val="008D3F85"/>
    <w:rsid w:val="008D4687"/>
    <w:rsid w:val="008D47C1"/>
    <w:rsid w:val="008D4A4E"/>
    <w:rsid w:val="008D6F33"/>
    <w:rsid w:val="008D7159"/>
    <w:rsid w:val="008E0A02"/>
    <w:rsid w:val="008E1F37"/>
    <w:rsid w:val="008E56B2"/>
    <w:rsid w:val="008E6512"/>
    <w:rsid w:val="008E6581"/>
    <w:rsid w:val="008E75DE"/>
    <w:rsid w:val="008E7753"/>
    <w:rsid w:val="008F097C"/>
    <w:rsid w:val="008F1116"/>
    <w:rsid w:val="008F1AC1"/>
    <w:rsid w:val="008F1BCC"/>
    <w:rsid w:val="008F3947"/>
    <w:rsid w:val="008F4360"/>
    <w:rsid w:val="008F5934"/>
    <w:rsid w:val="008F5CC6"/>
    <w:rsid w:val="009031AF"/>
    <w:rsid w:val="0090482B"/>
    <w:rsid w:val="009051E1"/>
    <w:rsid w:val="0090650E"/>
    <w:rsid w:val="009067D7"/>
    <w:rsid w:val="0090790E"/>
    <w:rsid w:val="009145B9"/>
    <w:rsid w:val="00915B12"/>
    <w:rsid w:val="00915C95"/>
    <w:rsid w:val="00916AEF"/>
    <w:rsid w:val="009230F0"/>
    <w:rsid w:val="00924B59"/>
    <w:rsid w:val="009251F8"/>
    <w:rsid w:val="0092575D"/>
    <w:rsid w:val="0092706A"/>
    <w:rsid w:val="00927857"/>
    <w:rsid w:val="009325BB"/>
    <w:rsid w:val="0093289F"/>
    <w:rsid w:val="009342E9"/>
    <w:rsid w:val="009379F9"/>
    <w:rsid w:val="00940B1A"/>
    <w:rsid w:val="00944ECD"/>
    <w:rsid w:val="0094615F"/>
    <w:rsid w:val="009476A3"/>
    <w:rsid w:val="009516B4"/>
    <w:rsid w:val="009532F7"/>
    <w:rsid w:val="009538C9"/>
    <w:rsid w:val="00956AB5"/>
    <w:rsid w:val="00956C2D"/>
    <w:rsid w:val="009607EB"/>
    <w:rsid w:val="00960D19"/>
    <w:rsid w:val="009657A1"/>
    <w:rsid w:val="00967956"/>
    <w:rsid w:val="00967F73"/>
    <w:rsid w:val="00971735"/>
    <w:rsid w:val="009732DD"/>
    <w:rsid w:val="00973818"/>
    <w:rsid w:val="0097392A"/>
    <w:rsid w:val="009749D8"/>
    <w:rsid w:val="00982CD9"/>
    <w:rsid w:val="00983BC0"/>
    <w:rsid w:val="009853EE"/>
    <w:rsid w:val="00985594"/>
    <w:rsid w:val="00985A7A"/>
    <w:rsid w:val="00985B4A"/>
    <w:rsid w:val="00993B52"/>
    <w:rsid w:val="00994709"/>
    <w:rsid w:val="009948F2"/>
    <w:rsid w:val="00994AFC"/>
    <w:rsid w:val="009978FF"/>
    <w:rsid w:val="009A10C8"/>
    <w:rsid w:val="009A1855"/>
    <w:rsid w:val="009A40EC"/>
    <w:rsid w:val="009A4421"/>
    <w:rsid w:val="009A6A76"/>
    <w:rsid w:val="009A6CF7"/>
    <w:rsid w:val="009B0B92"/>
    <w:rsid w:val="009B1DA1"/>
    <w:rsid w:val="009B5CAB"/>
    <w:rsid w:val="009C1D4A"/>
    <w:rsid w:val="009C3CFB"/>
    <w:rsid w:val="009C4B29"/>
    <w:rsid w:val="009C4D66"/>
    <w:rsid w:val="009C55CE"/>
    <w:rsid w:val="009C6A71"/>
    <w:rsid w:val="009C7244"/>
    <w:rsid w:val="009D414B"/>
    <w:rsid w:val="009D6F98"/>
    <w:rsid w:val="009E1158"/>
    <w:rsid w:val="009E5474"/>
    <w:rsid w:val="009E61CA"/>
    <w:rsid w:val="009E67A8"/>
    <w:rsid w:val="009F5AA3"/>
    <w:rsid w:val="009F5DD0"/>
    <w:rsid w:val="009F6F76"/>
    <w:rsid w:val="00A00B3B"/>
    <w:rsid w:val="00A01A90"/>
    <w:rsid w:val="00A12E2E"/>
    <w:rsid w:val="00A13042"/>
    <w:rsid w:val="00A138BF"/>
    <w:rsid w:val="00A14528"/>
    <w:rsid w:val="00A1473B"/>
    <w:rsid w:val="00A15D30"/>
    <w:rsid w:val="00A178D0"/>
    <w:rsid w:val="00A17D4E"/>
    <w:rsid w:val="00A23049"/>
    <w:rsid w:val="00A255D8"/>
    <w:rsid w:val="00A26875"/>
    <w:rsid w:val="00A27011"/>
    <w:rsid w:val="00A27707"/>
    <w:rsid w:val="00A3143D"/>
    <w:rsid w:val="00A326F1"/>
    <w:rsid w:val="00A33FF4"/>
    <w:rsid w:val="00A37279"/>
    <w:rsid w:val="00A4216F"/>
    <w:rsid w:val="00A428D1"/>
    <w:rsid w:val="00A46ECF"/>
    <w:rsid w:val="00A5171F"/>
    <w:rsid w:val="00A5526B"/>
    <w:rsid w:val="00A553A4"/>
    <w:rsid w:val="00A56566"/>
    <w:rsid w:val="00A56A93"/>
    <w:rsid w:val="00A61699"/>
    <w:rsid w:val="00A70EC2"/>
    <w:rsid w:val="00A72574"/>
    <w:rsid w:val="00A746CF"/>
    <w:rsid w:val="00A77278"/>
    <w:rsid w:val="00A808E5"/>
    <w:rsid w:val="00A8324B"/>
    <w:rsid w:val="00A83D12"/>
    <w:rsid w:val="00A845D6"/>
    <w:rsid w:val="00A8488C"/>
    <w:rsid w:val="00A84B63"/>
    <w:rsid w:val="00A85CDC"/>
    <w:rsid w:val="00A86227"/>
    <w:rsid w:val="00A868A5"/>
    <w:rsid w:val="00A870E1"/>
    <w:rsid w:val="00A875C1"/>
    <w:rsid w:val="00A878EA"/>
    <w:rsid w:val="00A87E99"/>
    <w:rsid w:val="00A87F05"/>
    <w:rsid w:val="00A912E7"/>
    <w:rsid w:val="00A924E8"/>
    <w:rsid w:val="00A9307F"/>
    <w:rsid w:val="00A9341F"/>
    <w:rsid w:val="00A93D34"/>
    <w:rsid w:val="00A9708A"/>
    <w:rsid w:val="00AA2A1B"/>
    <w:rsid w:val="00AA3320"/>
    <w:rsid w:val="00AA64D9"/>
    <w:rsid w:val="00AB12F3"/>
    <w:rsid w:val="00AB16A8"/>
    <w:rsid w:val="00AB5E60"/>
    <w:rsid w:val="00AB6D03"/>
    <w:rsid w:val="00AC1EA1"/>
    <w:rsid w:val="00AC2C8B"/>
    <w:rsid w:val="00AC3BEE"/>
    <w:rsid w:val="00AC4C37"/>
    <w:rsid w:val="00AC6ABE"/>
    <w:rsid w:val="00AC6AF8"/>
    <w:rsid w:val="00AC7B86"/>
    <w:rsid w:val="00AD3379"/>
    <w:rsid w:val="00AD5084"/>
    <w:rsid w:val="00AD6D1D"/>
    <w:rsid w:val="00AD71B7"/>
    <w:rsid w:val="00AE1143"/>
    <w:rsid w:val="00AE1269"/>
    <w:rsid w:val="00AE771C"/>
    <w:rsid w:val="00AF0811"/>
    <w:rsid w:val="00AF30F4"/>
    <w:rsid w:val="00AF47B0"/>
    <w:rsid w:val="00AF502A"/>
    <w:rsid w:val="00AF66AF"/>
    <w:rsid w:val="00B02112"/>
    <w:rsid w:val="00B02252"/>
    <w:rsid w:val="00B06221"/>
    <w:rsid w:val="00B062E9"/>
    <w:rsid w:val="00B06F6B"/>
    <w:rsid w:val="00B1147B"/>
    <w:rsid w:val="00B11F29"/>
    <w:rsid w:val="00B12365"/>
    <w:rsid w:val="00B1448C"/>
    <w:rsid w:val="00B16992"/>
    <w:rsid w:val="00B1737B"/>
    <w:rsid w:val="00B17A3B"/>
    <w:rsid w:val="00B2007A"/>
    <w:rsid w:val="00B21BF9"/>
    <w:rsid w:val="00B229DF"/>
    <w:rsid w:val="00B2327B"/>
    <w:rsid w:val="00B24564"/>
    <w:rsid w:val="00B2709F"/>
    <w:rsid w:val="00B27A86"/>
    <w:rsid w:val="00B30DF5"/>
    <w:rsid w:val="00B31E55"/>
    <w:rsid w:val="00B320CA"/>
    <w:rsid w:val="00B32F38"/>
    <w:rsid w:val="00B3473F"/>
    <w:rsid w:val="00B40EAC"/>
    <w:rsid w:val="00B41468"/>
    <w:rsid w:val="00B43156"/>
    <w:rsid w:val="00B4780A"/>
    <w:rsid w:val="00B5004F"/>
    <w:rsid w:val="00B5357C"/>
    <w:rsid w:val="00B53D0E"/>
    <w:rsid w:val="00B55B34"/>
    <w:rsid w:val="00B6089D"/>
    <w:rsid w:val="00B633A9"/>
    <w:rsid w:val="00B63C84"/>
    <w:rsid w:val="00B64E66"/>
    <w:rsid w:val="00B66397"/>
    <w:rsid w:val="00B73047"/>
    <w:rsid w:val="00B75F86"/>
    <w:rsid w:val="00B81B19"/>
    <w:rsid w:val="00B81BCA"/>
    <w:rsid w:val="00B82661"/>
    <w:rsid w:val="00B84277"/>
    <w:rsid w:val="00B854B0"/>
    <w:rsid w:val="00B85C57"/>
    <w:rsid w:val="00B907FB"/>
    <w:rsid w:val="00B935E1"/>
    <w:rsid w:val="00B94AA9"/>
    <w:rsid w:val="00B95018"/>
    <w:rsid w:val="00B96AEB"/>
    <w:rsid w:val="00BA139B"/>
    <w:rsid w:val="00BA2571"/>
    <w:rsid w:val="00BA4181"/>
    <w:rsid w:val="00BA742B"/>
    <w:rsid w:val="00BB261B"/>
    <w:rsid w:val="00BB741D"/>
    <w:rsid w:val="00BB7869"/>
    <w:rsid w:val="00BC1346"/>
    <w:rsid w:val="00BC41CD"/>
    <w:rsid w:val="00BC56FA"/>
    <w:rsid w:val="00BC6274"/>
    <w:rsid w:val="00BC6A1D"/>
    <w:rsid w:val="00BC6A30"/>
    <w:rsid w:val="00BC6ED9"/>
    <w:rsid w:val="00BC757D"/>
    <w:rsid w:val="00BD1170"/>
    <w:rsid w:val="00BD1C50"/>
    <w:rsid w:val="00BD39B9"/>
    <w:rsid w:val="00BD3B3D"/>
    <w:rsid w:val="00BD5E8D"/>
    <w:rsid w:val="00BD6DB0"/>
    <w:rsid w:val="00BE115C"/>
    <w:rsid w:val="00BE3239"/>
    <w:rsid w:val="00BE409C"/>
    <w:rsid w:val="00BF1E06"/>
    <w:rsid w:val="00BF4452"/>
    <w:rsid w:val="00BF5D45"/>
    <w:rsid w:val="00BF6D2A"/>
    <w:rsid w:val="00BF7199"/>
    <w:rsid w:val="00BF7B8A"/>
    <w:rsid w:val="00C00659"/>
    <w:rsid w:val="00C02020"/>
    <w:rsid w:val="00C04A7A"/>
    <w:rsid w:val="00C0646C"/>
    <w:rsid w:val="00C06615"/>
    <w:rsid w:val="00C1083B"/>
    <w:rsid w:val="00C1090A"/>
    <w:rsid w:val="00C11438"/>
    <w:rsid w:val="00C130B0"/>
    <w:rsid w:val="00C13F9C"/>
    <w:rsid w:val="00C140FF"/>
    <w:rsid w:val="00C20DAE"/>
    <w:rsid w:val="00C26232"/>
    <w:rsid w:val="00C274B8"/>
    <w:rsid w:val="00C3050A"/>
    <w:rsid w:val="00C307BA"/>
    <w:rsid w:val="00C35BD8"/>
    <w:rsid w:val="00C371A5"/>
    <w:rsid w:val="00C40180"/>
    <w:rsid w:val="00C41E40"/>
    <w:rsid w:val="00C42ACB"/>
    <w:rsid w:val="00C43780"/>
    <w:rsid w:val="00C45E75"/>
    <w:rsid w:val="00C45F24"/>
    <w:rsid w:val="00C477E4"/>
    <w:rsid w:val="00C50D8C"/>
    <w:rsid w:val="00C50F11"/>
    <w:rsid w:val="00C575DA"/>
    <w:rsid w:val="00C6222B"/>
    <w:rsid w:val="00C63766"/>
    <w:rsid w:val="00C64355"/>
    <w:rsid w:val="00C6574F"/>
    <w:rsid w:val="00C66229"/>
    <w:rsid w:val="00C7477D"/>
    <w:rsid w:val="00C77143"/>
    <w:rsid w:val="00C8180D"/>
    <w:rsid w:val="00C8335F"/>
    <w:rsid w:val="00C841E3"/>
    <w:rsid w:val="00C87EBC"/>
    <w:rsid w:val="00C91197"/>
    <w:rsid w:val="00C92F3B"/>
    <w:rsid w:val="00C94352"/>
    <w:rsid w:val="00C954BB"/>
    <w:rsid w:val="00C95779"/>
    <w:rsid w:val="00C9635F"/>
    <w:rsid w:val="00C97012"/>
    <w:rsid w:val="00C97145"/>
    <w:rsid w:val="00C97D4A"/>
    <w:rsid w:val="00CA03B2"/>
    <w:rsid w:val="00CA6D21"/>
    <w:rsid w:val="00CB15B3"/>
    <w:rsid w:val="00CB3D96"/>
    <w:rsid w:val="00CB47BB"/>
    <w:rsid w:val="00CB5641"/>
    <w:rsid w:val="00CB6B52"/>
    <w:rsid w:val="00CB72F9"/>
    <w:rsid w:val="00CB7846"/>
    <w:rsid w:val="00CB7FAB"/>
    <w:rsid w:val="00CC2E14"/>
    <w:rsid w:val="00CC585F"/>
    <w:rsid w:val="00CC5B28"/>
    <w:rsid w:val="00CC642E"/>
    <w:rsid w:val="00CD0F50"/>
    <w:rsid w:val="00CD1738"/>
    <w:rsid w:val="00CD2BE6"/>
    <w:rsid w:val="00CD2F0F"/>
    <w:rsid w:val="00CD3529"/>
    <w:rsid w:val="00CD3B45"/>
    <w:rsid w:val="00CD4399"/>
    <w:rsid w:val="00CD4C58"/>
    <w:rsid w:val="00CD65ED"/>
    <w:rsid w:val="00CE0B1A"/>
    <w:rsid w:val="00CE2384"/>
    <w:rsid w:val="00CF1CBE"/>
    <w:rsid w:val="00CF297A"/>
    <w:rsid w:val="00CF3B82"/>
    <w:rsid w:val="00CF49C8"/>
    <w:rsid w:val="00CF5383"/>
    <w:rsid w:val="00D00ADD"/>
    <w:rsid w:val="00D02B2C"/>
    <w:rsid w:val="00D038AA"/>
    <w:rsid w:val="00D04A8D"/>
    <w:rsid w:val="00D10938"/>
    <w:rsid w:val="00D153CF"/>
    <w:rsid w:val="00D21132"/>
    <w:rsid w:val="00D26A6E"/>
    <w:rsid w:val="00D30804"/>
    <w:rsid w:val="00D32F4F"/>
    <w:rsid w:val="00D34482"/>
    <w:rsid w:val="00D404A7"/>
    <w:rsid w:val="00D42BE4"/>
    <w:rsid w:val="00D43009"/>
    <w:rsid w:val="00D4371E"/>
    <w:rsid w:val="00D45067"/>
    <w:rsid w:val="00D51594"/>
    <w:rsid w:val="00D51AD2"/>
    <w:rsid w:val="00D55F32"/>
    <w:rsid w:val="00D560CC"/>
    <w:rsid w:val="00D57783"/>
    <w:rsid w:val="00D60029"/>
    <w:rsid w:val="00D61B44"/>
    <w:rsid w:val="00D62BC9"/>
    <w:rsid w:val="00D62FA4"/>
    <w:rsid w:val="00D658BB"/>
    <w:rsid w:val="00D662D4"/>
    <w:rsid w:val="00D671DD"/>
    <w:rsid w:val="00D70B00"/>
    <w:rsid w:val="00D72AA1"/>
    <w:rsid w:val="00D72B13"/>
    <w:rsid w:val="00D74271"/>
    <w:rsid w:val="00D74DD6"/>
    <w:rsid w:val="00D766BA"/>
    <w:rsid w:val="00D76916"/>
    <w:rsid w:val="00D81336"/>
    <w:rsid w:val="00D83B7A"/>
    <w:rsid w:val="00D84F50"/>
    <w:rsid w:val="00D85342"/>
    <w:rsid w:val="00D85753"/>
    <w:rsid w:val="00D85F1D"/>
    <w:rsid w:val="00D860E4"/>
    <w:rsid w:val="00D8710A"/>
    <w:rsid w:val="00DA3F8C"/>
    <w:rsid w:val="00DA4D22"/>
    <w:rsid w:val="00DA4FE8"/>
    <w:rsid w:val="00DA575C"/>
    <w:rsid w:val="00DB0B78"/>
    <w:rsid w:val="00DB5853"/>
    <w:rsid w:val="00DC076E"/>
    <w:rsid w:val="00DC0A93"/>
    <w:rsid w:val="00DC25D6"/>
    <w:rsid w:val="00DC4BFB"/>
    <w:rsid w:val="00DD1ED0"/>
    <w:rsid w:val="00DD5846"/>
    <w:rsid w:val="00DE0B0E"/>
    <w:rsid w:val="00DE10A8"/>
    <w:rsid w:val="00DE23B2"/>
    <w:rsid w:val="00DE3634"/>
    <w:rsid w:val="00DE3BAA"/>
    <w:rsid w:val="00DE6081"/>
    <w:rsid w:val="00DE7700"/>
    <w:rsid w:val="00DF169D"/>
    <w:rsid w:val="00DF5649"/>
    <w:rsid w:val="00DF7C20"/>
    <w:rsid w:val="00E00270"/>
    <w:rsid w:val="00E00337"/>
    <w:rsid w:val="00E0081C"/>
    <w:rsid w:val="00E053FE"/>
    <w:rsid w:val="00E07AF3"/>
    <w:rsid w:val="00E12689"/>
    <w:rsid w:val="00E151C5"/>
    <w:rsid w:val="00E16107"/>
    <w:rsid w:val="00E16BC2"/>
    <w:rsid w:val="00E16E79"/>
    <w:rsid w:val="00E1745F"/>
    <w:rsid w:val="00E17E0A"/>
    <w:rsid w:val="00E217A2"/>
    <w:rsid w:val="00E21A1C"/>
    <w:rsid w:val="00E21DFF"/>
    <w:rsid w:val="00E231E6"/>
    <w:rsid w:val="00E23B34"/>
    <w:rsid w:val="00E24067"/>
    <w:rsid w:val="00E24296"/>
    <w:rsid w:val="00E24C47"/>
    <w:rsid w:val="00E26479"/>
    <w:rsid w:val="00E276C7"/>
    <w:rsid w:val="00E315A3"/>
    <w:rsid w:val="00E32160"/>
    <w:rsid w:val="00E321D3"/>
    <w:rsid w:val="00E33BAB"/>
    <w:rsid w:val="00E3555C"/>
    <w:rsid w:val="00E35643"/>
    <w:rsid w:val="00E35F16"/>
    <w:rsid w:val="00E4589E"/>
    <w:rsid w:val="00E46C85"/>
    <w:rsid w:val="00E47722"/>
    <w:rsid w:val="00E50875"/>
    <w:rsid w:val="00E50A91"/>
    <w:rsid w:val="00E55D6A"/>
    <w:rsid w:val="00E56469"/>
    <w:rsid w:val="00E57447"/>
    <w:rsid w:val="00E57B01"/>
    <w:rsid w:val="00E6111D"/>
    <w:rsid w:val="00E61D28"/>
    <w:rsid w:val="00E67808"/>
    <w:rsid w:val="00E70211"/>
    <w:rsid w:val="00E71525"/>
    <w:rsid w:val="00E72E14"/>
    <w:rsid w:val="00E74CA1"/>
    <w:rsid w:val="00E80645"/>
    <w:rsid w:val="00E8127F"/>
    <w:rsid w:val="00E81CA6"/>
    <w:rsid w:val="00E82848"/>
    <w:rsid w:val="00E82ABE"/>
    <w:rsid w:val="00E85BAF"/>
    <w:rsid w:val="00E8678B"/>
    <w:rsid w:val="00E87C96"/>
    <w:rsid w:val="00E933A8"/>
    <w:rsid w:val="00E95A82"/>
    <w:rsid w:val="00E96076"/>
    <w:rsid w:val="00E9618B"/>
    <w:rsid w:val="00E96E16"/>
    <w:rsid w:val="00EA5F50"/>
    <w:rsid w:val="00EA6973"/>
    <w:rsid w:val="00EA6CD2"/>
    <w:rsid w:val="00EA7C1A"/>
    <w:rsid w:val="00EB0166"/>
    <w:rsid w:val="00EB5D18"/>
    <w:rsid w:val="00EB7A96"/>
    <w:rsid w:val="00EB7B30"/>
    <w:rsid w:val="00EC06C5"/>
    <w:rsid w:val="00EC3E91"/>
    <w:rsid w:val="00EC3F70"/>
    <w:rsid w:val="00EC55D2"/>
    <w:rsid w:val="00EC6DEA"/>
    <w:rsid w:val="00ED3DA9"/>
    <w:rsid w:val="00ED42A1"/>
    <w:rsid w:val="00ED5094"/>
    <w:rsid w:val="00ED511F"/>
    <w:rsid w:val="00ED6D63"/>
    <w:rsid w:val="00EE3482"/>
    <w:rsid w:val="00EE51FF"/>
    <w:rsid w:val="00EE5FA2"/>
    <w:rsid w:val="00EE7E0B"/>
    <w:rsid w:val="00EF20A8"/>
    <w:rsid w:val="00EF2298"/>
    <w:rsid w:val="00EF338D"/>
    <w:rsid w:val="00EF40DD"/>
    <w:rsid w:val="00EF45C4"/>
    <w:rsid w:val="00EF631F"/>
    <w:rsid w:val="00EF6428"/>
    <w:rsid w:val="00EF7204"/>
    <w:rsid w:val="00EF7849"/>
    <w:rsid w:val="00F0095C"/>
    <w:rsid w:val="00F02F71"/>
    <w:rsid w:val="00F03052"/>
    <w:rsid w:val="00F0308B"/>
    <w:rsid w:val="00F03100"/>
    <w:rsid w:val="00F03B03"/>
    <w:rsid w:val="00F07B0F"/>
    <w:rsid w:val="00F102BA"/>
    <w:rsid w:val="00F103C2"/>
    <w:rsid w:val="00F1078E"/>
    <w:rsid w:val="00F12D90"/>
    <w:rsid w:val="00F13DA7"/>
    <w:rsid w:val="00F15DFF"/>
    <w:rsid w:val="00F1764A"/>
    <w:rsid w:val="00F178BA"/>
    <w:rsid w:val="00F20981"/>
    <w:rsid w:val="00F24C77"/>
    <w:rsid w:val="00F26B54"/>
    <w:rsid w:val="00F272A8"/>
    <w:rsid w:val="00F30C33"/>
    <w:rsid w:val="00F36E3A"/>
    <w:rsid w:val="00F41B9D"/>
    <w:rsid w:val="00F44B89"/>
    <w:rsid w:val="00F469E9"/>
    <w:rsid w:val="00F47BA7"/>
    <w:rsid w:val="00F5041C"/>
    <w:rsid w:val="00F53231"/>
    <w:rsid w:val="00F54773"/>
    <w:rsid w:val="00F57E33"/>
    <w:rsid w:val="00F61330"/>
    <w:rsid w:val="00F63F2F"/>
    <w:rsid w:val="00F65ADC"/>
    <w:rsid w:val="00F6742F"/>
    <w:rsid w:val="00F6765F"/>
    <w:rsid w:val="00F73262"/>
    <w:rsid w:val="00F737D5"/>
    <w:rsid w:val="00F74546"/>
    <w:rsid w:val="00F77076"/>
    <w:rsid w:val="00F77BDD"/>
    <w:rsid w:val="00F839FC"/>
    <w:rsid w:val="00F84351"/>
    <w:rsid w:val="00F928D0"/>
    <w:rsid w:val="00F92B6A"/>
    <w:rsid w:val="00F94D18"/>
    <w:rsid w:val="00FA3490"/>
    <w:rsid w:val="00FA63D5"/>
    <w:rsid w:val="00FB7145"/>
    <w:rsid w:val="00FC007B"/>
    <w:rsid w:val="00FC043E"/>
    <w:rsid w:val="00FC166C"/>
    <w:rsid w:val="00FC1F31"/>
    <w:rsid w:val="00FC7B06"/>
    <w:rsid w:val="00FD2E2F"/>
    <w:rsid w:val="00FD34E4"/>
    <w:rsid w:val="00FD70C6"/>
    <w:rsid w:val="00FD7E5A"/>
    <w:rsid w:val="00FE1FDC"/>
    <w:rsid w:val="00FE4614"/>
    <w:rsid w:val="00FE5DBB"/>
    <w:rsid w:val="00FE6268"/>
    <w:rsid w:val="00FE6533"/>
    <w:rsid w:val="00FE6B1C"/>
    <w:rsid w:val="00FE7570"/>
    <w:rsid w:val="00FF05C8"/>
    <w:rsid w:val="00FF2C24"/>
    <w:rsid w:val="00FF4530"/>
    <w:rsid w:val="00FF539A"/>
    <w:rsid w:val="00FF53DC"/>
    <w:rsid w:val="00FF5BE1"/>
    <w:rsid w:val="00FF69E6"/>
    <w:rsid w:val="02551A35"/>
    <w:rsid w:val="06584537"/>
    <w:rsid w:val="0FC50BE1"/>
    <w:rsid w:val="191E097B"/>
    <w:rsid w:val="1A516B2E"/>
    <w:rsid w:val="1B6B3C20"/>
    <w:rsid w:val="1CFE1CD3"/>
    <w:rsid w:val="221548E5"/>
    <w:rsid w:val="24F9229C"/>
    <w:rsid w:val="25BC57A4"/>
    <w:rsid w:val="26AA1AA0"/>
    <w:rsid w:val="297C0BF2"/>
    <w:rsid w:val="29BD154D"/>
    <w:rsid w:val="2ACB319F"/>
    <w:rsid w:val="2F0B32F8"/>
    <w:rsid w:val="3240150B"/>
    <w:rsid w:val="370F5C5A"/>
    <w:rsid w:val="448F731A"/>
    <w:rsid w:val="466435C2"/>
    <w:rsid w:val="47EA5365"/>
    <w:rsid w:val="48B16866"/>
    <w:rsid w:val="53650979"/>
    <w:rsid w:val="5503044A"/>
    <w:rsid w:val="57D460CD"/>
    <w:rsid w:val="5E503742"/>
    <w:rsid w:val="634C5CEC"/>
    <w:rsid w:val="68A37B22"/>
    <w:rsid w:val="70237187"/>
    <w:rsid w:val="748A7DE8"/>
    <w:rsid w:val="749D7B1B"/>
    <w:rsid w:val="7528108E"/>
    <w:rsid w:val="7F655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6"/>
    <w:unhideWhenUsed/>
    <w:qFormat/>
    <w:uiPriority w:val="99"/>
  </w:style>
  <w:style w:type="paragraph" w:styleId="12">
    <w:name w:val="endnote text"/>
    <w:basedOn w:val="1"/>
    <w:link w:val="49"/>
    <w:semiHidden/>
    <w:unhideWhenUsed/>
    <w:qFormat/>
    <w:uiPriority w:val="99"/>
    <w:pPr>
      <w:snapToGrid w:val="0"/>
    </w:pPr>
  </w:style>
  <w:style w:type="paragraph" w:styleId="13">
    <w:name w:val="footer"/>
    <w:basedOn w:val="1"/>
    <w:link w:val="45"/>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44"/>
    <w:unhideWhenUsed/>
    <w:qFormat/>
    <w:uiPriority w:val="99"/>
    <w:pPr>
      <w:tabs>
        <w:tab w:val="center" w:pos="4153"/>
        <w:tab w:val="right" w:pos="8306"/>
      </w:tabs>
      <w:snapToGrid w:val="0"/>
      <w:spacing w:line="240" w:lineRule="auto"/>
      <w:jc w:val="center"/>
    </w:pPr>
    <w:rPr>
      <w:sz w:val="18"/>
      <w:szCs w:val="18"/>
    </w:rPr>
  </w:style>
  <w:style w:type="paragraph" w:styleId="15">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footnote text"/>
    <w:basedOn w:val="1"/>
    <w:link w:val="50"/>
    <w:semiHidden/>
    <w:unhideWhenUsed/>
    <w:qFormat/>
    <w:uiPriority w:val="99"/>
    <w:pPr>
      <w:snapToGrid w:val="0"/>
    </w:pPr>
    <w:rPr>
      <w:sz w:val="18"/>
      <w:szCs w:val="18"/>
    </w:rPr>
  </w:style>
  <w:style w:type="paragraph" w:styleId="17">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8">
    <w:name w:val="annotation subject"/>
    <w:basedOn w:val="11"/>
    <w:next w:val="11"/>
    <w:link w:val="47"/>
    <w:semiHidden/>
    <w:unhideWhenUsed/>
    <w:qFormat/>
    <w:uiPriority w:val="99"/>
    <w:rPr>
      <w:b/>
      <w:bCs/>
    </w:rPr>
  </w:style>
  <w:style w:type="character" w:styleId="21">
    <w:name w:val="endnote reference"/>
    <w:basedOn w:val="20"/>
    <w:semiHidden/>
    <w:unhideWhenUsed/>
    <w:qFormat/>
    <w:uiPriority w:val="99"/>
    <w:rPr>
      <w:vertAlign w:val="superscript"/>
    </w:rPr>
  </w:style>
  <w:style w:type="character" w:styleId="22">
    <w:name w:val="Hyperlink"/>
    <w:basedOn w:val="20"/>
    <w:unhideWhenUsed/>
    <w:qFormat/>
    <w:uiPriority w:val="99"/>
    <w:rPr>
      <w:color w:val="467886" w:themeColor="hyperlink"/>
      <w:u w:val="single"/>
      <w14:textFill>
        <w14:solidFill>
          <w14:schemeClr w14:val="hlink"/>
        </w14:solidFill>
      </w14:textFill>
    </w:rPr>
  </w:style>
  <w:style w:type="character" w:styleId="23">
    <w:name w:val="annotation reference"/>
    <w:basedOn w:val="20"/>
    <w:semiHidden/>
    <w:unhideWhenUsed/>
    <w:qFormat/>
    <w:uiPriority w:val="99"/>
    <w:rPr>
      <w:sz w:val="21"/>
      <w:szCs w:val="21"/>
    </w:rPr>
  </w:style>
  <w:style w:type="character" w:styleId="24">
    <w:name w:val="footnote reference"/>
    <w:basedOn w:val="20"/>
    <w:semiHidden/>
    <w:unhideWhenUsed/>
    <w:qFormat/>
    <w:uiPriority w:val="99"/>
    <w:rPr>
      <w:vertAlign w:val="superscript"/>
    </w:rPr>
  </w:style>
  <w:style w:type="character" w:customStyle="1" w:styleId="25">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6">
    <w:name w:val="标题 2 字符"/>
    <w:basedOn w:val="20"/>
    <w:link w:val="3"/>
    <w:qFormat/>
    <w:uiPriority w:val="9"/>
    <w:rPr>
      <w:rFonts w:asciiTheme="majorHAnsi" w:hAnsiTheme="majorHAnsi" w:eastAsiaTheme="majorEastAsia" w:cstheme="majorBidi"/>
      <w:color w:val="104862" w:themeColor="accent1" w:themeShade="BF"/>
      <w:sz w:val="40"/>
      <w:szCs w:val="40"/>
    </w:rPr>
  </w:style>
  <w:style w:type="character" w:customStyle="1" w:styleId="27">
    <w:name w:val="标题 3 字符"/>
    <w:basedOn w:val="20"/>
    <w:link w:val="4"/>
    <w:qFormat/>
    <w:uiPriority w:val="9"/>
    <w:rPr>
      <w:rFonts w:asciiTheme="majorHAnsi" w:hAnsiTheme="majorHAnsi" w:eastAsiaTheme="majorEastAsia" w:cstheme="majorBidi"/>
      <w:color w:val="104862" w:themeColor="accent1" w:themeShade="BF"/>
      <w:sz w:val="32"/>
      <w:szCs w:val="32"/>
    </w:rPr>
  </w:style>
  <w:style w:type="character" w:customStyle="1" w:styleId="28">
    <w:name w:val="标题 4 字符"/>
    <w:basedOn w:val="20"/>
    <w:link w:val="5"/>
    <w:semiHidden/>
    <w:qFormat/>
    <w:uiPriority w:val="9"/>
    <w:rPr>
      <w:rFonts w:cstheme="majorBidi"/>
      <w:color w:val="104862" w:themeColor="accent1" w:themeShade="BF"/>
      <w:sz w:val="28"/>
      <w:szCs w:val="28"/>
    </w:rPr>
  </w:style>
  <w:style w:type="character" w:customStyle="1" w:styleId="29">
    <w:name w:val="标题 5 字符"/>
    <w:basedOn w:val="20"/>
    <w:link w:val="6"/>
    <w:semiHidden/>
    <w:qFormat/>
    <w:uiPriority w:val="9"/>
    <w:rPr>
      <w:rFonts w:cstheme="majorBidi"/>
      <w:color w:val="104862" w:themeColor="accent1" w:themeShade="BF"/>
      <w:sz w:val="24"/>
    </w:rPr>
  </w:style>
  <w:style w:type="character" w:customStyle="1" w:styleId="30">
    <w:name w:val="标题 6 字符"/>
    <w:basedOn w:val="20"/>
    <w:link w:val="7"/>
    <w:semiHidden/>
    <w:qFormat/>
    <w:uiPriority w:val="9"/>
    <w:rPr>
      <w:rFonts w:cstheme="majorBidi"/>
      <w:b/>
      <w:bCs/>
      <w:color w:val="104862" w:themeColor="accent1" w:themeShade="BF"/>
    </w:rPr>
  </w:style>
  <w:style w:type="character" w:customStyle="1" w:styleId="31">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0"/>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0"/>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20"/>
    <w:link w:val="40"/>
    <w:qFormat/>
    <w:uiPriority w:val="30"/>
    <w:rPr>
      <w:i/>
      <w:iCs/>
      <w:color w:val="104862" w:themeColor="accent1" w:themeShade="BF"/>
    </w:rPr>
  </w:style>
  <w:style w:type="character" w:customStyle="1" w:styleId="42">
    <w:name w:val="明显参考1"/>
    <w:basedOn w:val="20"/>
    <w:qFormat/>
    <w:uiPriority w:val="32"/>
    <w:rPr>
      <w:b/>
      <w:bCs/>
      <w:smallCaps/>
      <w:color w:val="104862" w:themeColor="accent1" w:themeShade="BF"/>
      <w:spacing w:val="5"/>
    </w:rPr>
  </w:style>
  <w:style w:type="character" w:styleId="43">
    <w:name w:val="Placeholder Text"/>
    <w:basedOn w:val="20"/>
    <w:semiHidden/>
    <w:qFormat/>
    <w:uiPriority w:val="99"/>
    <w:rPr>
      <w:color w:val="666666"/>
    </w:rPr>
  </w:style>
  <w:style w:type="character" w:customStyle="1" w:styleId="44">
    <w:name w:val="页眉 字符"/>
    <w:basedOn w:val="20"/>
    <w:link w:val="14"/>
    <w:qFormat/>
    <w:uiPriority w:val="99"/>
    <w:rPr>
      <w:sz w:val="18"/>
      <w:szCs w:val="18"/>
    </w:rPr>
  </w:style>
  <w:style w:type="character" w:customStyle="1" w:styleId="45">
    <w:name w:val="页脚 字符"/>
    <w:basedOn w:val="20"/>
    <w:link w:val="13"/>
    <w:qFormat/>
    <w:uiPriority w:val="99"/>
    <w:rPr>
      <w:sz w:val="18"/>
      <w:szCs w:val="18"/>
    </w:rPr>
  </w:style>
  <w:style w:type="character" w:customStyle="1" w:styleId="46">
    <w:name w:val="批注文字 字符"/>
    <w:basedOn w:val="20"/>
    <w:link w:val="11"/>
    <w:qFormat/>
    <w:uiPriority w:val="99"/>
  </w:style>
  <w:style w:type="character" w:customStyle="1" w:styleId="47">
    <w:name w:val="批注主题 字符"/>
    <w:basedOn w:val="46"/>
    <w:link w:val="18"/>
    <w:semiHidden/>
    <w:qFormat/>
    <w:uiPriority w:val="99"/>
    <w:rPr>
      <w:b/>
      <w:bCs/>
    </w:rPr>
  </w:style>
  <w:style w:type="table" w:customStyle="1" w:styleId="48">
    <w:name w:val="无格式表格 21"/>
    <w:basedOn w:val="1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9">
    <w:name w:val="尾注文本 字符"/>
    <w:basedOn w:val="20"/>
    <w:link w:val="12"/>
    <w:semiHidden/>
    <w:qFormat/>
    <w:uiPriority w:val="99"/>
    <w:rPr>
      <w:rFonts w:asciiTheme="minorHAnsi" w:hAnsiTheme="minorHAnsi" w:eastAsiaTheme="minorEastAsia" w:cstheme="minorBidi"/>
      <w:kern w:val="2"/>
      <w:sz w:val="22"/>
      <w:szCs w:val="24"/>
      <w14:ligatures w14:val="standardContextual"/>
    </w:rPr>
  </w:style>
  <w:style w:type="character" w:customStyle="1" w:styleId="50">
    <w:name w:val="脚注文本 字符"/>
    <w:basedOn w:val="20"/>
    <w:link w:val="16"/>
    <w:semiHidden/>
    <w:qFormat/>
    <w:uiPriority w:val="99"/>
    <w:rPr>
      <w:rFonts w:asciiTheme="minorHAnsi" w:hAnsiTheme="minorHAnsi" w:eastAsiaTheme="minorEastAsia" w:cstheme="minorBidi"/>
      <w:kern w:val="2"/>
      <w:sz w:val="18"/>
      <w:szCs w:val="18"/>
      <w14:ligatures w14:val="standardContextual"/>
    </w:rPr>
  </w:style>
  <w:style w:type="character" w:customStyle="1" w:styleId="51">
    <w:name w:val="未处理的提及1"/>
    <w:basedOn w:val="20"/>
    <w:semiHidden/>
    <w:unhideWhenUsed/>
    <w:qFormat/>
    <w:uiPriority w:val="99"/>
    <w:rPr>
      <w:color w:val="605E5C"/>
      <w:shd w:val="clear" w:color="auto" w:fill="E1DFDD"/>
    </w:rPr>
  </w:style>
  <w:style w:type="paragraph" w:customStyle="1" w:styleId="52">
    <w:name w:val="修订1"/>
    <w:hidden/>
    <w:unhideWhenUsed/>
    <w:qFormat/>
    <w:uiPriority w:val="99"/>
    <w:rPr>
      <w:rFonts w:asciiTheme="minorHAnsi" w:hAnsiTheme="minorHAnsi" w:eastAsiaTheme="minorEastAsia" w:cstheme="minorBidi"/>
      <w:kern w:val="2"/>
      <w:sz w:val="22"/>
      <w:szCs w:val="24"/>
      <w:lang w:val="en-US" w:eastAsia="zh-CN" w:bidi="ar-SA"/>
      <w14:ligatures w14:val="standardContextual"/>
    </w:rPr>
  </w:style>
  <w:style w:type="character" w:customStyle="1" w:styleId="53">
    <w:name w:val="未处理的提及2"/>
    <w:basedOn w:val="20"/>
    <w:semiHidden/>
    <w:unhideWhenUsed/>
    <w:qFormat/>
    <w:uiPriority w:val="99"/>
    <w:rPr>
      <w:color w:val="605E5C"/>
      <w:shd w:val="clear" w:color="auto" w:fill="E1DFDD"/>
    </w:rPr>
  </w:style>
  <w:style w:type="paragraph" w:customStyle="1" w:styleId="54">
    <w:name w:val="Revision"/>
    <w:hidden/>
    <w:unhideWhenUsed/>
    <w:qFormat/>
    <w:uiPriority w:val="99"/>
    <w:rPr>
      <w:rFonts w:asciiTheme="minorHAnsi" w:hAnsiTheme="minorHAnsi" w:eastAsiaTheme="minorEastAsia" w:cstheme="minorBidi"/>
      <w:kern w:val="2"/>
      <w:sz w:val="22"/>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0.emf"/><Relationship Id="rId18" Type="http://schemas.openxmlformats.org/officeDocument/2006/relationships/oleObject" Target="embeddings/Workbook1.xls"/><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93FDB-E684-4EB8-86CB-4C6FCD37E630}">
  <ds:schemaRefs/>
</ds:datastoreItem>
</file>

<file path=docProps/app.xml><?xml version="1.0" encoding="utf-8"?>
<Properties xmlns="http://schemas.openxmlformats.org/officeDocument/2006/extended-properties" xmlns:vt="http://schemas.openxmlformats.org/officeDocument/2006/docPropsVTypes">
  <Template>Normal</Template>
  <Pages>37</Pages>
  <Words>7457</Words>
  <Characters>9864</Characters>
  <Lines>137</Lines>
  <Paragraphs>38</Paragraphs>
  <TotalTime>114</TotalTime>
  <ScaleCrop>false</ScaleCrop>
  <LinksUpToDate>false</LinksUpToDate>
  <CharactersWithSpaces>10182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2026-02-23T05:58:00Z</dcterms:created>
  <dc:creator>Zhongcai Pei</dc:creator>
  <cp:lastModifiedBy>泡芙熊</cp:lastModifiedBy>
  <dcterms:modified xsi:type="dcterms:W3CDTF">2026-03-01T16:11:17Z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eyJoZGlkIjoiMzEwNTM5NzYwMDRjMzkwZTVkZjY2ODkwMGIxNGU0OTUiLCJ1c2VySWQiOiIxODA1ODA4OTcyIn0=</vt:lpwstr>
  </property>
  <property fmtid="{D5CDD505-2E9C-101B-9397-08002B2CF9AE}" pid="3" name="KSOProductBuildVer">
    <vt:lpwstr>2052-12.1.0.24657</vt:lpwstr>
  </property>
  <property fmtid="{D5CDD505-2E9C-101B-9397-08002B2CF9AE}" pid="4" name="ICV">
    <vt:lpwstr>001181AD0A8E48C192B59524D90C0BB5_13</vt:lpwstr>
  </property>
</Properties>
</file>