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Standard_Sales_Order_Conf/1305"/>
        <w:id w:val="1481039450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Standard_Sales_Order_Conf/1305"/>
            <w:id w:val="1866784608"/>
            <w:placeholder>
              <w:docPart w:val="687D1BC5CF1543AA90436E3F8692958D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48539782-A6D2-4B3A-8AE4-7FD30B492204}"/>
</file>

<file path=customXml/itemProps3.xml><?xml version="1.0" encoding="utf-8"?>
<ds:datastoreItem xmlns:ds="http://schemas.openxmlformats.org/officeDocument/2006/customXml" ds:itemID="{8CDA3339-653D-4D8C-A284-DB3A38260838}"/>
</file>

<file path=customXml/itemProps4.xml><?xml version="1.0" encoding="utf-8"?>
<ds:datastoreItem xmlns:ds="http://schemas.openxmlformats.org/officeDocument/2006/customXml" ds:itemID="{F22CF3CC-8F08-41C0-AC4C-C52093499E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