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exact" w:line="600" w:before="0" w:after="240"/>
        <w:jc w:val="center"/>
      </w:pPr>
      <w:r>
        <w:rPr>
          <w:rFonts w:ascii="方正小标宋简体" w:hAnsi="方正小标宋简体" w:eastAsia="方正小标宋简体"/>
          <w:color w:val="000000"/>
          <w:sz w:val="44"/>
        </w:rPr>
        <w:t>AIHcare C端整体体验重构需求</w:t>
      </w:r>
    </w:p>
    <w:p>
      <w:pPr>
        <w:keepNext w:val="0"/>
        <w:spacing w:lineRule="exact" w:line="600" w:before="0" w:after="0"/>
        <w:ind w:firstLine="641" w:left="227"/>
      </w:pPr>
      <w:r>
        <w:rPr>
          <w:rFonts w:ascii="仿宋_GB2312" w:hAnsi="仿宋_GB2312" w:eastAsia="仿宋_GB2312"/>
          <w:color w:val="000000"/>
          <w:sz w:val="32"/>
        </w:rPr>
        <w:t>面向 UI/UX 设计师。</w:t>
      </w:r>
    </w:p>
    <w:p>
      <w:pPr>
        <w:keepNext w:val="0"/>
        <w:spacing w:lineRule="exact" w:line="600" w:before="0" w:after="0"/>
        <w:ind w:firstLine="641" w:left="227"/>
      </w:pPr>
      <w:r>
        <w:rPr>
          <w:rFonts w:ascii="仿宋_GB2312" w:hAnsi="仿宋_GB2312" w:eastAsia="仿宋_GB2312"/>
          <w:color w:val="000000"/>
          <w:sz w:val="32"/>
        </w:rPr>
        <w:t>目标不是重画旧页面，而是在理解现有能力和慢管业务闭环后，重新定义 C 端整体体验框架。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一、定位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AIHcare C 端是一个由 服务团队 + AI/科技能力 共同支撑的慢病管理工具。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它不是资讯社区、营销页、商城，也不是单纯的健康档案查看器。它要帮助患者在长期管理周期里：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看懂状态 → 理解计划 → 完成行动 → 记录数据 → 获得反馈 → 进入下一轮调整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患者打开小程序时，应能感知到四件事：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有人在持续管理我。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我知道今天该做什么。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我的健康状态被理解和解释了。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我处在一个长期健康计划中。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二、核心业务模型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C 端体验按慢管 PDCA 闭环组织，而不是按后台功能列表组织。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P 计划：服务团队 / 系统制定控制目标、监测计划、饮食方案、运动方案、随访计划等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D 执行：患者完成健康任务、指标记录、饮食运动记录、用药确认、报告上传等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C 检查：系统汇总档案、指标、任务、随访和方案执行情况，形成近况反馈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A 调整：服务团队和 AI/系统根据反馈调整方案、任务和下一步指导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对应到现有能力：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健康档案 / 指标 / 饮食运动 / 随访 / 报告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→ 健康画像 / 近况分析 / 阶段反馈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→ 干预方案 / 控制目标 / 监测计划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→ 健康任务 / 今日行动 / 记录打卡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→ 数据回流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→ 服务团队 + AI 继续调整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设计重点：记录、任务、方案、咨询、状态反馈不是五个入口，而是同一个健康管理循环里的不同角色。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三、当前能力边界</w:t>
      </w:r>
    </w:p>
    <w:p>
      <w:pPr>
        <w:pStyle w:val="Heading2"/>
        <w:keepNext/>
        <w:spacing w:lineRule="exact" w:line="600" w:before="0" w:after="0"/>
      </w:pPr>
      <w:r>
        <w:rPr>
          <w:rFonts w:ascii="楷体" w:hAnsi="楷体" w:eastAsia="楷体"/>
          <w:color w:val="000000"/>
          <w:sz w:val="32"/>
        </w:rPr>
        <w:t>（一）已有能力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这些能力已有业务基础，前端需要重新组织和承接：</w:t>
      </w:r>
    </w:p>
    <w:tbl>
      <w:tblPr>
        <w:tblW w:type="dxa" w:w="831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77"/>
        <w:gridCol w:w="6733"/>
      </w:tblGrid>
      <w:tr>
        <w:tc>
          <w:tcPr>
            <w:tcW w:type="dxa" w:w="15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能力</w:t>
            </w:r>
          </w:p>
        </w:tc>
        <w:tc>
          <w:tcPr>
            <w:tcW w:type="dxa" w:w="67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内容</w:t>
            </w:r>
          </w:p>
        </w:tc>
      </w:tr>
      <w:tr>
        <w:tc>
          <w:tcPr>
            <w:tcW w:type="dxa" w:w="15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健康档案</w:t>
            </w:r>
          </w:p>
        </w:tc>
        <w:tc>
          <w:tcPr>
            <w:tcW w:type="dxa" w:w="67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left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指标记录、指标趋势、饮食运动记录、随访记录、报告检查</w:t>
            </w:r>
          </w:p>
        </w:tc>
      </w:tr>
      <w:tr>
        <w:tc>
          <w:tcPr>
            <w:tcW w:type="dxa" w:w="15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干预方案</w:t>
            </w:r>
          </w:p>
        </w:tc>
        <w:tc>
          <w:tcPr>
            <w:tcW w:type="dxa" w:w="67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left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控制目标、饮食方案、运动方案、监测方案、随访计划、用药指导、健康周报</w:t>
            </w:r>
          </w:p>
        </w:tc>
      </w:tr>
      <w:tr>
        <w:tc>
          <w:tcPr>
            <w:tcW w:type="dxa" w:w="15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服务团队</w:t>
            </w:r>
          </w:p>
        </w:tc>
        <w:tc>
          <w:tcPr>
            <w:tcW w:type="dxa" w:w="67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left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医生/健管师、留言/咨询、签约服务</w:t>
            </w:r>
          </w:p>
        </w:tc>
      </w:tr>
      <w:tr>
        <w:tc>
          <w:tcPr>
            <w:tcW w:type="dxa" w:w="15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账户服务</w:t>
            </w:r>
          </w:p>
        </w:tc>
        <w:tc>
          <w:tcPr>
            <w:tcW w:type="dxa" w:w="67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left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实名认证、设备管理、消息授权、签约详情、报告上传</w:t>
            </w:r>
          </w:p>
        </w:tc>
      </w:tr>
    </w:tbl>
    <w:p>
      <w:pPr>
        <w:keepNext w:val="0"/>
        <w:spacing w:lineRule="exact" w:line="120" w:before="0" w:after="0"/>
      </w:pPr>
    </w:p>
    <w:p>
      <w:pPr>
        <w:pStyle w:val="Heading2"/>
        <w:keepNext/>
        <w:spacing w:lineRule="exact" w:line="600" w:before="0" w:after="0"/>
      </w:pPr>
      <w:r>
        <w:rPr>
          <w:rFonts w:ascii="楷体" w:hAnsi="楷体" w:eastAsia="楷体"/>
          <w:color w:val="000000"/>
          <w:sz w:val="32"/>
        </w:rPr>
        <w:t>（二）即将研发能力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这些能力马上进入开发，需要设计先行定义体验：</w:t>
      </w:r>
    </w:p>
    <w:tbl>
      <w:tblPr>
        <w:tblW w:type="dxa" w:w="831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78"/>
        <w:gridCol w:w="6332"/>
      </w:tblGrid>
      <w:tr>
        <w:tc>
          <w:tcPr>
            <w:tcW w:type="dxa" w:w="19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能力</w:t>
            </w:r>
          </w:p>
        </w:tc>
        <w:tc>
          <w:tcPr>
            <w:tcW w:type="dxa" w:w="63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内容</w:t>
            </w:r>
          </w:p>
        </w:tc>
      </w:tr>
      <w:tr>
        <w:tc>
          <w:tcPr>
            <w:tcW w:type="dxa" w:w="19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健康任务</w:t>
            </w:r>
          </w:p>
        </w:tc>
        <w:tc>
          <w:tcPr>
            <w:tcW w:type="dxa" w:w="63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left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首页任务卡片、任务列表、任务详情弹框、图片/二维码、未完成任务、完成动作</w:t>
            </w:r>
          </w:p>
        </w:tc>
      </w:tr>
      <w:tr>
        <w:tc>
          <w:tcPr>
            <w:tcW w:type="dxa" w:w="19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center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AI 能力</w:t>
            </w:r>
          </w:p>
        </w:tc>
        <w:tc>
          <w:tcPr>
            <w:tcW w:type="dxa" w:w="63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Rule="exact" w:line="600" w:before="0" w:after="0"/>
              <w:jc w:val="left"/>
            </w:pPr>
            <w:r/>
            <w:r>
              <w:rPr>
                <w:rFonts w:ascii="仿宋_GB2312" w:hAnsi="仿宋_GB2312" w:eastAsia="仿宋_GB2312"/>
                <w:color w:val="000000"/>
                <w:sz w:val="32"/>
              </w:rPr>
              <w:t>基础 AI 对话、近况分析、方案解读、任务指导、AI 健管师</w:t>
            </w:r>
          </w:p>
        </w:tc>
      </w:tr>
    </w:tbl>
    <w:p>
      <w:pPr>
        <w:keepNext w:val="0"/>
        <w:spacing w:lineRule="exact" w:line="120" w:before="0" w:after="0"/>
      </w:pP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四、关键产品判断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健康档案：不是资料库，而是数据底座。它支撑近况分析、方案调整、任务生成和服务团队判断。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干预方案：不是静态文档，而是阶段计划。饮食、运动、监测、随访、用药等方案需要被患者理解，并进一步拆成行动。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健康任务：不是普通待办列表，而是“计划到执行”的承接层。前台不一定叫“任务”，可以表达为“今日行动”“今日重点”“已为你整理好”。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AI 能力：不能变成孤立聊天壳。AI 的角色是整理、解释、指导和连接：整理档案和方案 → 解释为什么做 → 指导怎么做 → 连接服务团队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服务团队：是信任来源和责任主体。患者应感知到“AI/系统在整理，服务团队在跟进”，而不是只有机器在管理。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五、设计开放边界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现有“首页 / 档案 / 咨询 / 我的”只作为能力参考，不要求机械沿用。设计师可以重新组织一级入口、页面分组和首页信息优先级。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但无论怎么重构，患者必须能清楚找到：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当前状态。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管理计划。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今日行动。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数据记录。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服务/咨询。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6. 个人服务信息。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可以调整：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一级导航结构。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首页是否作为 AI 整理后的健康管理总览。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方案、任务、档案、咨询之间的连接方式。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信息前置、合并、下沉、重命名方式。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AI 与服务团队共同出现的方式。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不应偏离：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工具属性优先。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慢病管理闭环优先。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服务团队 + AI/科技能力共同支撑。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患者执行和数据回流是核心。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不做内容社区化、营销化、活动化。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6. 不做后台功能菜单。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六、设计命题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请重点回答：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C 端整体体验框架如何组织，才能让患者感知到自己处在长期健康管理计划中？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首页如何表达当前阶段、团队关注点、今日行动和近况反馈？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健康任务如何从首页进入列表和详情，并成为方案到执行的承接层？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AI 如何参与整理、解释和指导，同时不削弱服务团队的可信感？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档案、方案、任务、咨询、近况反馈之间如何形成连续体验？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6. 患者如何知道“我今天做的记录和任务，会影响下一轮管理”？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七、设计交付优先级</w:t>
      </w:r>
    </w:p>
    <w:p>
      <w:pPr>
        <w:pStyle w:val="Heading2"/>
        <w:keepNext/>
        <w:spacing w:lineRule="exact" w:line="600" w:before="0" w:after="0"/>
      </w:pPr>
      <w:r>
        <w:rPr>
          <w:rFonts w:ascii="楷体" w:hAnsi="楷体" w:eastAsia="楷体"/>
          <w:color w:val="000000"/>
          <w:sz w:val="32"/>
        </w:rPr>
        <w:t>（一）第一批：核心框架与主路径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第一批用于定 C 端整体体验框架，优先级最高。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必须包括：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首页：重点体现健康任务和基础 AI 能力。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首页待办任务卡片：让患者看到今日重点行动。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待办任务列表：承接首页卡片，展示今日/近期任务。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待办任务详情弹框：解释为什么做、怎么做、是否需要咨询。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基础 AI 对话：围绕当前任务、当前页面和基础健康问题提供解释/求助入口。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6. 档案首页：体现各类数据看板，包括指标、饮食运动、人体成分、随访、报告等。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7. 我的页：承接签约服务、个人服务信息、设备、报告上传、账户设置等。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第一批要定清楚：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患者进入 C 端后如何看到今日行动。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任务如何从首页进入列表和详情。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AI 对话如何作为解释和求助入口出现。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档案首页如何体现数据底座和健康看板。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我的页如何承接个人服务信息，而不抢占健康管理主路径。</w:t>
      </w:r>
    </w:p>
    <w:p>
      <w:pPr>
        <w:pStyle w:val="Heading2"/>
        <w:keepNext/>
        <w:spacing w:lineRule="exact" w:line="600" w:before="0" w:after="0"/>
      </w:pPr>
      <w:r>
        <w:rPr>
          <w:rFonts w:ascii="楷体" w:hAnsi="楷体" w:eastAsia="楷体"/>
          <w:color w:val="000000"/>
          <w:sz w:val="32"/>
        </w:rPr>
        <w:t>（二）第二批：干预方案与 AI 解读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需要包括：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各类干预方案在首页中的体现，例如阶段计划卡片、当前管理重点卡片、与今日行动相关的说明卡片。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各类干预方案在 AI 对话中的解读，例如“帮我解读这个方案”“为什么适合我”“今天应该怎么执行”。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各类干预方案详情页，包括控制目标、监测方案、饮食方案、运动方案、随访计划、用药指导、健康周报等。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第二批重点：把干预方案从静态查看，转成患者能理解、能被 AI 解释、能进一步拆成行动的阶段计划。</w:t>
      </w:r>
    </w:p>
    <w:p>
      <w:pPr>
        <w:pStyle w:val="Heading2"/>
        <w:keepNext/>
        <w:spacing w:lineRule="exact" w:line="600" w:before="0" w:after="0"/>
      </w:pPr>
      <w:r>
        <w:rPr>
          <w:rFonts w:ascii="楷体" w:hAnsi="楷体" w:eastAsia="楷体"/>
          <w:color w:val="000000"/>
          <w:sz w:val="32"/>
        </w:rPr>
        <w:t>（三）第三批：边缘页面与操作流程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需要包括：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指标录入详情页。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随访记录页。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报告上传、历史记录等辅助页面。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智能设备连接流程。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其他记录、设置、空状态、异常状态页面。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第三批重点：补齐一致性和可用性，不反向影响第一批框架。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八、配套材料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设计师阅读材料建议：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先看互动截图说明页：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[慢管C端小程序截图合集0621/index.html](./慢管C端小程序截图合集0621/index.html)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再看本需求文档，理解重构方向和交付优先级。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截图说明页用于理解当前系统能力，不是要求照搬当前页面。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九、视觉与文案方向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视觉关键词：</w:t>
      </w:r>
    </w:p>
    <w:p>
      <w:pPr>
        <w:keepNext w:val="0"/>
        <w:spacing w:lineRule="exact" w:line="600" w:before="0" w:after="0"/>
        <w:ind w:firstLine="0" w:left="454"/>
      </w:pPr>
      <w:r>
        <w:rPr>
          <w:rFonts w:ascii="仿宋_GB2312" w:hAnsi="仿宋_GB2312" w:eastAsia="仿宋_GB2312"/>
          <w:color w:val="000000"/>
          <w:sz w:val="32"/>
        </w:rPr>
        <w:t>可信医疗 / 温和陪伴 / 清晰行动 / 智能整理 / 工具化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光效与动效方向：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需要适度体现光效和动效，强化“AI 正在整理、分析、生成建议”的产品感知。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光效用于服务信息层级和状态反馈，例如今日重点、AI 分析中、任务完成、数据回流、服务团队跟进。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动效应轻量、克制、可落地，重点用于页面转场、卡片展开、任务完成、AI 回复生成、数据更新等关键节点。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医疗健康场景要保持可信和稳定，动效不能干扰阅读、操作和老年用户理解。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文案方向：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多用“已为你整理好”“今日重点”“建议先关注”“服务团队会继续跟进”。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少用“异常”“严重”“必须”“逾期”“漏做”等压迫性表达。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对患者说人话，少暴露系统内部机制。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AI 和服务团队自然融合，不让患者理解复杂分流逻辑。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十、不希望出现的方向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只是给旧页面换皮。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首页仍然是功能宫格或入口集合。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做成资讯流、社区或营销活动页。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AI 只是一个孤立聊天入口。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服务团队被弱化成普通客服。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6. 档案只是冷冰冰的数据仓库。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7. 医疗术语过多，患者看不懂。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8. 过度强调风险、异常、惩罚，制造焦虑。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9. 光效和动效只做装饰，影响信息理解和操作效率。</w:t>
      </w:r>
    </w:p>
    <w:p>
      <w:pPr>
        <w:pStyle w:val="Heading1"/>
        <w:keepNext/>
        <w:spacing w:lineRule="exact" w:line="600" w:before="195" w:after="0"/>
      </w:pPr>
      <w:r>
        <w:rPr>
          <w:rFonts w:ascii="黑体" w:hAnsi="黑体" w:eastAsia="黑体"/>
          <w:color w:val="000000"/>
          <w:sz w:val="32"/>
        </w:rPr>
        <w:t>十一、最终输出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请最终给出：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C 端新的整体体验框架。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一级导航 / 核心入口方案。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页面分组和页面地图。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第一批页面设计稿。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核心主路径说明：进入小程序 → 看懂状态 → 明确今日行动 → 执行/记录 → 咨询/解释 → 数据回流 → 下一轮调整。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6. Figma 源文件。</w:t>
      </w:r>
    </w:p>
    <w:p>
      <w:pPr>
        <w:keepNext w:val="0"/>
        <w:spacing w:lineRule="exact" w:line="600" w:before="0" w:after="0"/>
        <w:ind w:firstLine="641"/>
        <w:jc w:val="both"/>
      </w:pPr>
      <w:r>
        <w:rPr>
          <w:rFonts w:ascii="仿宋_GB2312" w:hAnsi="仿宋_GB2312" w:eastAsia="仿宋_GB2312"/>
          <w:color w:val="000000"/>
          <w:sz w:val="32"/>
        </w:rPr>
        <w:t>Figma 源文件是正式交付物，不只是截图或导出的 PNG。源文件需要便于后续项目维护和开发协作：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1. 页面、模块、组件命名清晰。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2. 保留可复用组件和状态，不要只交付散乱画板。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3. 第一批、第二批、第三批页面分区明确。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4. 关键交互状态、弹框、空状态、异常状态需要在源文件中可追溯。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5. 关键光效、动效、页面转场和 AI 回复状态需要有说明或原型表达。</w:t>
      </w:r>
    </w:p>
    <w:p>
      <w:pPr>
        <w:keepNext w:val="0"/>
        <w:spacing w:lineRule="exact" w:line="600" w:before="0" w:after="0"/>
        <w:ind w:firstLine="0" w:left="641"/>
      </w:pPr>
      <w:r>
        <w:rPr>
          <w:rFonts w:ascii="仿宋_GB2312" w:hAnsi="仿宋_GB2312" w:eastAsia="仿宋_GB2312"/>
          <w:color w:val="000000"/>
          <w:sz w:val="32"/>
        </w:rPr>
        <w:t>6. 方便后续继续迭代页面和补充开发标注。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600" w:before="0" w:after="0"/>
    </w:pPr>
    <w:rPr>
      <w:rFonts w:ascii="仿宋_GB2312" w:hAnsi="仿宋_GB2312" w:eastAsia="仿宋_GB2312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95" w:after="0" w:lineRule="exact" w:line="600"/>
      <w:outlineLvl w:val="0"/>
    </w:pPr>
    <w:rPr>
      <w:rFonts w:asciiTheme="majorHAnsi" w:eastAsiaTheme="majorEastAsia" w:hAnsiTheme="majorHAnsi" w:cstheme="majorBidi" w:ascii="黑体" w:hAnsi="黑体" w:eastAsia="黑体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exact" w:line="600"/>
      <w:outlineLvl w:val="1"/>
    </w:pPr>
    <w:rPr>
      <w:rFonts w:asciiTheme="majorHAnsi" w:eastAsiaTheme="majorEastAsia" w:hAnsiTheme="majorHAnsi" w:cstheme="majorBidi" w:ascii="楷体" w:hAnsi="楷体" w:eastAsia="楷体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exact" w:line="600"/>
      <w:outlineLvl w:val="2"/>
    </w:pPr>
    <w:rPr>
      <w:rFonts w:asciiTheme="majorHAnsi" w:eastAsiaTheme="majorEastAsia" w:hAnsiTheme="majorHAnsi" w:cstheme="majorBidi" w:ascii="仿宋_GB2312" w:hAnsi="仿宋_GB2312" w:eastAsia="仿宋_GB2312"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600" w:lineRule="exact"/>
      <w:contextualSpacing/>
      <w:jc w:val="center"/>
    </w:pPr>
    <w:rPr>
      <w:rFonts w:asciiTheme="majorHAnsi" w:eastAsiaTheme="majorEastAsia" w:hAnsiTheme="majorHAnsi" w:cstheme="majorBidi" w:ascii="方正小标宋简体" w:hAnsi="方正小标宋简体" w:eastAsia="方正小标宋简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/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/>
    </w:tblStylePr>
    <w:tblStylePr w:type="lastRow">
      <w:rPr/>
      <w:tblPr/>
      <w:tcPr>
        <w:tcBorders>
          <w:top w:val="single" w:sz="18" w:space="0" w:color="404040" w:themeColor="text1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/>
    </w:tblStylePr>
    <w:tblStylePr w:type="lastRow">
      <w:rPr/>
      <w:tblPr/>
      <w:tcPr>
        <w:tcBorders>
          <w:top w:val="single" w:sz="18" w:space="0" w:color="7BA0CD" w:themeColor="accent1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/>
    </w:tblStylePr>
    <w:tblStylePr w:type="lastRow">
      <w:rPr/>
      <w:tblPr/>
      <w:tcPr>
        <w:tcBorders>
          <w:top w:val="single" w:sz="18" w:space="0" w:color="CF7B79" w:themeColor="accent2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/>
    </w:tblStylePr>
    <w:tblStylePr w:type="lastRow">
      <w:rPr/>
      <w:tblPr/>
      <w:tcPr>
        <w:tcBorders>
          <w:top w:val="single" w:sz="18" w:space="0" w:color="B3CC82" w:themeColor="accent3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/>
    </w:tblStylePr>
    <w:tblStylePr w:type="lastRow">
      <w:rPr/>
      <w:tblPr/>
      <w:tcPr>
        <w:tcBorders>
          <w:top w:val="single" w:sz="18" w:space="0" w:color="9F8AB9" w:themeColor="accent4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/>
    </w:tblStylePr>
    <w:tblStylePr w:type="lastRow">
      <w:rPr/>
      <w:tblPr/>
      <w:tcPr>
        <w:tcBorders>
          <w:top w:val="single" w:sz="18" w:space="0" w:color="78C0D4" w:themeColor="accent5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/>
    </w:tblStylePr>
    <w:tblStylePr w:type="lastRow">
      <w:rPr/>
      <w:tblPr/>
      <w:tcPr>
        <w:tcBorders>
          <w:top w:val="single" w:sz="18" w:space="0" w:color="F9B074" w:themeColor="accent6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/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/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/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/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/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/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/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/>
      <w:tblPr/>
      <w:tcPr>
        <w:shd w:val="clear" w:color="auto" w:fill="999999" w:themeFill="text1" w:themeFillTint="66"/>
      </w:tcPr>
    </w:tblStylePr>
    <w:tblStylePr w:type="lastRow">
      <w:rPr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/>
      <w:tblPr/>
      <w:tcPr>
        <w:shd w:val="clear" w:color="auto" w:fill="B8CCE4" w:themeFill="accent1" w:themeFillTint="66"/>
      </w:tcPr>
    </w:tblStylePr>
    <w:tblStylePr w:type="lastRow">
      <w:rPr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/>
      <w:tblPr/>
      <w:tcPr>
        <w:shd w:val="clear" w:color="auto" w:fill="E5B8B7" w:themeFill="accent2" w:themeFillTint="66"/>
      </w:tcPr>
    </w:tblStylePr>
    <w:tblStylePr w:type="lastRow">
      <w:rPr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/>
      <w:tblPr/>
      <w:tcPr>
        <w:shd w:val="clear" w:color="auto" w:fill="D6E3BC" w:themeFill="accent3" w:themeFillTint="66"/>
      </w:tcPr>
    </w:tblStylePr>
    <w:tblStylePr w:type="lastRow">
      <w:rPr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/>
      <w:tblPr/>
      <w:tcPr>
        <w:shd w:val="clear" w:color="auto" w:fill="CCC0D9" w:themeFill="accent4" w:themeFillTint="66"/>
      </w:tcPr>
    </w:tblStylePr>
    <w:tblStylePr w:type="lastRow">
      <w:rPr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/>
      <w:tblPr/>
      <w:tcPr>
        <w:shd w:val="clear" w:color="auto" w:fill="B6DDE8" w:themeFill="accent5" w:themeFillTint="66"/>
      </w:tcPr>
    </w:tblStylePr>
    <w:tblStylePr w:type="lastRow">
      <w:rPr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/>
      <w:tblPr/>
      <w:tcPr>
        <w:shd w:val="clear" w:color="auto" w:fill="FBD4B4" w:themeFill="accent6" w:themeFillTint="66"/>
      </w:tcPr>
    </w:tblStylePr>
    <w:tblStylePr w:type="lastRow">
      <w:rPr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AIHcare C端整体体验重构需求</dc:title>
  <dc:subject>公文文档</dc:subject>
  <dc:creator>Marvel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