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UK &amp; Swedish Tax Returns 2025 — Filed Record &amp; Position Guide</w:t>
      </w:r>
    </w:p>
    <w:p>
      <w:pPr>
        <w:ind w:left="432"/>
      </w:pPr>
      <w:r>
        <w:rPr>
          <w:i/>
          <w:color w:val="555555"/>
        </w:rPr>
        <w:t>Status: ✅ Both returns submitted 19 May 2026. This document is the canonical post-filing record and the reference for any future investigation or omprövning.</w:t>
      </w:r>
    </w:p>
    <w:p>
      <w:r>
        <w:rPr>
          <w:b/>
        </w:rPr>
        <w:t>Property:</w:t>
      </w:r>
      <w:r>
        <w:t xml:space="preserve"> 76a Ingelow Road, London SW8 3PF (UK leasehold flat with share of freehold)</w:t>
      </w:r>
    </w:p>
    <w:p>
      <w:r>
        <w:rPr>
          <w:b/>
        </w:rPr>
        <w:t>Filer:</w:t>
      </w:r>
      <w:r>
        <w:t xml:space="preserve"> Tristan Patrick Morgan (Swedish PIN 199209225011)</w:t>
      </w:r>
    </w:p>
    <w:p>
      <w:r>
        <w:rPr>
          <w:b/>
        </w:rPr>
        <w:t>Swedish tax resident since:</w:t>
      </w:r>
      <w:r>
        <w:t xml:space="preserve"> 25 November 2021</w:t>
      </w:r>
    </w:p>
    <w:p>
      <w:r>
        <w:rPr>
          <w:b/>
        </w:rPr>
        <w:t>Tax year covered:</w:t>
      </w:r>
      <w:r>
        <w:t xml:space="preserve"> UK 2025/26 (6 Apr 2025 – 5 Apr 2026) and Swedish 2025 (calendar year)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Submission references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Jurisdiction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Form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Date / time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Reference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Receipt PDF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HMRC (UK)</w:t>
            </w:r>
          </w:p>
        </w:tc>
        <w:tc>
          <w:tcPr>
            <w:tcW w:type="dxa" w:w="1728"/>
          </w:tcPr>
          <w:p>
            <w:r/>
            <w:r>
              <w:t>SA100 + SA105 2025/26</w:t>
            </w:r>
          </w:p>
        </w:tc>
        <w:tc>
          <w:tcPr>
            <w:tcW w:type="dxa" w:w="1728"/>
          </w:tcPr>
          <w:p>
            <w:r/>
            <w:r>
              <w:t>2026-05-19 07:38 GMT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2605755020</w:t>
            </w:r>
            <w:r>
              <w:t xml:space="preserve"> (submission ref </w:t>
            </w:r>
            <w:r>
              <w:rPr>
                <w:rFonts w:ascii="Courier New" w:hAnsi="Courier New"/>
              </w:rPr>
              <w:t>TJCNMDAJSEYYVY2C25QSPA5A4RJGUXN4</w:t>
            </w:r>
            <w:r>
              <w:t>)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UK_Tax_Return_2025-26_filed.pdf</w:t>
            </w:r>
            <w:r>
              <w:t xml:space="preserve">, </w:t>
            </w:r>
            <w:r>
              <w:rPr>
                <w:rFonts w:ascii="Courier New" w:hAnsi="Courier New"/>
              </w:rPr>
              <w:t>UK_Tax_Return_2025-26_submission_receipt.pdf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Skatteverket (Sweden)</w:t>
            </w:r>
          </w:p>
        </w:tc>
        <w:tc>
          <w:tcPr>
            <w:tcW w:type="dxa" w:w="1728"/>
          </w:tcPr>
          <w:p>
            <w:r/>
            <w:r>
              <w:t>INK1 + K4 avsnitt A 2025</w:t>
            </w:r>
          </w:p>
        </w:tc>
        <w:tc>
          <w:tcPr>
            <w:tcW w:type="dxa" w:w="1728"/>
          </w:tcPr>
          <w:p>
            <w:r/>
            <w:r>
              <w:t>2026-05-19 10:14 CEST</w:t>
            </w:r>
          </w:p>
        </w:tc>
        <w:tc>
          <w:tcPr>
            <w:tcW w:type="dxa" w:w="1728"/>
          </w:tcPr>
          <w:p>
            <w:r/>
            <w:r>
              <w:t xml:space="preserve">Kvittens </w:t>
            </w:r>
            <w:r>
              <w:rPr>
                <w:b/>
              </w:rPr>
              <w:t>20260519101426199209225011262906</w:t>
            </w:r>
          </w:p>
        </w:tc>
        <w:tc>
          <w:tcPr>
            <w:tcW w:type="dxa" w:w="1728"/>
          </w:tcPr>
          <w:p>
            <w:r/>
            <w:r>
              <w:rPr>
                <w:rFonts w:ascii="Courier New" w:hAnsi="Courier New"/>
              </w:rPr>
              <w:t>Swedish_Tax_Return_2025_kvittens.pdf</w:t>
            </w:r>
          </w:p>
        </w:tc>
      </w:tr>
    </w:tbl>
    <w:p>
      <w:r>
        <w:t>UK 25/26 finalised first → enabled full FTC claim on the Swedish return same day.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Positions taken (with statutory anchors)</w:t>
      </w:r>
    </w:p>
    <w:p>
      <w:pPr>
        <w:pStyle w:val="Heading3"/>
      </w:pPr>
      <w:r>
        <w:t>Position #1 — Schablonavdrag on GROSS rent</w:t>
      </w:r>
    </w:p>
    <w:p>
      <w:r>
        <w:t xml:space="preserve">Skatteverket explicitly: </w:t>
      </w:r>
      <w:r>
        <w:rPr>
          <w:i/>
        </w:rPr>
        <w:t>"Om ett förmedlingsföretag endast förmedlar uthyrningen och tar ut en avgift räknas du som hyresvärd och ska redovisa hela den avtalade hyran som intäkt inklusive avgiften som du betalar till förmedlingsföretaget."</w:t>
      </w:r>
      <w:r>
        <w:t xml:space="preserve"> Agent commission absorbed into schablonavdrag, not separately deductible.</w:t>
      </w:r>
    </w:p>
    <w:p>
      <w:r>
        <w:t>The "agency rents in its own name" exception (which would allow net-of-commission) requires the agency to be the lessor on the tenancy. Knight Frank acts as a mediating agent collecting commission from gross rent — Tristan is the lessor → gross applies.</w:t>
      </w:r>
    </w:p>
    <w:p>
      <w:r>
        <w:t xml:space="preserve">Property is </w:t>
      </w:r>
      <w:r>
        <w:rPr>
          <w:b/>
        </w:rPr>
        <w:t>privatbostadsfastighet</w:t>
      </w:r>
      <w:r>
        <w:t xml:space="preserve"> for Swedish purposes (UK leasehold + share of freehold ≠ Swedish bostadsrätt because the UK freehold management company doesn't meet the privatbostadsföretag membership test, 2 kap. 17 § IL). Schablonavdrag formula: </w:t>
      </w:r>
      <w:r>
        <w:rPr>
          <w:b/>
        </w:rPr>
        <w:t>SEK 40,000 + 20% × gross rent</w:t>
      </w:r>
      <w:r>
        <w:t>.</w:t>
      </w:r>
    </w:p>
    <w:p>
      <w:pPr>
        <w:pStyle w:val="ListBullet"/>
      </w:pPr>
      <w:r>
        <w:t>Cost vs net-of-commission position: ~£1,215 more Swedish tax for 2025.</w:t>
      </w:r>
    </w:p>
    <w:p>
      <w:pPr>
        <w:pStyle w:val="ListBullet"/>
      </w:pPr>
      <w:r>
        <w:t xml:space="preserve">Sources: </w:t>
      </w:r>
      <w:r>
        <w:rPr>
          <w:color w:val="0563C1"/>
          <w:u w:val="single"/>
        </w:rPr>
        <w:t>Hyra ut privatbostad</w:t>
      </w:r>
      <w:r>
        <w:t xml:space="preserve">, </w:t>
      </w:r>
      <w:r>
        <w:rPr>
          <w:color w:val="0563C1"/>
          <w:u w:val="single"/>
        </w:rPr>
        <w:t>Rättslig vägledning — förmedling</w:t>
      </w:r>
      <w:r>
        <w:t>, 42 kap. 30 § IL.</w:t>
      </w:r>
    </w:p>
    <w:p>
      <w:pPr>
        <w:pStyle w:val="Heading3"/>
      </w:pPr>
      <w:r>
        <w:t>Position #2 — Vanguard ISA: genomsnittsmetoden per security</w:t>
      </w:r>
    </w:p>
    <w:p>
      <w:r>
        <w:t xml:space="preserve">No rebasing on Swedish residency move. Cost basis = original GBP cost × Riksbanken monthly Medel GBP/SEK at acquisition month. Genomsnittsmetoden applied </w:t>
      </w:r>
      <w:r>
        <w:rPr>
          <w:b/>
        </w:rPr>
        <w:t>per security</w:t>
      </w:r>
      <w:r>
        <w:t xml:space="preserve"> (per ISIN), not per account.</w:t>
      </w:r>
    </w:p>
    <w:p>
      <w:r>
        <w:rPr>
          <w:b/>
        </w:rPr>
        <w:t>Reality (per K4 working):</w:t>
      </w:r>
      <w:r>
        <w:t xml:space="preserve"> 46 buy transactions across </w:t>
      </w:r>
      <w:r>
        <w:rPr>
          <w:b/>
        </w:rPr>
        <w:t>4 funds</w:t>
      </w:r>
      <w:r>
        <w:t xml:space="preserve"> (FTSE 100 UT Acc, VUSA, VMID, VERX) — Sep 2020 to 1 Nov 2021, gross £20,282.34. One pre-residency partial sale (15 Nov 2021 FTSE 100, 5.0134 units) — not on Swedish return; reduces pool only. One pre-residency buy+sell pair (FTSE Dev Europe ex-U.K. Acc, Mar 2021) — excluded entirely.</w:t>
      </w:r>
    </w:p>
    <w:p>
      <w:r>
        <w:rPr>
          <w:b/>
        </w:rPr>
        <w:t>Submitted (verified FX, finalised 19 May 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Beteckning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Försäljningspris (SEK)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Omkostnadsbelopp (SEK)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Vinst (SEK)</w:t>
            </w:r>
          </w:p>
        </w:tc>
      </w:tr>
      <w:tr>
        <w:tc>
          <w:tcPr>
            <w:tcW w:type="dxa" w:w="1728"/>
          </w:tcPr>
          <w:p>
            <w:r/>
            <w:r>
              <w:t>FTSE 100 Index Unit Trust Accumulation</w:t>
            </w:r>
          </w:p>
        </w:tc>
        <w:tc>
          <w:tcPr>
            <w:tcW w:type="dxa" w:w="1728"/>
          </w:tcPr>
          <w:p>
            <w:r/>
            <w:r>
              <w:t>74</w:t>
            </w:r>
          </w:p>
        </w:tc>
        <w:tc>
          <w:tcPr>
            <w:tcW w:type="dxa" w:w="1728"/>
          </w:tcPr>
          <w:p>
            <w:r/>
            <w:r>
              <w:t>173,014</w:t>
            </w:r>
          </w:p>
        </w:tc>
        <w:tc>
          <w:tcPr>
            <w:tcW w:type="dxa" w:w="1728"/>
          </w:tcPr>
          <w:p>
            <w:r/>
            <w:r>
              <w:t>99,683</w:t>
            </w:r>
          </w:p>
        </w:tc>
        <w:tc>
          <w:tcPr>
            <w:tcW w:type="dxa" w:w="1728"/>
          </w:tcPr>
          <w:p>
            <w:r/>
            <w:r>
              <w:t>73,331</w:t>
            </w:r>
          </w:p>
        </w:tc>
      </w:tr>
      <w:tr>
        <w:tc>
          <w:tcPr>
            <w:tcW w:type="dxa" w:w="1728"/>
          </w:tcPr>
          <w:p>
            <w:r/>
            <w:r>
              <w:t>S&amp;P 500 UCITS ETF (VUSA)</w:t>
            </w:r>
          </w:p>
        </w:tc>
        <w:tc>
          <w:tcPr>
            <w:tcW w:type="dxa" w:w="1728"/>
          </w:tcPr>
          <w:p>
            <w:r/>
            <w:r>
              <w:t>155</w:t>
            </w:r>
          </w:p>
        </w:tc>
        <w:tc>
          <w:tcPr>
            <w:tcW w:type="dxa" w:w="1728"/>
          </w:tcPr>
          <w:p>
            <w:r/>
            <w:r>
              <w:t>168,353</w:t>
            </w:r>
          </w:p>
        </w:tc>
        <w:tc>
          <w:tcPr>
            <w:tcW w:type="dxa" w:w="1728"/>
          </w:tcPr>
          <w:p>
            <w:r/>
            <w:r>
              <w:t>98,869</w:t>
            </w:r>
          </w:p>
        </w:tc>
        <w:tc>
          <w:tcPr>
            <w:tcW w:type="dxa" w:w="1728"/>
          </w:tcPr>
          <w:p>
            <w:r/>
            <w:r>
              <w:t>69,484</w:t>
            </w:r>
          </w:p>
        </w:tc>
      </w:tr>
      <w:tr>
        <w:tc>
          <w:tcPr>
            <w:tcW w:type="dxa" w:w="1728"/>
          </w:tcPr>
          <w:p>
            <w:r/>
            <w:r>
              <w:t>FTSE 250 UCITS ETF (VMID)</w:t>
            </w:r>
          </w:p>
        </w:tc>
        <w:tc>
          <w:tcPr>
            <w:tcW w:type="dxa" w:w="1728"/>
          </w:tcPr>
          <w:p>
            <w:r/>
            <w:r>
              <w:t>45</w:t>
            </w:r>
          </w:p>
        </w:tc>
        <w:tc>
          <w:tcPr>
            <w:tcW w:type="dxa" w:w="1728"/>
          </w:tcPr>
          <w:p>
            <w:r/>
            <w:r>
              <w:t>18,869</w:t>
            </w:r>
          </w:p>
        </w:tc>
        <w:tc>
          <w:tcPr>
            <w:tcW w:type="dxa" w:w="1728"/>
          </w:tcPr>
          <w:p>
            <w:r/>
            <w:r>
              <w:t>17,495</w:t>
            </w:r>
          </w:p>
        </w:tc>
        <w:tc>
          <w:tcPr>
            <w:tcW w:type="dxa" w:w="1728"/>
          </w:tcPr>
          <w:p>
            <w:r/>
            <w:r>
              <w:t>1,374</w:t>
            </w:r>
          </w:p>
        </w:tc>
      </w:tr>
      <w:tr>
        <w:tc>
          <w:tcPr>
            <w:tcW w:type="dxa" w:w="1728"/>
          </w:tcPr>
          <w:p>
            <w:r/>
            <w:r>
              <w:t>FTSE Developed Europe ex UK (VERX)</w:t>
            </w:r>
          </w:p>
        </w:tc>
        <w:tc>
          <w:tcPr>
            <w:tcW w:type="dxa" w:w="1728"/>
          </w:tcPr>
          <w:p>
            <w:r/>
            <w:r>
              <w:t>42</w:t>
            </w:r>
          </w:p>
        </w:tc>
        <w:tc>
          <w:tcPr>
            <w:tcW w:type="dxa" w:w="1728"/>
          </w:tcPr>
          <w:p>
            <w:r/>
            <w:r>
              <w:t>19,957</w:t>
            </w:r>
          </w:p>
        </w:tc>
        <w:tc>
          <w:tcPr>
            <w:tcW w:type="dxa" w:w="1728"/>
          </w:tcPr>
          <w:p>
            <w:r/>
            <w:r>
              <w:t>14,005</w:t>
            </w:r>
          </w:p>
        </w:tc>
        <w:tc>
          <w:tcPr>
            <w:tcW w:type="dxa" w:w="1728"/>
          </w:tcPr>
          <w:p>
            <w:r/>
            <w:r>
              <w:t>5,952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Summa (K4 → Box 7.4)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b/>
              </w:rPr>
              <w:t>380,193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230,052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150,141</w:t>
            </w:r>
          </w:p>
        </w:tc>
      </w:tr>
    </w:tbl>
    <w:p>
      <w:r>
        <w:t xml:space="preserve">Swedish tax @ 30%: </w:t>
      </w:r>
      <w:r>
        <w:rPr>
          <w:b/>
        </w:rPr>
        <w:t>SEK 45,042</w:t>
      </w:r>
      <w:r>
        <w:t xml:space="preserve"> on this gain.</w:t>
      </w:r>
    </w:p>
    <w:p>
      <w:pPr>
        <w:pStyle w:val="ListBullet"/>
      </w:pPr>
      <w:r>
        <w:t>Difference vs Nov 2021-value approach: SEK ~13,310 more tax (~£1,030). The Nov 2021-value approach is not supported by Swedish law.</w:t>
      </w:r>
    </w:p>
    <w:p>
      <w:pPr>
        <w:pStyle w:val="ListBullet"/>
      </w:pPr>
      <w:r>
        <w:t xml:space="preserve">Detail: see </w:t>
      </w:r>
      <w:r>
        <w:rPr>
          <w:rFonts w:ascii="Courier New" w:hAnsi="Courier New"/>
        </w:rPr>
        <w:t>K4-vanguard-working-2025.md</w:t>
      </w:r>
      <w:r>
        <w:t xml:space="preserve"> and </w:t>
      </w:r>
      <w:r>
        <w:rPr>
          <w:rFonts w:ascii="Courier New" w:hAnsi="Courier New"/>
        </w:rPr>
        <w:t>Tax_Return.xlsx</w:t>
      </w:r>
      <w:r>
        <w:t xml:space="preserve"> "Capital Gains 2025" tab.</w:t>
      </w:r>
    </w:p>
    <w:p>
      <w:pPr>
        <w:pStyle w:val="ListBullet"/>
      </w:pPr>
      <w:r>
        <w:t xml:space="preserve">Sources: 44 kap. 14 § IL; </w:t>
      </w:r>
      <w:r>
        <w:rPr>
          <w:color w:val="0563C1"/>
          <w:u w:val="single"/>
        </w:rPr>
        <w:t>Skatteverket — Utländsk valuta</w:t>
      </w:r>
      <w:r>
        <w:t>.</w:t>
      </w:r>
    </w:p>
    <w:p>
      <w:pPr>
        <w:pStyle w:val="Heading3"/>
      </w:pPr>
      <w:r>
        <w:t>Position #3 — Mortgage product fee NOT in Box 8.1</w:t>
      </w:r>
    </w:p>
    <w:p>
      <w:r>
        <w:rPr>
          <w:b/>
        </w:rPr>
        <w:t>RÅ 1997 ref. 63</w:t>
      </w:r>
      <w:r>
        <w:t xml:space="preserve"> explicitly rejects uppläggningsavgift as interest. RÅ 1987 ref. 78 defines interest as </w:t>
      </w:r>
      <w:r>
        <w:rPr>
          <w:i/>
        </w:rPr>
        <w:t>"förutsebar ersättning för kredit beräknad utifrån kreditbelopp och kredittid"</w:t>
      </w:r>
      <w:r>
        <w:t xml:space="preserve"> — a fixed up-front fee fails this test.</w:t>
      </w:r>
    </w:p>
    <w:p>
      <w:r>
        <w:t>Box 8.1 = mortgage interest only (</w:t>
      </w:r>
      <w:r>
        <w:rPr>
          <w:b/>
        </w:rPr>
        <w:t>£6,955 → SEK 89,876</w:t>
      </w:r>
      <w:r>
        <w:t xml:space="preserve"> for calendar 2025). The </w:t>
      </w:r>
      <w:r>
        <w:rPr>
          <w:b/>
        </w:rPr>
        <w:t>£1,749 product fee</w:t>
      </w:r>
      <w:r>
        <w:t xml:space="preserve"> is excluded.</w:t>
      </w:r>
    </w:p>
    <w:p>
      <w:pPr>
        <w:pStyle w:val="ListBullet"/>
      </w:pPr>
      <w:r>
        <w:t>Cost vs claiming the fee: ~£525 more Swedish tax for 2025.</w:t>
      </w:r>
    </w:p>
    <w:p>
      <w:pPr>
        <w:pStyle w:val="ListBullet"/>
      </w:pPr>
      <w:r>
        <w:t xml:space="preserve">Sources: </w:t>
      </w:r>
      <w:r>
        <w:rPr>
          <w:color w:val="0563C1"/>
          <w:u w:val="single"/>
        </w:rPr>
        <w:t>Avdrag för ränteutgifter</w:t>
      </w:r>
      <w:r>
        <w:t xml:space="preserve">, </w:t>
      </w:r>
      <w:r>
        <w:rPr>
          <w:color w:val="0563C1"/>
          <w:u w:val="single"/>
        </w:rPr>
        <w:t>Rättslig vägledning §2836</w:t>
      </w:r>
      <w:r>
        <w:t>.</w:t>
      </w:r>
    </w:p>
    <w:p>
      <w:pPr>
        <w:pStyle w:val="Heading3"/>
      </w:pPr>
      <w:r>
        <w:t>Position #4 — Foreign tax credit apportionment</w:t>
      </w:r>
    </w:p>
    <w:p>
      <w:r>
        <w:t xml:space="preserve">UK tax year runs 6 Apr – 5 Apr. Swedish tax year is calendar year. FTC claims only </w:t>
      </w:r>
      <w:r>
        <w:rPr>
          <w:b/>
        </w:rPr>
        <w:t>finalised</w:t>
      </w:r>
      <w:r>
        <w:t xml:space="preserve"> UK tax. Apportionment: </w:t>
      </w:r>
      <w:r>
        <w:rPr>
          <w:b/>
        </w:rPr>
        <w:t>9/12 of UK 25/26 + 3/12 of UK 24/25</w:t>
      </w:r>
      <w:r>
        <w:t xml:space="preserve"> for calendar 2025.</w:t>
      </w:r>
    </w:p>
    <w:p>
      <w:pPr>
        <w:pStyle w:val="ListBullet"/>
      </w:pPr>
      <w:r>
        <w:t>UK 25/26 finalised 2026-05-19 07:38 (HMRC 2605755020): net tax £214 → 9/12 × £214 = £161</w:t>
      </w:r>
    </w:p>
    <w:p>
      <w:pPr>
        <w:pStyle w:val="ListBullet"/>
      </w:pPr>
      <w:r>
        <w:t>UK 24/25 finalised previously: net tax £1,092 → 3/12 × £1,092 = £273</w:t>
      </w:r>
    </w:p>
    <w:p>
      <w:pPr>
        <w:pStyle w:val="ListBullet"/>
      </w:pPr>
      <w:r>
        <w:t xml:space="preserve">Total apportioned UK tax: £434 × Riksbanken 2025 årsmedel </w:t>
      </w:r>
      <w:r>
        <w:rPr>
          <w:b/>
        </w:rPr>
        <w:t>12.92163</w:t>
      </w:r>
      <w:r>
        <w:t xml:space="preserve"> = </w:t>
      </w:r>
      <w:r>
        <w:rPr>
          <w:b/>
        </w:rPr>
        <w:t>SEK 5,608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What was submitted</w:t>
      </w:r>
    </w:p>
    <w:p>
      <w:pPr>
        <w:pStyle w:val="Heading3"/>
      </w:pPr>
      <w:r>
        <w:t>Swedish INK1 — Inkomstdeklaration 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Box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SEK</w:t>
            </w:r>
          </w:p>
        </w:tc>
      </w:tr>
      <w:tr>
        <w:tc>
          <w:tcPr>
            <w:tcW w:type="dxa" w:w="2880"/>
          </w:tcPr>
          <w:p>
            <w:r/>
            <w:r>
              <w:t>1.1</w:t>
            </w:r>
          </w:p>
        </w:tc>
        <w:tc>
          <w:tcPr>
            <w:tcW w:type="dxa" w:w="2880"/>
          </w:tcPr>
          <w:p>
            <w:r/>
            <w:r>
              <w:t>Lön, förmåner (förtryckt)</w:t>
            </w:r>
          </w:p>
        </w:tc>
        <w:tc>
          <w:tcPr>
            <w:tcW w:type="dxa" w:w="2880"/>
          </w:tcPr>
          <w:p>
            <w:r/>
            <w:r>
              <w:t>705,810</w:t>
            </w:r>
          </w:p>
        </w:tc>
      </w:tr>
      <w:tr>
        <w:tc>
          <w:tcPr>
            <w:tcW w:type="dxa" w:w="2880"/>
          </w:tcPr>
          <w:p>
            <w:r/>
            <w:r>
              <w:t>5.1</w:t>
            </w:r>
          </w:p>
        </w:tc>
        <w:tc>
          <w:tcPr>
            <w:tcW w:type="dxa" w:w="2880"/>
          </w:tcPr>
          <w:p>
            <w:r/>
            <w:r>
              <w:t>Småhus/ägarlägenhet 0,75 % (Swedish property — owned 1 Jan 2025; sold 2026)</w:t>
            </w:r>
          </w:p>
        </w:tc>
        <w:tc>
          <w:tcPr>
            <w:tcW w:type="dxa" w:w="2880"/>
          </w:tcPr>
          <w:p>
            <w:r/>
            <w:r>
              <w:t>671,600</w:t>
            </w:r>
          </w:p>
        </w:tc>
      </w:tr>
      <w:tr>
        <w:tc>
          <w:tcPr>
            <w:tcW w:type="dxa" w:w="2880"/>
          </w:tcPr>
          <w:p>
            <w:r/>
            <w:r>
              <w:t>7.1</w:t>
            </w:r>
          </w:p>
        </w:tc>
        <w:tc>
          <w:tcPr>
            <w:tcW w:type="dxa" w:w="2880"/>
          </w:tcPr>
          <w:p>
            <w:r/>
            <w:r>
              <w:t>Schablonintäkter (förtryckt)</w:t>
            </w:r>
          </w:p>
        </w:tc>
        <w:tc>
          <w:tcPr>
            <w:tcW w:type="dxa" w:w="2880"/>
          </w:tcPr>
          <w:p>
            <w:r/>
            <w:r>
              <w:t>18,360</w:t>
            </w:r>
          </w:p>
        </w:tc>
      </w:tr>
      <w:tr>
        <w:tc>
          <w:tcPr>
            <w:tcW w:type="dxa" w:w="2880"/>
          </w:tcPr>
          <w:p>
            <w:r/>
            <w:r>
              <w:t>7.2</w:t>
            </w:r>
          </w:p>
        </w:tc>
        <w:tc>
          <w:tcPr>
            <w:tcW w:type="dxa" w:w="2880"/>
          </w:tcPr>
          <w:p>
            <w:r/>
            <w:r>
              <w:t>Ränteinkomster (322 förtryckt + 2,730 HSBC UK)</w:t>
            </w:r>
          </w:p>
        </w:tc>
        <w:tc>
          <w:tcPr>
            <w:tcW w:type="dxa" w:w="2880"/>
          </w:tcPr>
          <w:p>
            <w:r/>
            <w:r>
              <w:t>3,052</w:t>
            </w:r>
          </w:p>
        </w:tc>
      </w:tr>
      <w:tr>
        <w:tc>
          <w:tcPr>
            <w:tcW w:type="dxa" w:w="2880"/>
          </w:tcPr>
          <w:p>
            <w:r/>
            <w:r>
              <w:t>7.3</w:t>
            </w:r>
          </w:p>
        </w:tc>
        <w:tc>
          <w:tcPr>
            <w:tcW w:type="dxa" w:w="2880"/>
          </w:tcPr>
          <w:p>
            <w:r/>
            <w:r>
              <w:t>Överskott vid uthyrning av privatbostad (76a Ingelow)</w:t>
            </w:r>
          </w:p>
        </w:tc>
        <w:tc>
          <w:tcPr>
            <w:tcW w:type="dxa" w:w="2880"/>
          </w:tcPr>
          <w:p>
            <w:r/>
            <w:r>
              <w:t>310,434</w:t>
            </w:r>
          </w:p>
        </w:tc>
      </w:tr>
      <w:tr>
        <w:tc>
          <w:tcPr>
            <w:tcW w:type="dxa" w:w="2880"/>
          </w:tcPr>
          <w:p>
            <w:r/>
            <w:r>
              <w:t>7.4</w:t>
            </w:r>
          </w:p>
        </w:tc>
        <w:tc>
          <w:tcPr>
            <w:tcW w:type="dxa" w:w="2880"/>
          </w:tcPr>
          <w:p>
            <w:r/>
            <w:r>
              <w:t>Vinst fondandelar (Vanguard ISA, K4)</w:t>
            </w:r>
          </w:p>
        </w:tc>
        <w:tc>
          <w:tcPr>
            <w:tcW w:type="dxa" w:w="2880"/>
          </w:tcPr>
          <w:p>
            <w:r/>
            <w:r>
              <w:t>150,141</w:t>
            </w:r>
          </w:p>
        </w:tc>
      </w:tr>
      <w:tr>
        <w:tc>
          <w:tcPr>
            <w:tcW w:type="dxa" w:w="2880"/>
          </w:tcPr>
          <w:p>
            <w:r/>
            <w:r>
              <w:t>8.1</w:t>
            </w:r>
          </w:p>
        </w:tc>
        <w:tc>
          <w:tcPr>
            <w:tcW w:type="dxa" w:w="2880"/>
          </w:tcPr>
          <w:p>
            <w:r/>
            <w:r>
              <w:t>Ränteutgifter (Santander UK mortgage interest only)</w:t>
            </w:r>
          </w:p>
        </w:tc>
        <w:tc>
          <w:tcPr>
            <w:tcW w:type="dxa" w:w="2880"/>
          </w:tcPr>
          <w:p>
            <w:r/>
            <w:r>
              <w:t>89,876</w:t>
            </w:r>
          </w:p>
        </w:tc>
      </w:tr>
    </w:tbl>
    <w:p>
      <w:r>
        <w:rPr>
          <w:b/>
        </w:rPr>
        <w:t>Bilagor:</w:t>
      </w:r>
      <w:r>
        <w:t xml:space="preserve"> K4 avsnitt A (4 rows — see Position #2 above).</w:t>
      </w:r>
    </w:p>
    <w:p>
      <w:r>
        <w:rPr>
          <w:b/>
        </w:rPr>
        <w:t>Övriga upplysningar — utländsk inkomst (structured table):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Typ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Land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SEK</w:t>
            </w:r>
          </w:p>
        </w:tc>
      </w:tr>
      <w:tr>
        <w:tc>
          <w:tcPr>
            <w:tcW w:type="dxa" w:w="2880"/>
          </w:tcPr>
          <w:p>
            <w:r/>
            <w:r>
              <w:t>Kapital</w:t>
            </w:r>
          </w:p>
        </w:tc>
        <w:tc>
          <w:tcPr>
            <w:tcW w:type="dxa" w:w="2880"/>
          </w:tcPr>
          <w:p>
            <w:r/>
            <w:r>
              <w:t>Storbritannien</w:t>
            </w:r>
          </w:p>
        </w:tc>
        <w:tc>
          <w:tcPr>
            <w:tcW w:type="dxa" w:w="2880"/>
          </w:tcPr>
          <w:p>
            <w:r/>
            <w:r>
              <w:t>310,434</w:t>
            </w:r>
          </w:p>
        </w:tc>
      </w:tr>
      <w:tr>
        <w:tc>
          <w:tcPr>
            <w:tcW w:type="dxa" w:w="2880"/>
          </w:tcPr>
          <w:p>
            <w:r/>
            <w:r>
              <w:t>Kapital</w:t>
            </w:r>
          </w:p>
        </w:tc>
        <w:tc>
          <w:tcPr>
            <w:tcW w:type="dxa" w:w="2880"/>
          </w:tcPr>
          <w:p>
            <w:r/>
            <w:r>
              <w:t>Storbritannien</w:t>
            </w:r>
          </w:p>
        </w:tc>
        <w:tc>
          <w:tcPr>
            <w:tcW w:type="dxa" w:w="2880"/>
          </w:tcPr>
          <w:p>
            <w:r/>
            <w:r>
              <w:t>2,730</w:t>
            </w:r>
          </w:p>
        </w:tc>
      </w:tr>
      <w:tr>
        <w:tc>
          <w:tcPr>
            <w:tcW w:type="dxa" w:w="2880"/>
          </w:tcPr>
          <w:p>
            <w:r/>
            <w:r>
              <w:t>Kapital</w:t>
            </w:r>
          </w:p>
        </w:tc>
        <w:tc>
          <w:tcPr>
            <w:tcW w:type="dxa" w:w="2880"/>
          </w:tcPr>
          <w:p>
            <w:r/>
            <w:r>
              <w:t>Storbritannien</w:t>
            </w:r>
          </w:p>
        </w:tc>
        <w:tc>
          <w:tcPr>
            <w:tcW w:type="dxa" w:w="2880"/>
          </w:tcPr>
          <w:p>
            <w:r/>
            <w:r>
              <w:t>150,141</w:t>
            </w:r>
          </w:p>
        </w:tc>
      </w:tr>
    </w:tbl>
    <w:p>
      <w:r>
        <w:rPr>
          <w:b/>
        </w:rPr>
        <w:t>Avräkning utländsk skatt:</w:t>
      </w:r>
      <w:r>
        <w:t xml:space="preserve"> SEK 5,608</w:t>
      </w:r>
    </w:p>
    <w:p>
      <w:r>
        <w:rPr>
          <w:b/>
        </w:rPr>
        <w:t>Övrigt (free-text, 839 chars — full öppen redovisning):</w:t>
      </w:r>
    </w:p>
    <w:p>
      <w:pPr>
        <w:ind w:left="432"/>
      </w:pPr>
      <w:r>
        <w:rPr>
          <w:i/>
          <w:color w:val="555555"/>
        </w:rPr>
        <w:t>Hyresinkomst 76a Ingelow Road, London (privatbostadsfastighet; leasehold + share of freehold, ej privatbostadsföretag enl. 2 kap. 17 § IL) via förmedlare Knight Frank: schablonavdrag 40 000 + 20% × bruttohyra GBP 32 271 enligt strikt tolkning. Förmedlingsavgift GBP 2 859 ej särskilt avdrag (ingår i schablonavdraget). Box 8.1 endast räntor Santander UK GBP 6 955; uppläggningsavgift GBP 1 749 ej avdragen (RÅ 1997 ref. 63). Box 7.4 Vanguard ISA (ISA utan svensk skattefördel): 4 fonder (FTSE100 UT, VUSA, VMID, VERX) på K4 avsnitt A; genomsnittsmetoden per värdepapper (44 kap. 14 § IL); förvärv 2020–2021 omräknade med Riksbankens månadsmedel; försäljning juni 2025 vid 12,9485. Ingen omvärdering vid inflyttning 25 nov 2021. Avräkning SEK 5 608: 9/12 UK 25/26 (GBP 214) + 3/12 UK 24/25 (GBP 1 092); FX Riksbanken årsmedel 2025 12,92163.</w:t>
      </w:r>
    </w:p>
    <w:p>
      <w:r>
        <w:t xml:space="preserve">This open-disclosure paragraph triggers </w:t>
      </w:r>
      <w:r>
        <w:rPr>
          <w:b/>
        </w:rPr>
        <w:t>öppen redovisning</w:t>
      </w:r>
      <w:r>
        <w:t xml:space="preserve"> protection — Skatteverket can reassess on a rättsfråga basis (back tax + interest) but cannot apply skattetillägg (40% penalty).</w:t>
      </w:r>
    </w:p>
    <w:p>
      <w:pPr>
        <w:pStyle w:val="Heading3"/>
      </w:pPr>
      <w:r>
        <w:t>UK SA100 + SA105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Box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SA100 TR3 box 2</w:t>
            </w:r>
          </w:p>
        </w:tc>
        <w:tc>
          <w:tcPr>
            <w:tcW w:type="dxa" w:w="2880"/>
          </w:tcPr>
          <w:p>
            <w:r/>
            <w:r>
              <w:t>Untaxed UK interest (HSBC)</w:t>
            </w:r>
          </w:p>
        </w:tc>
        <w:tc>
          <w:tcPr>
            <w:tcW w:type="dxa" w:w="2880"/>
          </w:tcPr>
          <w:p>
            <w:r/>
            <w:r>
              <w:t>£242</w:t>
            </w:r>
          </w:p>
        </w:tc>
      </w:tr>
      <w:tr>
        <w:tc>
          <w:tcPr>
            <w:tcW w:type="dxa" w:w="2880"/>
          </w:tcPr>
          <w:p>
            <w:r/>
            <w:r>
              <w:t>SA105 box 20</w:t>
            </w:r>
          </w:p>
        </w:tc>
        <w:tc>
          <w:tcPr>
            <w:tcW w:type="dxa" w:w="2880"/>
          </w:tcPr>
          <w:p>
            <w:r/>
            <w:r>
              <w:t>Total rents received (gross)</w:t>
            </w:r>
          </w:p>
        </w:tc>
        <w:tc>
          <w:tcPr>
            <w:tcW w:type="dxa" w:w="2880"/>
          </w:tcPr>
          <w:p>
            <w:r/>
            <w:r>
              <w:t>£32,271</w:t>
            </w:r>
          </w:p>
        </w:tc>
      </w:tr>
      <w:tr>
        <w:tc>
          <w:tcPr>
            <w:tcW w:type="dxa" w:w="2880"/>
          </w:tcPr>
          <w:p>
            <w:r/>
            <w:r>
              <w:t>SA105 box 20.2</w:t>
            </w:r>
          </w:p>
        </w:tc>
        <w:tc>
          <w:tcPr>
            <w:tcW w:type="dxa" w:w="2880"/>
          </w:tcPr>
          <w:p>
            <w:r/>
            <w:r>
              <w:t>Traditional accounting basis</w:t>
            </w:r>
          </w:p>
        </w:tc>
        <w:tc>
          <w:tcPr>
            <w:tcW w:type="dxa" w:w="2880"/>
          </w:tcPr>
          <w:p>
            <w:r/>
            <w: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t>SA105 box 25</w:t>
            </w:r>
          </w:p>
        </w:tc>
        <w:tc>
          <w:tcPr>
            <w:tcW w:type="dxa" w:w="2880"/>
          </w:tcPr>
          <w:p>
            <w:r/>
            <w:r>
              <w:t>Property repairs and maintenance</w:t>
            </w:r>
          </w:p>
        </w:tc>
        <w:tc>
          <w:tcPr>
            <w:tcW w:type="dxa" w:w="2880"/>
          </w:tcPr>
          <w:p>
            <w:r/>
            <w:r>
              <w:t>£7,943</w:t>
            </w:r>
          </w:p>
        </w:tc>
      </w:tr>
      <w:tr>
        <w:tc>
          <w:tcPr>
            <w:tcW w:type="dxa" w:w="2880"/>
          </w:tcPr>
          <w:p>
            <w:r/>
            <w:r>
              <w:t>SA105 box 27</w:t>
            </w:r>
          </w:p>
        </w:tc>
        <w:tc>
          <w:tcPr>
            <w:tcW w:type="dxa" w:w="2880"/>
          </w:tcPr>
          <w:p>
            <w:r/>
            <w:r>
              <w:t>Legal, management and other professional fees</w:t>
            </w:r>
          </w:p>
        </w:tc>
        <w:tc>
          <w:tcPr>
            <w:tcW w:type="dxa" w:w="2880"/>
          </w:tcPr>
          <w:p>
            <w:r/>
            <w:r>
              <w:t>£2,859 (Knight Frank)</w:t>
            </w:r>
          </w:p>
        </w:tc>
      </w:tr>
      <w:tr>
        <w:tc>
          <w:tcPr>
            <w:tcW w:type="dxa" w:w="2880"/>
          </w:tcPr>
          <w:p>
            <w:r/>
            <w:r>
              <w:t>SA105 box 38</w:t>
            </w:r>
          </w:p>
        </w:tc>
        <w:tc>
          <w:tcPr>
            <w:tcW w:type="dxa" w:w="2880"/>
          </w:tcPr>
          <w:p>
            <w:r/>
            <w:r>
              <w:t>Adjusted profit for the year</w:t>
            </w:r>
          </w:p>
        </w:tc>
        <w:tc>
          <w:tcPr>
            <w:tcW w:type="dxa" w:w="2880"/>
          </w:tcPr>
          <w:p>
            <w:r/>
            <w:r>
              <w:t>£21,469</w:t>
            </w:r>
          </w:p>
        </w:tc>
      </w:tr>
      <w:tr>
        <w:tc>
          <w:tcPr>
            <w:tcW w:type="dxa" w:w="2880"/>
          </w:tcPr>
          <w:p>
            <w:r/>
            <w:r>
              <w:t>SA105 box 40</w:t>
            </w:r>
          </w:p>
        </w:tc>
        <w:tc>
          <w:tcPr>
            <w:tcW w:type="dxa" w:w="2880"/>
          </w:tcPr>
          <w:p>
            <w:r/>
            <w:r>
              <w:t>Taxable profit for the year</w:t>
            </w:r>
          </w:p>
        </w:tc>
        <w:tc>
          <w:tcPr>
            <w:tcW w:type="dxa" w:w="2880"/>
          </w:tcPr>
          <w:p>
            <w:r/>
            <w:r>
              <w:t>£21,469</w:t>
            </w:r>
          </w:p>
        </w:tc>
      </w:tr>
      <w:tr>
        <w:tc>
          <w:tcPr>
            <w:tcW w:type="dxa" w:w="2880"/>
          </w:tcPr>
          <w:p>
            <w:r/>
            <w:r>
              <w:t>SA105 box 44</w:t>
            </w:r>
          </w:p>
        </w:tc>
        <w:tc>
          <w:tcPr>
            <w:tcW w:type="dxa" w:w="2880"/>
          </w:tcPr>
          <w:p>
            <w:r/>
            <w:r>
              <w:t>Residential property finance costs</w:t>
            </w:r>
          </w:p>
        </w:tc>
        <w:tc>
          <w:tcPr>
            <w:tcW w:type="dxa" w:w="2880"/>
          </w:tcPr>
          <w:p>
            <w:r/>
            <w:r>
              <w:t>£7,830 (mortgage interest)</w:t>
            </w:r>
          </w:p>
        </w:tc>
      </w:tr>
      <w:tr>
        <w:tc>
          <w:tcPr>
            <w:tcW w:type="dxa" w:w="2880"/>
          </w:tcPr>
          <w:p>
            <w:r/>
            <w:r>
              <w:t>SA110 box 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Total tax due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£213.80</w:t>
            </w:r>
          </w:p>
        </w:tc>
      </w:tr>
    </w:tbl>
    <w:p>
      <w:r>
        <w:t>HSBC interest sits under £1,000 PSA → no additional UK tax. Still reported.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FX rates used (all Riksbanken)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Period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Rate (SEK/GBP)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Verified</w:t>
            </w:r>
          </w:p>
        </w:tc>
      </w:tr>
      <w:tr>
        <w:tc>
          <w:tcPr>
            <w:tcW w:type="dxa" w:w="2160"/>
          </w:tcPr>
          <w:p>
            <w:r/>
            <w:r>
              <w:t>Sep 2020</w:t>
            </w:r>
          </w:p>
        </w:tc>
        <w:tc>
          <w:tcPr>
            <w:tcW w:type="dxa" w:w="2160"/>
          </w:tcPr>
          <w:p>
            <w:r/>
            <w:r>
              <w:t>11.45956</w:t>
            </w:r>
          </w:p>
        </w:tc>
        <w:tc>
          <w:tcPr>
            <w:tcW w:type="dxa" w:w="2160"/>
          </w:tcPr>
          <w:p>
            <w:r/>
            <w:r>
              <w:t>Vanguard buys (Sep 2020)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Oct 2020</w:t>
            </w:r>
          </w:p>
        </w:tc>
        <w:tc>
          <w:tcPr>
            <w:tcW w:type="dxa" w:w="2160"/>
          </w:tcPr>
          <w:p>
            <w:r/>
            <w:r>
              <w:t>11.47127</w:t>
            </w:r>
          </w:p>
        </w:tc>
        <w:tc>
          <w:tcPr>
            <w:tcW w:type="dxa" w:w="2160"/>
          </w:tcPr>
          <w:p>
            <w:r/>
            <w:r>
              <w:t>(none)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Nov 2020</w:t>
            </w:r>
          </w:p>
        </w:tc>
        <w:tc>
          <w:tcPr>
            <w:tcW w:type="dxa" w:w="2160"/>
          </w:tcPr>
          <w:p>
            <w:r/>
            <w:r>
              <w:t>11.41785</w:t>
            </w:r>
          </w:p>
        </w:tc>
        <w:tc>
          <w:tcPr>
            <w:tcW w:type="dxa" w:w="2160"/>
          </w:tcPr>
          <w:p>
            <w:r/>
            <w:r>
              <w:t>Vanguard buys (Nov 2020)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Dec 2020</w:t>
            </w:r>
          </w:p>
        </w:tc>
        <w:tc>
          <w:tcPr>
            <w:tcW w:type="dxa" w:w="2160"/>
          </w:tcPr>
          <w:p>
            <w:r/>
            <w:r>
              <w:t>11.23895</w:t>
            </w:r>
          </w:p>
        </w:tc>
        <w:tc>
          <w:tcPr>
            <w:tcW w:type="dxa" w:w="2160"/>
          </w:tcPr>
          <w:p>
            <w:r/>
            <w:r>
              <w:t>Vanguard buys (Dec 2020)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Jan 2021</w:t>
            </w:r>
          </w:p>
        </w:tc>
        <w:tc>
          <w:tcPr>
            <w:tcW w:type="dxa" w:w="2160"/>
          </w:tcPr>
          <w:p>
            <w:r/>
            <w:r>
              <w:t>11.31239</w:t>
            </w:r>
          </w:p>
        </w:tc>
        <w:tc>
          <w:tcPr>
            <w:tcW w:type="dxa" w:w="2160"/>
          </w:tcPr>
          <w:p>
            <w:r/>
            <w:r>
              <w:t>Vanguard buys (Jan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Feb 2021</w:t>
            </w:r>
          </w:p>
        </w:tc>
        <w:tc>
          <w:tcPr>
            <w:tcW w:type="dxa" w:w="2160"/>
          </w:tcPr>
          <w:p>
            <w:r/>
            <w:r>
              <w:t>11.55250</w:t>
            </w:r>
          </w:p>
        </w:tc>
        <w:tc>
          <w:tcPr>
            <w:tcW w:type="dxa" w:w="2160"/>
          </w:tcPr>
          <w:p>
            <w:r/>
            <w:r>
              <w:t>Vanguard buys (Feb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Mar 2021</w:t>
            </w:r>
          </w:p>
        </w:tc>
        <w:tc>
          <w:tcPr>
            <w:tcW w:type="dxa" w:w="2160"/>
          </w:tcPr>
          <w:p>
            <w:r/>
            <w:r>
              <w:t>11.83967</w:t>
            </w:r>
          </w:p>
        </w:tc>
        <w:tc>
          <w:tcPr>
            <w:tcW w:type="dxa" w:w="2160"/>
          </w:tcPr>
          <w:p>
            <w:r/>
            <w:r>
              <w:t>Vanguard buys (Mar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Apr 2021</w:t>
            </w:r>
          </w:p>
        </w:tc>
        <w:tc>
          <w:tcPr>
            <w:tcW w:type="dxa" w:w="2160"/>
          </w:tcPr>
          <w:p>
            <w:r/>
            <w:r>
              <w:t>11.74595</w:t>
            </w:r>
          </w:p>
        </w:tc>
        <w:tc>
          <w:tcPr>
            <w:tcW w:type="dxa" w:w="2160"/>
          </w:tcPr>
          <w:p>
            <w:r/>
            <w:r>
              <w:t>Vanguard buys (Apr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May 2021</w:t>
            </w:r>
          </w:p>
        </w:tc>
        <w:tc>
          <w:tcPr>
            <w:tcW w:type="dxa" w:w="2160"/>
          </w:tcPr>
          <w:p>
            <w:r/>
            <w:r>
              <w:t>11.75710</w:t>
            </w:r>
          </w:p>
        </w:tc>
        <w:tc>
          <w:tcPr>
            <w:tcW w:type="dxa" w:w="2160"/>
          </w:tcPr>
          <w:p>
            <w:r/>
            <w:r>
              <w:t>Vanguard buys (May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Jun 2021</w:t>
            </w:r>
          </w:p>
        </w:tc>
        <w:tc>
          <w:tcPr>
            <w:tcW w:type="dxa" w:w="2160"/>
          </w:tcPr>
          <w:p>
            <w:r/>
            <w:r>
              <w:t>11.77512</w:t>
            </w:r>
          </w:p>
        </w:tc>
        <w:tc>
          <w:tcPr>
            <w:tcW w:type="dxa" w:w="2160"/>
          </w:tcPr>
          <w:p>
            <w:r/>
            <w:r>
              <w:t>Vanguard buys (Jun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Jul 2021</w:t>
            </w:r>
          </w:p>
        </w:tc>
        <w:tc>
          <w:tcPr>
            <w:tcW w:type="dxa" w:w="2160"/>
          </w:tcPr>
          <w:p>
            <w:r/>
            <w:r>
              <w:t>11.90743</w:t>
            </w:r>
          </w:p>
        </w:tc>
        <w:tc>
          <w:tcPr>
            <w:tcW w:type="dxa" w:w="2160"/>
          </w:tcPr>
          <w:p>
            <w:r/>
            <w:r>
              <w:t>Vanguard buys (Jul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Aug 2021</w:t>
            </w:r>
          </w:p>
        </w:tc>
        <w:tc>
          <w:tcPr>
            <w:tcW w:type="dxa" w:w="2160"/>
          </w:tcPr>
          <w:p>
            <w:r/>
            <w:r>
              <w:t>11.97744</w:t>
            </w:r>
          </w:p>
        </w:tc>
        <w:tc>
          <w:tcPr>
            <w:tcW w:type="dxa" w:w="2160"/>
          </w:tcPr>
          <w:p>
            <w:r/>
            <w:r>
              <w:t>Vanguard buys (Aug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Sep 2021</w:t>
            </w:r>
          </w:p>
        </w:tc>
        <w:tc>
          <w:tcPr>
            <w:tcW w:type="dxa" w:w="2160"/>
          </w:tcPr>
          <w:p>
            <w:r/>
            <w:r>
              <w:t>11.87028</w:t>
            </w:r>
          </w:p>
        </w:tc>
        <w:tc>
          <w:tcPr>
            <w:tcW w:type="dxa" w:w="2160"/>
          </w:tcPr>
          <w:p>
            <w:r/>
            <w:r>
              <w:t>Vanguard buys (Sep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Oct 2021</w:t>
            </w:r>
          </w:p>
        </w:tc>
        <w:tc>
          <w:tcPr>
            <w:tcW w:type="dxa" w:w="2160"/>
          </w:tcPr>
          <w:p>
            <w:r/>
            <w:r>
              <w:t>11.86876</w:t>
            </w:r>
          </w:p>
        </w:tc>
        <w:tc>
          <w:tcPr>
            <w:tcW w:type="dxa" w:w="2160"/>
          </w:tcPr>
          <w:p>
            <w:r/>
            <w:r>
              <w:t>Vanguard buys (Oct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Nov 2021</w:t>
            </w:r>
          </w:p>
        </w:tc>
        <w:tc>
          <w:tcPr>
            <w:tcW w:type="dxa" w:w="2160"/>
          </w:tcPr>
          <w:p>
            <w:r/>
            <w:r>
              <w:t>11.84728</w:t>
            </w:r>
          </w:p>
        </w:tc>
        <w:tc>
          <w:tcPr>
            <w:tcW w:type="dxa" w:w="2160"/>
          </w:tcPr>
          <w:p>
            <w:r/>
            <w:r>
              <w:t>Vanguard buy (1 Nov 2021)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Jun 2025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12.94850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Vanguard sale (all 4 funds, Jun 2025)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2025 annual avg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12.92163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Recurring items (rental, interest, FTC)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  <w:tr>
        <w:tc>
          <w:tcPr>
            <w:tcW w:type="dxa" w:w="2160"/>
          </w:tcPr>
          <w:p>
            <w:r/>
            <w:r>
              <w:t>2024 annual avg</w:t>
            </w:r>
          </w:p>
        </w:tc>
        <w:tc>
          <w:tcPr>
            <w:tcW w:type="dxa" w:w="2160"/>
          </w:tcPr>
          <w:p>
            <w:r/>
            <w:r>
              <w:t>13.50453</w:t>
            </w:r>
          </w:p>
        </w:tc>
        <w:tc>
          <w:tcPr>
            <w:tcW w:type="dxa" w:w="2160"/>
          </w:tcPr>
          <w:p>
            <w:r/>
            <w:r>
              <w:t>(2024 return — context)</w:t>
            </w:r>
          </w:p>
        </w:tc>
        <w:tc>
          <w:tcPr>
            <w:tcW w:type="dxa" w:w="2160"/>
          </w:tcPr>
          <w:p>
            <w:r/>
            <w:r>
              <w:t>✓</w:t>
            </w:r>
          </w:p>
        </w:tc>
      </w:tr>
    </w:tbl>
    <w:p>
      <w:r>
        <w:t xml:space="preserve">Source: </w:t>
      </w:r>
      <w:r>
        <w:rPr>
          <w:color w:val="0563C1"/>
          <w:u w:val="single"/>
        </w:rPr>
        <w:t>Riksbanken — Search annual and monthly average exchange rates</w:t>
      </w:r>
      <w:r>
        <w:t>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Skatteuträkning (preliminär, pre-FTC)</w:t>
      </w:r>
    </w:p>
    <w:p>
      <w:r>
        <w:t>From Skatteverket's preview at submission: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SEK</w:t>
            </w:r>
          </w:p>
        </w:tc>
      </w:tr>
      <w:tr>
        <w:tc>
          <w:tcPr>
            <w:tcW w:type="dxa" w:w="4320"/>
          </w:tcPr>
          <w:p>
            <w:r/>
            <w:r>
              <w:t>Fastställd förvärvsinkomst</w:t>
            </w:r>
          </w:p>
        </w:tc>
        <w:tc>
          <w:tcPr>
            <w:tcW w:type="dxa" w:w="4320"/>
          </w:tcPr>
          <w:p>
            <w:r/>
            <w:r>
              <w:t>705,800</w:t>
            </w:r>
          </w:p>
        </w:tc>
      </w:tr>
      <w:tr>
        <w:tc>
          <w:tcPr>
            <w:tcW w:type="dxa" w:w="4320"/>
          </w:tcPr>
          <w:p>
            <w:r/>
            <w:r>
              <w:t>Less grundavdrag</w:t>
            </w:r>
          </w:p>
        </w:tc>
        <w:tc>
          <w:tcPr>
            <w:tcW w:type="dxa" w:w="4320"/>
          </w:tcPr>
          <w:p>
            <w:r/>
            <w:r>
              <w:t>-17,300</w:t>
            </w:r>
          </w:p>
        </w:tc>
      </w:tr>
      <w:tr>
        <w:tc>
          <w:tcPr>
            <w:tcW w:type="dxa" w:w="4320"/>
          </w:tcPr>
          <w:p>
            <w:r/>
            <w:r>
              <w:t>Beskattningsbar förvärvsinkomst</w:t>
            </w:r>
          </w:p>
        </w:tc>
        <w:tc>
          <w:tcPr>
            <w:tcW w:type="dxa" w:w="4320"/>
          </w:tcPr>
          <w:p>
            <w:r/>
            <w:r>
              <w:t>688,500</w:t>
            </w:r>
          </w:p>
        </w:tc>
      </w:tr>
      <w:tr>
        <w:tc>
          <w:tcPr>
            <w:tcW w:type="dxa" w:w="4320"/>
          </w:tcPr>
          <w:p>
            <w:r/>
            <w:r>
              <w:t>Ränteinkomster m.m. (7.1+7.2+7.3)</w:t>
            </w:r>
          </w:p>
        </w:tc>
        <w:tc>
          <w:tcPr>
            <w:tcW w:type="dxa" w:w="4320"/>
          </w:tcPr>
          <w:p>
            <w:r/>
            <w:r>
              <w:t>331,846</w:t>
            </w:r>
          </w:p>
        </w:tc>
      </w:tr>
      <w:tr>
        <w:tc>
          <w:tcPr>
            <w:tcW w:type="dxa" w:w="4320"/>
          </w:tcPr>
          <w:p>
            <w:r/>
            <w:r>
              <w:t>Less ränteutgifter (8.1)</w:t>
            </w:r>
          </w:p>
        </w:tc>
        <w:tc>
          <w:tcPr>
            <w:tcW w:type="dxa" w:w="4320"/>
          </w:tcPr>
          <w:p>
            <w:r/>
            <w:r>
              <w:t>-89,876</w:t>
            </w:r>
          </w:p>
        </w:tc>
      </w:tr>
      <w:tr>
        <w:tc>
          <w:tcPr>
            <w:tcW w:type="dxa" w:w="4320"/>
          </w:tcPr>
          <w:p>
            <w:r/>
            <w:r>
              <w:t>Less avdrag för skattefritt sparande (ISK)</w:t>
            </w:r>
          </w:p>
        </w:tc>
        <w:tc>
          <w:tcPr>
            <w:tcW w:type="dxa" w:w="4320"/>
          </w:tcPr>
          <w:p>
            <w:r/>
            <w:r>
              <w:t>-4,440</w:t>
            </w:r>
          </w:p>
        </w:tc>
      </w:tr>
      <w:tr>
        <w:tc>
          <w:tcPr>
            <w:tcW w:type="dxa" w:w="4320"/>
          </w:tcPr>
          <w:p>
            <w:r/>
            <w:r>
              <w:t>Kapitalvinst (7.4)</w:t>
            </w:r>
          </w:p>
        </w:tc>
        <w:tc>
          <w:tcPr>
            <w:tcW w:type="dxa" w:w="4320"/>
          </w:tcPr>
          <w:p>
            <w:r/>
            <w:r>
              <w:t>150,141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Överskott av kapital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387,671</w:t>
            </w:r>
          </w:p>
        </w:tc>
      </w:tr>
      <w:tr>
        <w:tc>
          <w:tcPr>
            <w:tcW w:type="dxa" w:w="4320"/>
          </w:tcPr>
          <w:p>
            <w:r/>
            <w:r>
              <w:t>Kommunal inkomstskatt @ 31.99%</w:t>
            </w:r>
          </w:p>
        </w:tc>
        <w:tc>
          <w:tcPr>
            <w:tcW w:type="dxa" w:w="4320"/>
          </w:tcPr>
          <w:p>
            <w:r/>
            <w:r>
              <w:t>220,251</w:t>
            </w:r>
          </w:p>
        </w:tc>
      </w:tr>
      <w:tr>
        <w:tc>
          <w:tcPr>
            <w:tcW w:type="dxa" w:w="4320"/>
          </w:tcPr>
          <w:p>
            <w:r/>
            <w:r>
              <w:t>Statlig skatt förvärvsinkomst @ 20% over skiktgräns 625,800</w:t>
            </w:r>
          </w:p>
        </w:tc>
        <w:tc>
          <w:tcPr>
            <w:tcW w:type="dxa" w:w="4320"/>
          </w:tcPr>
          <w:p>
            <w:r/>
            <w:r>
              <w:t>12,540</w:t>
            </w:r>
          </w:p>
        </w:tc>
      </w:tr>
      <w:tr>
        <w:tc>
          <w:tcPr>
            <w:tcW w:type="dxa" w:w="4320"/>
          </w:tcPr>
          <w:p>
            <w:r/>
            <w:r>
              <w:t>Statlig skatt kapital @ 30%</w:t>
            </w:r>
          </w:p>
        </w:tc>
        <w:tc>
          <w:tcPr>
            <w:tcW w:type="dxa" w:w="4320"/>
          </w:tcPr>
          <w:p>
            <w:r/>
            <w:r>
              <w:t>116,301</w:t>
            </w:r>
          </w:p>
        </w:tc>
      </w:tr>
      <w:tr>
        <w:tc>
          <w:tcPr>
            <w:tcW w:type="dxa" w:w="4320"/>
          </w:tcPr>
          <w:p>
            <w:r/>
            <w:r>
              <w:t>Fastighetsavgift (Swedish property 671,600 × 0.75%)</w:t>
            </w:r>
          </w:p>
        </w:tc>
        <w:tc>
          <w:tcPr>
            <w:tcW w:type="dxa" w:w="4320"/>
          </w:tcPr>
          <w:p>
            <w:r/>
            <w:r>
              <w:t>5,037</w:t>
            </w:r>
          </w:p>
        </w:tc>
      </w:tr>
      <w:tr>
        <w:tc>
          <w:tcPr>
            <w:tcW w:type="dxa" w:w="4320"/>
          </w:tcPr>
          <w:p>
            <w:r/>
            <w:r>
              <w:t>Begravningsavgift @ 0.293%</w:t>
            </w:r>
          </w:p>
        </w:tc>
        <w:tc>
          <w:tcPr>
            <w:tcW w:type="dxa" w:w="4320"/>
          </w:tcPr>
          <w:p>
            <w:r/>
            <w:r>
              <w:t>2,017</w:t>
            </w:r>
          </w:p>
        </w:tc>
      </w:tr>
      <w:tr>
        <w:tc>
          <w:tcPr>
            <w:tcW w:type="dxa" w:w="4320"/>
          </w:tcPr>
          <w:p>
            <w:r/>
            <w:r>
              <w:t>Public service-avgift</w:t>
            </w:r>
          </w:p>
        </w:tc>
        <w:tc>
          <w:tcPr>
            <w:tcW w:type="dxa" w:w="4320"/>
          </w:tcPr>
          <w:p>
            <w:r/>
            <w:r>
              <w:t>1,249</w:t>
            </w:r>
          </w:p>
        </w:tc>
      </w:tr>
      <w:tr>
        <w:tc>
          <w:tcPr>
            <w:tcW w:type="dxa" w:w="4320"/>
          </w:tcPr>
          <w:p>
            <w:r/>
            <w:r>
              <w:t>Jobbskatteavdrag</w:t>
            </w:r>
          </w:p>
        </w:tc>
        <w:tc>
          <w:tcPr>
            <w:tcW w:type="dxa" w:w="4320"/>
          </w:tcPr>
          <w:p>
            <w:r/>
            <w:r>
              <w:t>-46,682</w:t>
            </w:r>
          </w:p>
        </w:tc>
      </w:tr>
      <w:tr>
        <w:tc>
          <w:tcPr>
            <w:tcW w:type="dxa" w:w="4320"/>
          </w:tcPr>
          <w:p>
            <w:r/>
            <w:r>
              <w:t>Skattereduktion förvärvsinkomst</w:t>
            </w:r>
          </w:p>
        </w:tc>
        <w:tc>
          <w:tcPr>
            <w:tcW w:type="dxa" w:w="4320"/>
          </w:tcPr>
          <w:p>
            <w:r/>
            <w:r>
              <w:t>-1,500</w:t>
            </w:r>
          </w:p>
        </w:tc>
      </w:tr>
      <w:tr>
        <w:tc>
          <w:tcPr>
            <w:tcW w:type="dxa" w:w="4320"/>
          </w:tcPr>
          <w:p>
            <w:r/>
            <w:r>
              <w:t>Skattereduktion a-kassa @ 25%</w:t>
            </w:r>
          </w:p>
        </w:tc>
        <w:tc>
          <w:tcPr>
            <w:tcW w:type="dxa" w:w="4320"/>
          </w:tcPr>
          <w:p>
            <w:r/>
            <w:r>
              <w:t>-470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Summa skatt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308,743</w:t>
            </w:r>
          </w:p>
        </w:tc>
      </w:tr>
      <w:tr>
        <w:tc>
          <w:tcPr>
            <w:tcW w:type="dxa" w:w="4320"/>
          </w:tcPr>
          <w:p>
            <w:r/>
            <w:r>
              <w:t>Less preliminärskatt (avdragen)</w:t>
            </w:r>
          </w:p>
        </w:tc>
        <w:tc>
          <w:tcPr>
            <w:tcW w:type="dxa" w:w="4320"/>
          </w:tcPr>
          <w:p>
            <w:r/>
            <w:r>
              <w:t>-233,025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Belopp att betala (preliminär, exkl FTC)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75,718</w:t>
            </w:r>
          </w:p>
        </w:tc>
      </w:tr>
      <w:tr>
        <w:tc>
          <w:tcPr>
            <w:tcW w:type="dxa" w:w="4320"/>
          </w:tcPr>
          <w:p>
            <w:r/>
            <w:r>
              <w:t>Less FTC (applied after submission)</w:t>
            </w:r>
          </w:p>
        </w:tc>
        <w:tc>
          <w:tcPr>
            <w:tcW w:type="dxa" w:w="4320"/>
          </w:tcPr>
          <w:p>
            <w:r/>
            <w:r>
              <w:t>-5,608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Expected actual kvarskatt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~70,110</w:t>
            </w:r>
          </w:p>
        </w:tc>
      </w:tr>
    </w:tbl>
    <w:p>
      <w:r>
        <w:t xml:space="preserve">Inbetalning till </w:t>
      </w:r>
      <w:r>
        <w:rPr>
          <w:b/>
        </w:rPr>
        <w:t>Skatteverket bg 5050-1055</w:t>
      </w:r>
      <w:r>
        <w:t xml:space="preserve">, OCR </w:t>
      </w:r>
      <w:r>
        <w:rPr>
          <w:b/>
        </w:rPr>
        <w:t>1992092250114</w:t>
      </w:r>
      <w:r>
        <w:t>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Differential vs less conservative positions</w:t>
      </w:r>
    </w:p>
    <w:p>
      <w:r>
        <w:t>If different positions had been taken, Swedish tax would have been lower: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Position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Conservative (used)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Less conservative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Tax saved</w:t>
            </w:r>
          </w:p>
        </w:tc>
      </w:tr>
      <w:tr>
        <w:tc>
          <w:tcPr>
            <w:tcW w:type="dxa" w:w="2160"/>
          </w:tcPr>
          <w:p>
            <w:r/>
            <w:r>
              <w:t>Schablonavdrag base</w:t>
            </w:r>
          </w:p>
        </w:tc>
        <w:tc>
          <w:tcPr>
            <w:tcW w:type="dxa" w:w="2160"/>
          </w:tcPr>
          <w:p>
            <w:r/>
            <w:r>
              <w:t>Gross rent</w:t>
            </w:r>
          </w:p>
        </w:tc>
        <w:tc>
          <w:tcPr>
            <w:tcW w:type="dxa" w:w="2160"/>
          </w:tcPr>
          <w:p>
            <w:r/>
            <w:r>
              <w:t>Net-of-commission</w:t>
            </w:r>
          </w:p>
        </w:tc>
        <w:tc>
          <w:tcPr>
            <w:tcW w:type="dxa" w:w="2160"/>
          </w:tcPr>
          <w:p>
            <w:r/>
            <w:r>
              <w:t>~£1,215</w:t>
            </w:r>
          </w:p>
        </w:tc>
      </w:tr>
      <w:tr>
        <w:tc>
          <w:tcPr>
            <w:tcW w:type="dxa" w:w="2160"/>
          </w:tcPr>
          <w:p>
            <w:r/>
            <w:r>
              <w:t>Vanguard cost basis</w:t>
            </w:r>
          </w:p>
        </w:tc>
        <w:tc>
          <w:tcPr>
            <w:tcW w:type="dxa" w:w="2160"/>
          </w:tcPr>
          <w:p>
            <w:r/>
            <w:r>
              <w:t>Original-date FX</w:t>
            </w:r>
          </w:p>
        </w:tc>
        <w:tc>
          <w:tcPr>
            <w:tcW w:type="dxa" w:w="2160"/>
          </w:tcPr>
          <w:p>
            <w:r/>
            <w:r>
              <w:t>Nov 2021 market value</w:t>
            </w:r>
          </w:p>
        </w:tc>
        <w:tc>
          <w:tcPr>
            <w:tcW w:type="dxa" w:w="2160"/>
          </w:tcPr>
          <w:p>
            <w:r/>
            <w:r>
              <w:t>~£1,030</w:t>
            </w:r>
          </w:p>
        </w:tc>
      </w:tr>
      <w:tr>
        <w:tc>
          <w:tcPr>
            <w:tcW w:type="dxa" w:w="2160"/>
          </w:tcPr>
          <w:p>
            <w:r/>
            <w:r>
              <w:t>Box 8.1 product fee</w:t>
            </w:r>
          </w:p>
        </w:tc>
        <w:tc>
          <w:tcPr>
            <w:tcW w:type="dxa" w:w="2160"/>
          </w:tcPr>
          <w:p>
            <w:r/>
            <w:r>
              <w:t>Excluded</w:t>
            </w:r>
          </w:p>
        </w:tc>
        <w:tc>
          <w:tcPr>
            <w:tcW w:type="dxa" w:w="2160"/>
          </w:tcPr>
          <w:p>
            <w:r/>
            <w:r>
              <w:t>Included as interest</w:t>
            </w:r>
          </w:p>
        </w:tc>
        <w:tc>
          <w:tcPr>
            <w:tcW w:type="dxa" w:w="2160"/>
          </w:tcPr>
          <w:p>
            <w:r/>
            <w:r>
              <w:t>~£525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 potential saving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~£2,770</w:t>
            </w:r>
          </w:p>
        </w:tc>
      </w:tr>
    </w:tbl>
    <w:p>
      <w:r>
        <w:t>These positions were taken with statutory anchors and disclosed in Övriga upplysningar — protected from skattetillägg.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What is NOT available (confirmed, do not retry next year)</w:t>
      </w:r>
    </w:p>
    <w:p>
      <w:pPr>
        <w:pStyle w:val="ListBullet"/>
      </w:pPr>
      <w:r>
        <w:t>ROT/RUT (UK property — not in EES)</w:t>
      </w:r>
    </w:p>
    <w:p>
      <w:pPr>
        <w:pStyle w:val="ListBullet"/>
      </w:pPr>
      <w:r>
        <w:t>Travel to UK to manage property (covered by schablonavdrag)</w:t>
      </w:r>
    </w:p>
    <w:p>
      <w:pPr>
        <w:pStyle w:val="ListBullet"/>
      </w:pPr>
      <w:r>
        <w:t>Maintenance / repairs as separate deduction (covered by schablonavdrag)</w:t>
      </w:r>
    </w:p>
    <w:p>
      <w:pPr>
        <w:pStyle w:val="ListBullet"/>
      </w:pPr>
      <w:r>
        <w:t>Agent commission as separate deduction (covered by schablonavdrag)</w:t>
      </w:r>
    </w:p>
    <w:p>
      <w:pPr>
        <w:pStyle w:val="ListBullet"/>
      </w:pPr>
      <w:r>
        <w:t>Service charges to UK freehold management co (covered by schablonavdrag)</w:t>
      </w:r>
    </w:p>
    <w:p>
      <w:pPr>
        <w:pStyle w:val="ListBullet"/>
      </w:pPr>
      <w:r>
        <w:t>Mortgage product/arrangement fees as ränteutgift (RÅ 1997 ref. 63)</w:t>
      </w:r>
    </w:p>
    <w:p>
      <w:pPr>
        <w:pStyle w:val="ListBullet"/>
      </w:pPr>
      <w:r>
        <w:t>Rebasing cost basis on becoming Swedish resident (no Swedish provision)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Companion files (this folder)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Tax_Filing_Guide_2025.md</w:t>
            </w:r>
          </w:p>
        </w:tc>
        <w:tc>
          <w:tcPr>
            <w:tcW w:type="dxa" w:w="4320"/>
          </w:tcPr>
          <w:p>
            <w:r/>
            <w:r>
              <w:t>This file — canonical post-filing reference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Tax_Filing_Guide_2025.docx</w:t>
            </w:r>
          </w:p>
        </w:tc>
        <w:tc>
          <w:tcPr>
            <w:tcW w:type="dxa" w:w="4320"/>
          </w:tcPr>
          <w:p>
            <w:r/>
            <w:r>
              <w:t>Word version (regenerated from .md)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Tax_Return.xlsx</w:t>
            </w:r>
          </w:p>
        </w:tc>
        <w:tc>
          <w:tcPr>
            <w:tcW w:type="dxa" w:w="4320"/>
          </w:tcPr>
          <w:p>
            <w:r/>
            <w:r>
              <w:t>Working spreadsheet (all calc tabs)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K4-vanguard-working-2025.md</w:t>
            </w:r>
          </w:p>
        </w:tc>
        <w:tc>
          <w:tcPr>
            <w:tcW w:type="dxa" w:w="4320"/>
          </w:tcPr>
          <w:p>
            <w:r/>
            <w:r>
              <w:t>Per-fund Vanguard genomsnittsmetoden 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Ovriga_upplysningar_2025.md</w:t>
            </w:r>
          </w:p>
        </w:tc>
        <w:tc>
          <w:tcPr>
            <w:tcW w:type="dxa" w:w="4320"/>
          </w:tcPr>
          <w:p>
            <w:r/>
            <w:r>
              <w:t>Three blocks for Skatteverket free-text page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Swedish_Tax_Return_2025_filed.md</w:t>
            </w:r>
          </w:p>
        </w:tc>
        <w:tc>
          <w:tcPr>
            <w:tcW w:type="dxa" w:w="4320"/>
          </w:tcPr>
          <w:p>
            <w:r/>
            <w:r>
              <w:t>Submission record (kvittens + values)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Swedish_Tax_Return_2025_kvittens.pdf</w:t>
            </w:r>
          </w:p>
        </w:tc>
        <w:tc>
          <w:tcPr>
            <w:tcW w:type="dxa" w:w="4320"/>
          </w:tcPr>
          <w:p>
            <w:r/>
            <w:r>
              <w:t>Skatteverket receipt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UK_Tax_Return_2025-26_filed.pdf</w:t>
            </w:r>
          </w:p>
        </w:tc>
        <w:tc>
          <w:tcPr>
            <w:tcW w:type="dxa" w:w="4320"/>
          </w:tcPr>
          <w:p>
            <w:r/>
            <w:r>
              <w:t>HMRC submission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UK_Tax_Return_2025-26_submission_receipt.pdf</w:t>
            </w:r>
          </w:p>
        </w:tc>
        <w:tc>
          <w:tcPr>
            <w:tcW w:type="dxa" w:w="4320"/>
          </w:tcPr>
          <w:p>
            <w:r/>
            <w:r>
              <w:t>HMRC receipt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Next_Year_Checklist.md</w:t>
            </w:r>
          </w:p>
        </w:tc>
        <w:tc>
          <w:tcPr>
            <w:tcW w:type="dxa" w:w="4320"/>
          </w:tcPr>
          <w:p>
            <w:r/>
            <w:r>
              <w:t>What to do for the 2026 returns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</w:rPr>
              <w:t>notes.md</w:t>
            </w:r>
          </w:p>
        </w:tc>
        <w:tc>
          <w:tcPr>
            <w:tcW w:type="dxa" w:w="4320"/>
          </w:tcPr>
          <w:p>
            <w:r/>
            <w:r>
              <w:t>Mortgage history + tax-year totals (rental property)</w:t>
            </w:r>
          </w:p>
        </w:tc>
      </w:tr>
    </w:tbl>
    <w:p>
      <w:pPr>
        <w:jc w:val="center"/>
      </w:pPr>
      <w:r>
        <w:t>__________________________________________________</w:t>
      </w:r>
    </w:p>
    <w:p>
      <w:pPr>
        <w:pStyle w:val="Heading2"/>
      </w:pPr>
      <w:r>
        <w:t>Source citations (statutory + Skatteverket)</w:t>
      </w:r>
    </w:p>
    <w:p>
      <w:pPr>
        <w:pStyle w:val="ListBullet"/>
      </w:pPr>
      <w:r>
        <w:t>2 kap. 2 § och 17 § IL (privatbostadsföretag definition)</w:t>
      </w:r>
    </w:p>
    <w:p>
      <w:pPr>
        <w:pStyle w:val="ListBullet"/>
      </w:pPr>
      <w:r>
        <w:t>42 kap. 30 § IL (schablonavdrag privatbostad)</w:t>
      </w:r>
    </w:p>
    <w:p>
      <w:pPr>
        <w:pStyle w:val="ListBullet"/>
      </w:pPr>
      <w:r>
        <w:t>44 kap. 14 § IL (omkostnadsbelopp, genomsnittsmetoden)</w:t>
      </w:r>
    </w:p>
    <w:p>
      <w:pPr>
        <w:pStyle w:val="ListBullet"/>
      </w:pPr>
      <w:r>
        <w:t>RÅ 1987 ref. 78; RÅ 1997 ref. 44, 63; RÅ 2001 ref. 21 I (definition of interest)</w:t>
      </w:r>
    </w:p>
    <w:p>
      <w:pPr>
        <w:pStyle w:val="ListBullet"/>
      </w:pPr>
      <w:r>
        <w:rPr>
          <w:color w:val="0563C1"/>
          <w:u w:val="single"/>
        </w:rPr>
        <w:t>2015 UK-Sweden Double Taxation Convention</w:t>
      </w:r>
      <w:r>
        <w:t xml:space="preserve"> (Art. 6 immovable property; Art. 13 capital gains; Art. 22 elimination of double taxation)</w:t>
      </w:r>
    </w:p>
    <w:p>
      <w:pPr>
        <w:pStyle w:val="ListBullet"/>
      </w:pPr>
      <w:r>
        <w:rPr>
          <w:color w:val="0563C1"/>
          <w:u w:val="single"/>
        </w:rPr>
        <w:t>Skatteverket — Bostad utomlands</w:t>
      </w:r>
    </w:p>
    <w:p>
      <w:pPr>
        <w:pStyle w:val="ListBullet"/>
      </w:pPr>
      <w:r>
        <w:rPr>
          <w:color w:val="0563C1"/>
          <w:u w:val="single"/>
        </w:rPr>
        <w:t>SKV 398 — Deklarera bostad i utlandet</w:t>
      </w:r>
    </w:p>
    <w:p>
      <w:pPr>
        <w:pStyle w:val="ListBullet"/>
      </w:pPr>
      <w:r>
        <w:rPr>
          <w:color w:val="0563C1"/>
          <w:u w:val="single"/>
        </w:rPr>
        <w:t>Rättslig vägledning — Hyresinkomster och annan avkastning</w:t>
      </w:r>
    </w:p>
    <w:p>
      <w:pPr>
        <w:pStyle w:val="ListBullet"/>
      </w:pPr>
      <w:r>
        <w:rPr>
          <w:color w:val="0563C1"/>
          <w:u w:val="single"/>
        </w:rPr>
        <w:t>Rättslig vägledning — Förmedlingsföretag</w:t>
      </w:r>
    </w:p>
    <w:p>
      <w:pPr>
        <w:pStyle w:val="ListBullet"/>
      </w:pPr>
      <w:r>
        <w:rPr>
          <w:color w:val="0563C1"/>
          <w:u w:val="single"/>
        </w:rPr>
        <w:t>Skatteverket — Utländsk valuta</w:t>
      </w:r>
    </w:p>
    <w:p>
      <w:pPr>
        <w:pStyle w:val="ListBullet"/>
      </w:pPr>
      <w:r>
        <w:rPr>
          <w:color w:val="0563C1"/>
          <w:u w:val="single"/>
        </w:rPr>
        <w:t>Skatteverket — Avdrag för ränteutgifter</w:t>
      </w:r>
    </w:p>
    <w:p>
      <w:pPr>
        <w:pStyle w:val="ListBullet"/>
      </w:pPr>
      <w:r>
        <w:rPr>
          <w:color w:val="0563C1"/>
          <w:u w:val="single"/>
        </w:rPr>
        <w:t>Rättslig vägledning §2836 — Ränteutgifter</w:t>
      </w:r>
    </w:p>
    <w:p>
      <w:pPr>
        <w:pStyle w:val="ListBullet"/>
      </w:pPr>
      <w:r>
        <w:rPr>
          <w:color w:val="0563C1"/>
          <w:u w:val="single"/>
        </w:rPr>
        <w:t>Riksbanken — Search annual and monthly average exchange rates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