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ce6f87dcc2f7601b0fe6df6136660131ea72a2e"/>
    <w:p>
      <w:pPr>
        <w:pStyle w:val="Heading1"/>
      </w:pPr>
      <w:r>
        <w:t xml:space="preserve">UK &amp; Swedish Tax Returns 2025 — Guide &amp; Working</w:t>
      </w:r>
    </w:p>
    <w:p>
      <w:pPr>
        <w:pStyle w:val="FirstParagraph"/>
      </w:pPr>
      <w:r>
        <w:rPr>
          <w:bCs/>
          <w:b/>
        </w:rPr>
        <w:t xml:space="preserve">Property:</w:t>
      </w:r>
      <w:r>
        <w:t xml:space="preserve"> </w:t>
      </w:r>
      <w:r>
        <w:t xml:space="preserve">76a Ingelow Road, London SW8 3PF (UK leasehold flat with share of freehold)</w:t>
      </w:r>
      <w:r>
        <w:t xml:space="preserve"> </w:t>
      </w:r>
      <w:r>
        <w:rPr>
          <w:bCs/>
          <w:b/>
        </w:rPr>
        <w:t xml:space="preserve">Filer:</w:t>
      </w:r>
      <w:r>
        <w:t xml:space="preserve"> </w:t>
      </w:r>
      <w:r>
        <w:t xml:space="preserve">Tristan Morgan, Swedish tax resident since 25 November 2021</w:t>
      </w:r>
      <w:r>
        <w:t xml:space="preserve"> </w:t>
      </w:r>
      <w:r>
        <w:rPr>
          <w:bCs/>
          <w:b/>
        </w:rPr>
        <w:t xml:space="preserve">Tax year covered:</w:t>
      </w:r>
      <w:r>
        <w:t xml:space="preserve"> </w:t>
      </w:r>
      <w:r>
        <w:t xml:space="preserve">UK 2025/26 (6 Apr 2025 – 5 Apr 2026) and Swedish 2025 (calendar year)</w:t>
      </w:r>
    </w:p>
    <w:p>
      <w:pPr>
        <w:pStyle w:val="BodyText"/>
      </w:pPr>
      <w:r>
        <w:rPr>
          <w:bCs/>
          <w:b/>
        </w:rPr>
        <w:t xml:space="preserve">Positions taken on the Swedish return (decided 19 May 2026):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Schablonavdrag base: GROSS rent</w:t>
      </w:r>
      <w:r>
        <w:t xml:space="preserve"> </w:t>
      </w:r>
      <w:r>
        <w:t xml:space="preserve">(strict reading per Skatteverket — 20% applies to gross, agent commission absorbed into schablonavdrag)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 fee NOT in Box 8.1</w:t>
      </w:r>
      <w:r>
        <w:t xml:space="preserve"> </w:t>
      </w:r>
      <w:r>
        <w:t xml:space="preserve">(RÅ 1997 ref. 63 — arrangement fees are not interest)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Vanguard cost basis: genomsnittsmetoden</w:t>
      </w:r>
      <w:r>
        <w:t xml:space="preserve"> </w:t>
      </w:r>
      <w:r>
        <w:t xml:space="preserve">with original-date FX (no rebasing at residency move)</w:t>
      </w:r>
    </w:p>
    <w:p>
      <w:r>
        <w:pict>
          <v:rect style="width:0;height:1.5pt" o:hralign="center" o:hrstd="t" o:hr="t"/>
        </w:pict>
      </w:r>
    </w:p>
    <w:bookmarkStart w:id="22" w:name="position-1-schablonavdrag-on-gross-rent"/>
    <w:p>
      <w:pPr>
        <w:pStyle w:val="Heading2"/>
      </w:pPr>
      <w:r>
        <w:t xml:space="preserve">Position #1 — Schablonavdrag on GROSS rent</w:t>
      </w:r>
    </w:p>
    <w:p>
      <w:pPr>
        <w:pStyle w:val="FirstParagraph"/>
      </w:pPr>
      <w:r>
        <w:t xml:space="preserve">Skatteverket explicitly: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Om ett förmedlingsföretag endast förmedlar uthyrningen och tar ut en avgift räknas du som hyresvärd och ska redovisa hela den avtalade hyran som intäkt inklusive avgiften som du betalar till förmedlingsföretaget.</w:t>
      </w:r>
      <w:r>
        <w:rPr>
          <w:iCs/>
          <w:i/>
        </w:rPr>
        <w:t xml:space="preserve">”</w:t>
      </w:r>
      <w:r>
        <w:t xml:space="preserve"> </w:t>
      </w:r>
      <w:r>
        <w:t xml:space="preserve">You can’t deduct the agent commission on top of the schablonavdrag — it’s absorbed into it.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agency rents in its own name</w:t>
      </w:r>
      <w:r>
        <w:t xml:space="preserve">”</w:t>
      </w:r>
      <w:r>
        <w:t xml:space="preserve"> </w:t>
      </w:r>
      <w:r>
        <w:t xml:space="preserve">exception (which would allow net-of-commission) requires the agency to be the lessor on the tenancy. With Knight Frank as a mediating agent collecting commission from your gross rent, you’re the lessor — so gross applies.</w:t>
      </w:r>
    </w:p>
    <w:p>
      <w:pPr>
        <w:pStyle w:val="BodyText"/>
      </w:pPr>
      <w:r>
        <w:t xml:space="preserve">Property is</w:t>
      </w:r>
      <w:r>
        <w:t xml:space="preserve"> </w:t>
      </w:r>
      <w:r>
        <w:rPr>
          <w:bCs/>
          <w:b/>
        </w:rPr>
        <w:t xml:space="preserve">privatbostadsfastighet</w:t>
      </w:r>
      <w:r>
        <w:t xml:space="preserve"> </w:t>
      </w:r>
      <w:r>
        <w:t xml:space="preserve">for Swedish purposes (leasehold + share of freehold ≠ Swedish bostadsrätt because the UK freehold management company doesn’t meet the privatbostadsföretag membership test). Schablonavdrag formula =</w:t>
      </w:r>
      <w:r>
        <w:t xml:space="preserve"> </w:t>
      </w:r>
      <w:r>
        <w:rPr>
          <w:bCs/>
          <w:b/>
        </w:rPr>
        <w:t xml:space="preserve">40,000 SEK + 20% of gross rent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Cost vs net-of-commission position: ~£1,215 more Swedish tax for 2025.</w:t>
      </w:r>
    </w:p>
    <w:p>
      <w:pPr>
        <w:pStyle w:val="BodyText"/>
      </w:pPr>
      <w:r>
        <w:rPr>
          <w:iCs/>
          <w:i/>
        </w:rPr>
        <w:t xml:space="preserve">Sources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Hyra ut privatbostad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Rättslig vägledning förmedling</w:t>
        </w:r>
      </w:hyperlink>
      <w:r>
        <w:t xml:space="preserve">.</w:t>
      </w:r>
    </w:p>
    <w:bookmarkEnd w:id="22"/>
    <w:bookmarkStart w:id="24" w:name="Xeb584958aee9e1426a1684766274eb6907f5d2d"/>
    <w:p>
      <w:pPr>
        <w:pStyle w:val="Heading2"/>
      </w:pPr>
      <w:r>
        <w:t xml:space="preserve">Position #2 — Vanguard ISA: genomsnittsmetoden</w:t>
      </w:r>
    </w:p>
    <w:p>
      <w:pPr>
        <w:pStyle w:val="FirstParagraph"/>
      </w:pPr>
      <w:r>
        <w:t xml:space="preserve">No rebasing on Swedish residency move. Cost basis = original GBP cost × FX rate at original acquisition date.</w:t>
      </w:r>
    </w:p>
    <w:p>
      <w:pPr>
        <w:pStyle w:val="BodyText"/>
      </w:pPr>
      <w:r>
        <w:t xml:space="preserve">All 14 contributions were Sep 2020 – Oct 2021 (none after Nov 2021 move), totalling £19,508.82. Each month’s contribution converted at that month’s Riksbanken average GBP/SEK.</w:t>
      </w:r>
    </w:p>
    <w:p>
      <w:pPr>
        <w:pStyle w:val="BodyText"/>
      </w:pPr>
      <w:r>
        <w:rPr>
          <w:bCs/>
          <w:b/>
        </w:rPr>
        <w:t xml:space="preserve">Headline (using estimated FX rates):</w:t>
      </w:r>
      <w:r>
        <w:t xml:space="preserve"> </w:t>
      </w:r>
      <w:r>
        <w:t xml:space="preserve">- Cost basis: ~SEK 228,492 (verify FX in spreadsheet against Riksbank monthly averages)</w:t>
      </w:r>
      <w:r>
        <w:t xml:space="preserve"> </w:t>
      </w:r>
      <w:r>
        <w:t xml:space="preserve">- Sale proceeds: SEK 386,681</w:t>
      </w:r>
      <w:r>
        <w:t xml:space="preserve"> </w:t>
      </w:r>
      <w:r>
        <w:t xml:space="preserve">- Gain: ~SEK 158,188</w:t>
      </w:r>
      <w:r>
        <w:t xml:space="preserve"> </w:t>
      </w:r>
      <w:r>
        <w:t xml:space="preserve">- Swedish tax @ 30%:</w:t>
      </w:r>
      <w:r>
        <w:t xml:space="preserve"> </w:t>
      </w:r>
      <w:r>
        <w:rPr>
          <w:bCs/>
          <w:b/>
        </w:rPr>
        <w:t xml:space="preserve">~SEK 47,456</w:t>
      </w:r>
    </w:p>
    <w:p>
      <w:pPr>
        <w:pStyle w:val="BodyText"/>
      </w:pPr>
      <w:r>
        <w:rPr>
          <w:iCs/>
          <w:i/>
        </w:rPr>
        <w:t xml:space="preserve">Difference vs Nov 2021-value approach: SEK 13,310 more tax (~£1,030). The Nov 2021-value approach is not supported by Swedish law.</w:t>
      </w:r>
    </w:p>
    <w:p>
      <w:pPr>
        <w:pStyle w:val="BodyText"/>
      </w:pPr>
      <w:r>
        <w:rPr>
          <w:iCs/>
          <w:i/>
        </w:rPr>
        <w:t xml:space="preserve">Sources</w:t>
      </w:r>
      <w:r>
        <w:t xml:space="preserve">: 44 kap. 14 § IL;</w:t>
      </w:r>
      <w:r>
        <w:t xml:space="preserve"> </w:t>
      </w:r>
      <w:hyperlink r:id="rId23">
        <w:r>
          <w:rPr>
            <w:rStyle w:val="Hyperlink"/>
          </w:rPr>
          <w:t xml:space="preserve">Skatteverket — Utländsk valuta</w:t>
        </w:r>
      </w:hyperlink>
      <w:r>
        <w:t xml:space="preserve">.</w:t>
      </w:r>
    </w:p>
    <w:bookmarkEnd w:id="24"/>
    <w:bookmarkStart w:id="27" w:name="X11403ef83c7704dcd0af8507b5faaf7231d0634"/>
    <w:p>
      <w:pPr>
        <w:pStyle w:val="Heading2"/>
      </w:pPr>
      <w:r>
        <w:t xml:space="preserve">Position #3 — Mortgage product fee NOT deductible</w:t>
      </w:r>
    </w:p>
    <w:p>
      <w:pPr>
        <w:pStyle w:val="FirstParagraph"/>
      </w:pPr>
      <w:r>
        <w:rPr>
          <w:bCs/>
          <w:b/>
        </w:rPr>
        <w:t xml:space="preserve">RÅ 1997 ref. 63</w:t>
      </w:r>
      <w:r>
        <w:t xml:space="preserve"> </w:t>
      </w:r>
      <w:r>
        <w:t xml:space="preserve">explicitly rejects uppläggningsavgift as interest. RÅ 1987 ref. 78 defines interest as</w:t>
      </w:r>
      <w:r>
        <w:t xml:space="preserve"> </w:t>
      </w:r>
      <w:r>
        <w:t xml:space="preserve">“</w:t>
      </w:r>
      <w:r>
        <w:t xml:space="preserve">förutsebar ersättning för kredit beräknad utifrån kreditbelopp och kredittid</w:t>
      </w:r>
      <w:r>
        <w:t xml:space="preserve">”</w:t>
      </w:r>
      <w:r>
        <w:t xml:space="preserve"> </w:t>
      </w:r>
      <w:r>
        <w:t xml:space="preserve">— a fixed up-front fee fails this test.</w:t>
      </w:r>
    </w:p>
    <w:p>
      <w:pPr>
        <w:pStyle w:val="BodyText"/>
      </w:pPr>
      <w:r>
        <w:t xml:space="preserve">Box 8.1 =</w:t>
      </w:r>
      <w:r>
        <w:t xml:space="preserve"> </w:t>
      </w:r>
      <w:r>
        <w:rPr>
          <w:bCs/>
          <w:b/>
        </w:rPr>
        <w:t xml:space="preserve">mortgage interest only</w:t>
      </w:r>
      <w:r>
        <w:t xml:space="preserve"> </w:t>
      </w:r>
      <w:r>
        <w:t xml:space="preserve">(£6,955 for calendar 2025). The £1,749 product fee is excluded.</w:t>
      </w:r>
    </w:p>
    <w:p>
      <w:pPr>
        <w:pStyle w:val="BodyText"/>
      </w:pPr>
      <w:r>
        <w:rPr>
          <w:iCs/>
          <w:i/>
        </w:rPr>
        <w:t xml:space="preserve">Cost vs claiming the fee: ~£525 more Swedish tax for 2025.</w:t>
      </w:r>
    </w:p>
    <w:p>
      <w:pPr>
        <w:pStyle w:val="BodyText"/>
      </w:pPr>
      <w:r>
        <w:rPr>
          <w:iCs/>
          <w:i/>
        </w:rPr>
        <w:t xml:space="preserve">Sources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Avdrag för ränteutgifter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Rättslig vägledning §2836</w:t>
        </w:r>
      </w:hyperlink>
      <w:r>
        <w:t xml:space="preserve">.</w:t>
      </w:r>
    </w:p>
    <w:bookmarkEnd w:id="27"/>
    <w:bookmarkStart w:id="28" w:name="position-4-foreign-tax-credit-timing"/>
    <w:p>
      <w:pPr>
        <w:pStyle w:val="Heading2"/>
      </w:pPr>
      <w:r>
        <w:t xml:space="preserve">Position #4 — Foreign tax credit timing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Cs/>
          <w:b/>
        </w:rPr>
        <w:t xml:space="preserve">finalised</w:t>
      </w:r>
      <w:r>
        <w:t xml:space="preserve"> </w:t>
      </w:r>
      <w:r>
        <w:t xml:space="preserve">UK tax counts. Apportionment 3/12 prior + 9/12 current — defensible practitioner method, document in Övriga upplysningar.</w:t>
      </w:r>
    </w:p>
    <w:p>
      <w:pPr>
        <w:pStyle w:val="BodyText"/>
      </w:pPr>
      <w:r>
        <w:t xml:space="preserve">If UK 25/26 SA isn’t filed/assessed yet, you can only claim finalised portion now; balance via omprövning later.</w:t>
      </w:r>
    </w:p>
    <w:p>
      <w:r>
        <w:pict>
          <v:rect style="width:0;height:1.5pt" o:hralign="center" o:hrstd="t" o:hr="t"/>
        </w:pict>
      </w:r>
    </w:p>
    <w:bookmarkEnd w:id="28"/>
    <w:bookmarkStart w:id="34" w:name="Xec4bb7f27fc0983e8bf991f016bafa680b99baa"/>
    <w:p>
      <w:pPr>
        <w:pStyle w:val="Heading2"/>
      </w:pPr>
      <w:r>
        <w:t xml:space="preserve">Where everything goes on the Swedish return (INK1)</w:t>
      </w:r>
    </w:p>
    <w:bookmarkStart w:id="29" w:name="inkomster-tjänst-box-1"/>
    <w:p>
      <w:pPr>
        <w:pStyle w:val="Heading3"/>
      </w:pPr>
      <w:r>
        <w:t xml:space="preserve">Inkomster — Tjänst (Box 1)</w:t>
      </w:r>
    </w:p>
    <w:p>
      <w:pPr>
        <w:numPr>
          <w:ilvl w:val="0"/>
          <w:numId w:val="1001"/>
        </w:numPr>
        <w:pStyle w:val="Compact"/>
      </w:pPr>
      <w:r>
        <w:t xml:space="preserve">Box 1.1: Salary (~SEK 800,000) — förtryckt</w:t>
      </w:r>
    </w:p>
    <w:bookmarkEnd w:id="29"/>
    <w:bookmarkStart w:id="30" w:name="inkomster-kapital-box-7"/>
    <w:p>
      <w:pPr>
        <w:pStyle w:val="Heading3"/>
      </w:pPr>
      <w:r>
        <w:t xml:space="preserve">Inkomster — Kapital (Box 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Schablonintäkter (Swedish ISK / fund deemed income)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Förtryckt —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Ränteinkomster — HSBC interest (full year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£211.26 → SEK 2,730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Överskott vid uthyrning av privatbostad (GROSS 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~£24,024 → ~SEK 310,394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Kapitalvinst — Vanguard ISA sale (genomsnittsmetoden)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~SEK 158,188</w:t>
            </w:r>
            <w:r>
              <w:t xml:space="preserve"> </w:t>
            </w:r>
            <w:r>
              <w:t xml:space="preserve">(verify FX)</w:t>
            </w:r>
          </w:p>
        </w:tc>
      </w:tr>
    </w:tbl>
    <w:bookmarkEnd w:id="30"/>
    <w:bookmarkStart w:id="31" w:name="avdrag-kapital-box-8"/>
    <w:p>
      <w:pPr>
        <w:pStyle w:val="Heading3"/>
      </w:pPr>
      <w:r>
        <w:t xml:space="preserve">Avdrag — Kapital (Box 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Ränteutgifter — UK mortgage interest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£6,955 → ~SEK 89,876</w:t>
            </w:r>
            <w:r>
              <w:t xml:space="preserve"> </w:t>
            </w:r>
            <w:r>
              <w:t xml:space="preserve">(product fee excluded)</w:t>
            </w:r>
          </w:p>
        </w:tc>
      </w:tr>
    </w:tbl>
    <w:bookmarkEnd w:id="31"/>
    <w:bookmarkStart w:id="32" w:name="bilagor"/>
    <w:p>
      <w:pPr>
        <w:pStyle w:val="Heading3"/>
      </w:pPr>
      <w:r>
        <w:t xml:space="preserve">Bilagor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K4 avsnitt A</w:t>
      </w:r>
      <w:r>
        <w:t xml:space="preserve"> </w:t>
      </w:r>
      <w:r>
        <w:t xml:space="preserve">— Vanguard sale, list units / försäljningspris / omkostnadsbelopp / vinst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SKV 2703</w:t>
      </w:r>
      <w:r>
        <w:t xml:space="preserve"> </w:t>
      </w:r>
      <w:r>
        <w:t xml:space="preserve">— Avräkning utländsk skatt claim</w:t>
      </w:r>
    </w:p>
    <w:bookmarkEnd w:id="32"/>
    <w:bookmarkStart w:id="33" w:name="övriga-upplysningar-free-text"/>
    <w:p>
      <w:pPr>
        <w:pStyle w:val="Heading3"/>
      </w:pPr>
      <w:r>
        <w:t xml:space="preserve">Övriga upplysningar (free text)</w:t>
      </w:r>
    </w:p>
    <w:p>
      <w:pPr>
        <w:pStyle w:val="FirstParagraph"/>
      </w:pPr>
      <w:r>
        <w:t xml:space="preserve">Recommended text (Swedish):</w:t>
      </w:r>
    </w:p>
    <w:p>
      <w:pPr>
        <w:pStyle w:val="BlockText"/>
      </w:pPr>
      <w:r>
        <w:rPr>
          <w:iCs/>
          <w:i/>
        </w:rPr>
        <w:t xml:space="preserve">“Hyresinkomst avser uthyrning av lägenhet i London (76a Ingelow Road, SW8 3PF) via förmedlingsföretag (Knight Frank). Schablonavdrag har applicerats på bruttohyran om GBP 33,900 (SEK [omräknat]). Förmedlingsavgift om GBP 5,062 har inte särskilt dragits av eftersom den ingår i schablonavdraget.</w:t>
      </w:r>
    </w:p>
    <w:p>
      <w:pPr>
        <w:pStyle w:val="BlockText"/>
      </w:pPr>
      <w:r>
        <w:rPr>
          <w:iCs/>
          <w:i/>
        </w:rPr>
        <w:t xml:space="preserve">Mortgage interest avser ränta på lån hos Santander UK till finansiering av uthyrningsfastigheten. GBP 6,955 omräknat till SEK [belopp]. Produktavgift om GBP 1,749 har inte dragits av i ruta 8.1.</w:t>
      </w:r>
    </w:p>
    <w:p>
      <w:pPr>
        <w:pStyle w:val="BlockText"/>
      </w:pPr>
      <w:r>
        <w:rPr>
          <w:iCs/>
          <w:i/>
        </w:rPr>
        <w:t xml:space="preserve">Kapitalvinst avser försäljning av Vanguard ISA-konto den 5 juni 2025. Omkostnadsbelopp beräknat enligt genomsnittsmetoden för 14 månadsvisa inbetalningar september 2020 till oktober 2021, omräknat till SEK med Riksbankens månadsgenomsnitt för respektive månad. Vinst redovisad i K4 avsnitt A.</w:t>
      </w:r>
    </w:p>
    <w:p>
      <w:pPr>
        <w:pStyle w:val="BlockText"/>
      </w:pPr>
      <w:r>
        <w:rPr>
          <w:iCs/>
          <w:i/>
        </w:rPr>
        <w:t xml:space="preserve">Avräkning av utländsk skatt om SEK [belopp] enligt SKV 2703. UK-skatteår löper 6 april till 5 april. Apportion: 3/12 av UK 24/25 (final, GBP 1,092) och 9/12 av UK 25/26 (GBP [214 eller om finalised]). FX-kurser: Riksbankens årsgenomsnitt 2025 = 12.92163 SEK/GBP.”</w:t>
      </w:r>
    </w:p>
    <w:p>
      <w:pPr>
        <w:pStyle w:val="FirstParagraph"/>
      </w:pPr>
      <w:r>
        <w:t xml:space="preserve">This open-disclosure paragraph protects against skattetillägg (40% penalty) on any position later challenged — Skatteverket would only re-assess on a rättsfråga basis, with back tax + interest only.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80140b0a212ac13c9534aea4f1088f56cec8e7b"/>
    <w:p>
      <w:pPr>
        <w:pStyle w:val="Heading2"/>
      </w:pPr>
      <w:r>
        <w:t xml:space="preserve">Where everything goes on the UK return (SA100 / SA105)</w:t>
      </w:r>
    </w:p>
    <w:bookmarkStart w:id="35" w:name="sa100-main-return"/>
    <w:p>
      <w:pPr>
        <w:pStyle w:val="Heading3"/>
      </w:pPr>
      <w:r>
        <w:t xml:space="preserve">SA100 (main return)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TR3 box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Untaxed UK interest (HSBC)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~£242</w:t>
            </w:r>
          </w:p>
        </w:tc>
      </w:tr>
    </w:tbl>
    <w:bookmarkEnd w:id="35"/>
    <w:bookmarkStart w:id="36" w:name="sa105-uk-property"/>
    <w:p>
      <w:pPr>
        <w:pStyle w:val="Heading3"/>
      </w:pPr>
      <w:r>
        <w:t xml:space="preserve">SA105 (UK property)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rents received (gross)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~£32,271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accounting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repairs and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~£7,943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Legal, management and other professional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~£2,859 (Knight Frank)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profit for the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~£21,469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Taxable profit for the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~£21,469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property finance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~£7,830 (mortgage interest)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UK 25/26 net tax</w:t>
      </w:r>
      <w:r>
        <w:t xml:space="preserve">: ~£214 (after 20% financing-cost credit)</w:t>
      </w:r>
    </w:p>
    <w:p>
      <w:pPr>
        <w:pStyle w:val="BodyText"/>
      </w:pPr>
      <w:r>
        <w:t xml:space="preserve">HSBC interest sits under £1,000 PSA → no additional UK tax. Still report.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x-rates"/>
    <w:p>
      <w:pPr>
        <w:pStyle w:val="Heading2"/>
      </w:pPr>
      <w:r>
        <w:t xml:space="preserve">FX rates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Riksbanken 2024 annual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13.50453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Riksbanken 2025 annual avg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12.92163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 return — recurring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Riksbanken Sep 2020 – Oct 2021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~11.21 – 11.95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Vanguard cost basis — estimates in spreadsheet,</w:t>
            </w:r>
            <w:r>
              <w:t xml:space="preserve"> </w:t>
            </w:r>
            <w:r>
              <w:rPr>
                <w:bCs/>
                <w:b/>
              </w:rPr>
              <w:t xml:space="preserve">verify against Riksbank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Riksbanken Jun 2025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Vanguard sale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headline-tax-payable"/>
    <w:p>
      <w:pPr>
        <w:pStyle w:val="Heading2"/>
      </w:pPr>
      <w:r>
        <w:t xml:space="preserve">Headline tax payable</w:t>
      </w:r>
    </w:p>
    <w:bookmarkStart w:id="39" w:name="Xb445b176537f5eb50cac00172ca1cf5a31d35b8"/>
    <w:p>
      <w:pPr>
        <w:pStyle w:val="Heading3"/>
      </w:pPr>
      <w:r>
        <w:t xml:space="preserve">Swedish 2025 (using all conservative positions)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Box 7.2 — HSBC interest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Box 7.3 — Rental (gross base, schablonavdrag)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~310,394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Box 7.4 — Vanguard CGT (genomsnittsmetoden)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~158,188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Subtotal capital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~471,312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Less Box 8.1 — Mortgage interest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(89,876)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Net capital 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~381,436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Swedish tax @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~114,431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Less UK FTC (apportioned, finalised UK 24/25 portion)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(~5,600)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Swedish tax payable 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~SEK 108,831 (~£8,425)</w:t>
            </w:r>
          </w:p>
        </w:tc>
      </w:tr>
    </w:tbl>
    <w:bookmarkEnd w:id="39"/>
    <w:bookmarkStart w:id="40" w:name="X92c5d12d289248ab71f329d7ad791677bd1f803"/>
    <w:p>
      <w:pPr>
        <w:pStyle w:val="Heading3"/>
      </w:pPr>
      <w:r>
        <w:t xml:space="preserve">Differential vs less conservative positions</w:t>
      </w:r>
    </w:p>
    <w:p>
      <w:pPr>
        <w:numPr>
          <w:ilvl w:val="0"/>
          <w:numId w:val="1003"/>
        </w:numPr>
        <w:pStyle w:val="Compact"/>
      </w:pPr>
      <w:r>
        <w:t xml:space="preserve">Net-of-commission base: −~£1,215 of tax</w:t>
      </w:r>
    </w:p>
    <w:p>
      <w:pPr>
        <w:numPr>
          <w:ilvl w:val="0"/>
          <w:numId w:val="1003"/>
        </w:numPr>
        <w:pStyle w:val="Compact"/>
      </w:pPr>
      <w:r>
        <w:t xml:space="preserve">Product fee in Box 8.1: −~£525 of tax</w:t>
      </w:r>
    </w:p>
    <w:p>
      <w:pPr>
        <w:numPr>
          <w:ilvl w:val="0"/>
          <w:numId w:val="1003"/>
        </w:numPr>
        <w:pStyle w:val="Compact"/>
      </w:pPr>
      <w:r>
        <w:t xml:space="preserve">Nov 2021 Vanguard value: −~£1,030 of tax</w:t>
      </w:r>
    </w:p>
    <w:bookmarkEnd w:id="40"/>
    <w:bookmarkStart w:id="41" w:name="uk-2526"/>
    <w:p>
      <w:pPr>
        <w:pStyle w:val="Heading3"/>
      </w:pPr>
      <w:r>
        <w:t xml:space="preserve">UK 25/26</w:t>
      </w:r>
    </w:p>
    <w:p>
      <w:pPr>
        <w:numPr>
          <w:ilvl w:val="0"/>
          <w:numId w:val="1004"/>
        </w:numPr>
        <w:pStyle w:val="Compact"/>
      </w:pPr>
      <w:r>
        <w:t xml:space="preserve">Net UK tax: ~£214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re-filing-checklist"/>
    <w:p>
      <w:pPr>
        <w:pStyle w:val="Heading2"/>
      </w:pPr>
      <w:r>
        <w:t xml:space="preserve">Pre-filing checklist</w:t>
      </w:r>
    </w:p>
    <w:p>
      <w:pPr>
        <w:numPr>
          <w:ilvl w:val="0"/>
          <w:numId w:val="1005"/>
        </w:numPr>
        <w:pStyle w:val="Compact"/>
      </w:pPr>
      <w:r>
        <w:t xml:space="preserve">✅ Schablonavdrag — using GROSS rent (no commission deduction)</w:t>
      </w:r>
    </w:p>
    <w:p>
      <w:pPr>
        <w:numPr>
          <w:ilvl w:val="0"/>
          <w:numId w:val="1005"/>
        </w:numPr>
        <w:pStyle w:val="Compact"/>
      </w:pPr>
      <w:r>
        <w:t xml:space="preserve">✅ Box 8.1 — interest only (no product fee)</w:t>
      </w:r>
    </w:p>
    <w:p>
      <w:pPr>
        <w:numPr>
          <w:ilvl w:val="0"/>
          <w:numId w:val="1005"/>
        </w:numPr>
        <w:pStyle w:val="Compact"/>
      </w:pPr>
      <w:r>
        <w:t xml:space="preserve">✅ Vanguard — genomsnittsmetoden</w:t>
      </w:r>
    </w:p>
    <w:p>
      <w:pPr>
        <w:numPr>
          <w:ilvl w:val="0"/>
          <w:numId w:val="1005"/>
        </w:numPr>
        <w:pStyle w:val="Compact"/>
      </w:pPr>
      <w:r>
        <w:t xml:space="preserve">⚠️ Vanguard FX rates — verify against Riksbanken monthly averages and paste in</w:t>
      </w:r>
    </w:p>
    <w:p>
      <w:pPr>
        <w:numPr>
          <w:ilvl w:val="0"/>
          <w:numId w:val="1005"/>
        </w:numPr>
        <w:pStyle w:val="Compact"/>
      </w:pPr>
      <w:r>
        <w:t xml:space="preserve">⚠️ UK 25/26 SA — file UK first to enable full FTC, or accept partial credit now + omprövning later</w:t>
      </w:r>
    </w:p>
    <w:p>
      <w:pPr>
        <w:numPr>
          <w:ilvl w:val="0"/>
          <w:numId w:val="1005"/>
        </w:numPr>
        <w:pStyle w:val="Compact"/>
      </w:pPr>
      <w:r>
        <w:t xml:space="preserve">⚠️ Schablonintäkter 2025 — check förtryckt return for any</w:t>
      </w:r>
    </w:p>
    <w:p>
      <w:pPr>
        <w:numPr>
          <w:ilvl w:val="0"/>
          <w:numId w:val="1005"/>
        </w:numPr>
        <w:pStyle w:val="Compact"/>
      </w:pPr>
      <w:r>
        <w:t xml:space="preserve">⚠️ Capital losses 2025 — any realised that could offset the Vanguard gain?</w:t>
      </w:r>
    </w:p>
    <w:p>
      <w:pPr>
        <w:numPr>
          <w:ilvl w:val="0"/>
          <w:numId w:val="1005"/>
        </w:numPr>
        <w:pStyle w:val="Compact"/>
      </w:pPr>
      <w:r>
        <w:t xml:space="preserve">⚠️ Add open-disclosure paragraph in Övriga upplysningar (template above)</w:t>
      </w:r>
    </w:p>
    <w:bookmarkEnd w:id="43"/>
    <w:bookmarkStart w:id="44" w:name="what-we-agreed-is-not-available"/>
    <w:p>
      <w:pPr>
        <w:pStyle w:val="Heading2"/>
      </w:pPr>
      <w:r>
        <w:t xml:space="preserve">What we agreed is NOT available</w:t>
      </w:r>
    </w:p>
    <w:p>
      <w:pPr>
        <w:numPr>
          <w:ilvl w:val="0"/>
          <w:numId w:val="1006"/>
        </w:numPr>
        <w:pStyle w:val="Compact"/>
      </w:pPr>
      <w:r>
        <w:t xml:space="preserve">ROT/RUT (UK property — not in EES)</w:t>
      </w:r>
    </w:p>
    <w:p>
      <w:pPr>
        <w:numPr>
          <w:ilvl w:val="0"/>
          <w:numId w:val="1006"/>
        </w:numPr>
        <w:pStyle w:val="Compact"/>
      </w:pPr>
      <w:r>
        <w:t xml:space="preserve">Travel to UK to manage property (covered by schablonavdrag)</w:t>
      </w:r>
    </w:p>
    <w:p>
      <w:pPr>
        <w:numPr>
          <w:ilvl w:val="0"/>
          <w:numId w:val="1006"/>
        </w:numPr>
        <w:pStyle w:val="Compact"/>
      </w:pPr>
      <w:r>
        <w:t xml:space="preserve">Maintenance / repairs as separate deduction (covered by schablonavdrag)</w:t>
      </w:r>
    </w:p>
    <w:p>
      <w:pPr>
        <w:numPr>
          <w:ilvl w:val="0"/>
          <w:numId w:val="1006"/>
        </w:numPr>
        <w:pStyle w:val="Compact"/>
      </w:pPr>
      <w:r>
        <w:t xml:space="preserve">Agent commission as separate deduction (covered by schablonavdrag)</w:t>
      </w:r>
    </w:p>
    <w:p>
      <w:pPr>
        <w:numPr>
          <w:ilvl w:val="0"/>
          <w:numId w:val="1006"/>
        </w:numPr>
        <w:pStyle w:val="Compact"/>
      </w:pPr>
      <w:r>
        <w:t xml:space="preserve">Service charges to freehold management co (covered by schablonavdrag)</w:t>
      </w:r>
    </w:p>
    <w:p>
      <w:pPr>
        <w:numPr>
          <w:ilvl w:val="0"/>
          <w:numId w:val="1006"/>
        </w:numPr>
        <w:pStyle w:val="Compact"/>
      </w:pPr>
      <w:r>
        <w:t xml:space="preserve">Mortgage product fee as ränteutgift (case law confirms)</w:t>
      </w:r>
    </w:p>
    <w:p>
      <w:pPr>
        <w:numPr>
          <w:ilvl w:val="0"/>
          <w:numId w:val="1006"/>
        </w:numPr>
        <w:pStyle w:val="Compact"/>
      </w:pPr>
      <w:r>
        <w:t xml:space="preserve">Rebasing Vanguard cost basis to Nov 2021 (no Swedish provision for this)</w:t>
      </w:r>
    </w:p>
    <w:p>
      <w:r>
        <w:pict>
          <v:rect style="width:0;height:1.5pt" o:hralign="center" o:hrstd="t" o:hr="t"/>
        </w:pict>
      </w:r>
    </w:p>
    <w:bookmarkEnd w:id="44"/>
    <w:bookmarkStart w:id="50" w:name="source-citations"/>
    <w:p>
      <w:pPr>
        <w:pStyle w:val="Heading2"/>
      </w:pPr>
      <w:r>
        <w:t xml:space="preserve">Source citations</w:t>
      </w:r>
    </w:p>
    <w:p>
      <w:pPr>
        <w:numPr>
          <w:ilvl w:val="0"/>
          <w:numId w:val="1007"/>
        </w:numPr>
        <w:pStyle w:val="Compact"/>
      </w:pPr>
      <w:hyperlink r:id="rId45">
        <w:r>
          <w:rPr>
            <w:rStyle w:val="Hyperlink"/>
          </w:rPr>
          <w:t xml:space="preserve">Skatteverket — Bostad utomlands</w:t>
        </w:r>
      </w:hyperlink>
    </w:p>
    <w:p>
      <w:pPr>
        <w:numPr>
          <w:ilvl w:val="0"/>
          <w:numId w:val="1007"/>
        </w:numPr>
        <w:pStyle w:val="Compact"/>
      </w:pPr>
      <w:hyperlink r:id="rId20">
        <w:r>
          <w:rPr>
            <w:rStyle w:val="Hyperlink"/>
          </w:rPr>
          <w:t xml:space="preserve">Skatteverket — Hyra ut privatbostad</w:t>
        </w:r>
      </w:hyperlink>
    </w:p>
    <w:p>
      <w:pPr>
        <w:numPr>
          <w:ilvl w:val="0"/>
          <w:numId w:val="1007"/>
        </w:numPr>
        <w:pStyle w:val="Compact"/>
      </w:pPr>
      <w:hyperlink r:id="rId46">
        <w:r>
          <w:rPr>
            <w:rStyle w:val="Hyperlink"/>
          </w:rPr>
          <w:t xml:space="preserve">SKV 398 — Deklarera bostad i utlandet</w:t>
        </w:r>
      </w:hyperlink>
    </w:p>
    <w:p>
      <w:pPr>
        <w:numPr>
          <w:ilvl w:val="0"/>
          <w:numId w:val="1007"/>
        </w:numPr>
        <w:pStyle w:val="Compact"/>
      </w:pPr>
      <w:hyperlink r:id="rId47">
        <w:r>
          <w:rPr>
            <w:rStyle w:val="Hyperlink"/>
          </w:rPr>
          <w:t xml:space="preserve">Rättslig vägledning — Hyresinkomster och annan avkastning</w:t>
        </w:r>
      </w:hyperlink>
    </w:p>
    <w:p>
      <w:pPr>
        <w:numPr>
          <w:ilvl w:val="0"/>
          <w:numId w:val="1007"/>
        </w:numPr>
        <w:pStyle w:val="Compact"/>
      </w:pPr>
      <w:hyperlink r:id="rId21">
        <w:r>
          <w:rPr>
            <w:rStyle w:val="Hyperlink"/>
          </w:rPr>
          <w:t xml:space="preserve">Rättslig vägledning — Förmedlingsföretag</w:t>
        </w:r>
      </w:hyperlink>
    </w:p>
    <w:p>
      <w:pPr>
        <w:numPr>
          <w:ilvl w:val="0"/>
          <w:numId w:val="1007"/>
        </w:numPr>
        <w:pStyle w:val="Compact"/>
      </w:pPr>
      <w:hyperlink r:id="rId23">
        <w:r>
          <w:rPr>
            <w:rStyle w:val="Hyperlink"/>
          </w:rPr>
          <w:t xml:space="preserve">Skatteverket — Utländsk valuta</w:t>
        </w:r>
      </w:hyperlink>
    </w:p>
    <w:p>
      <w:pPr>
        <w:numPr>
          <w:ilvl w:val="0"/>
          <w:numId w:val="1007"/>
        </w:numPr>
        <w:pStyle w:val="Compact"/>
      </w:pPr>
      <w:hyperlink r:id="rId25">
        <w:r>
          <w:rPr>
            <w:rStyle w:val="Hyperlink"/>
          </w:rPr>
          <w:t xml:space="preserve">Skatteverket — Avdrag för ränteutgifter</w:t>
        </w:r>
      </w:hyperlink>
    </w:p>
    <w:p>
      <w:pPr>
        <w:numPr>
          <w:ilvl w:val="0"/>
          <w:numId w:val="1007"/>
        </w:numPr>
        <w:pStyle w:val="Compact"/>
      </w:pPr>
      <w:hyperlink r:id="rId26">
        <w:r>
          <w:rPr>
            <w:rStyle w:val="Hyperlink"/>
          </w:rPr>
          <w:t xml:space="preserve">Rättslig vägledning §2836 — Ränteutgifter</w:t>
        </w:r>
      </w:hyperlink>
    </w:p>
    <w:p>
      <w:pPr>
        <w:numPr>
          <w:ilvl w:val="0"/>
          <w:numId w:val="1007"/>
        </w:numPr>
        <w:pStyle w:val="Compact"/>
      </w:pPr>
      <w:r>
        <w:t xml:space="preserve">2 kap. 2 § och 17 § IL (privatbostadsföretag); 44 kap. 14 § IL (omkostnadsbelopp)</w:t>
      </w:r>
    </w:p>
    <w:p>
      <w:pPr>
        <w:numPr>
          <w:ilvl w:val="0"/>
          <w:numId w:val="1007"/>
        </w:numPr>
        <w:pStyle w:val="Compact"/>
      </w:pPr>
      <w:r>
        <w:t xml:space="preserve">RÅ 1987 ref. 78; RÅ 1997 ref. 44, 63; RÅ 2001 ref. 21 I (definition of interest)</w:t>
      </w:r>
    </w:p>
    <w:p>
      <w:pPr>
        <w:numPr>
          <w:ilvl w:val="0"/>
          <w:numId w:val="1007"/>
        </w:numPr>
        <w:pStyle w:val="Compact"/>
      </w:pPr>
      <w:hyperlink r:id="rId48">
        <w:r>
          <w:rPr>
            <w:rStyle w:val="Hyperlink"/>
          </w:rPr>
          <w:t xml:space="preserve">2015 UK-Sweden Double Taxation Convention</w:t>
        </w:r>
      </w:hyperlink>
    </w:p>
    <w:p>
      <w:pPr>
        <w:numPr>
          <w:ilvl w:val="0"/>
          <w:numId w:val="1007"/>
        </w:numPr>
        <w:pStyle w:val="Compact"/>
      </w:pPr>
      <w:hyperlink r:id="rId49">
        <w:r>
          <w:rPr>
            <w:rStyle w:val="Hyperlink"/>
          </w:rPr>
          <w:t xml:space="preserve">Riksbanken — Search annual and monthly average exchange rates</w:t>
        </w:r>
      </w:hyperlink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skatteverket.se/download/18.6e8a1495181dad54084157/1708609332774/Deklarera%20bostad%20i%20utlandet.pdf" TargetMode="External" /><Relationship Type="http://schemas.openxmlformats.org/officeDocument/2006/relationships/hyperlink" Id="rId20" Target="https://skatteverket.se/privat/fastigheterochbostad/inkomsterfranbostad/hyrautprivatbostadbostadsrattsmahusberattsmahusochhyresratt.4.233f91f71260075abe8800033479.html" TargetMode="External" /><Relationship Type="http://schemas.openxmlformats.org/officeDocument/2006/relationships/hyperlink" Id="rId48" Target="https://www.gov.uk/government/publications/sweden-tax-treaties/2015-uk-sweden-double-taxation-convention-as-amended-in-2021-in-force" TargetMode="External" /><Relationship Type="http://schemas.openxmlformats.org/officeDocument/2006/relationships/hyperlink" Id="rId49" Target="https://www.riksbank.se/en-gb/statistics/interest-rates-and-exchange-rates/search-annual-and-monthly-average-exchange-rates/" TargetMode="External" /><Relationship Type="http://schemas.openxmlformats.org/officeDocument/2006/relationships/hyperlink" Id="rId25" Target="https://www.skatteverket.se/privat/deklaration/avdragforprivatpersoner/avdragforranteutgifter.106.1b39a64a1919eabb488b87.html" TargetMode="External" /><Relationship Type="http://schemas.openxmlformats.org/officeDocument/2006/relationships/hyperlink" Id="rId45" Target="https://www.skatteverket.se/privat/fastigheterochbostad/bostadutomlands.4.233f91f71260075abe8800033670.html" TargetMode="External" /><Relationship Type="http://schemas.openxmlformats.org/officeDocument/2006/relationships/hyperlink" Id="rId21" Target="https://www4.skatteverket.se/rattsligvagledning/edition/2023.14/348280.html" TargetMode="External" /><Relationship Type="http://schemas.openxmlformats.org/officeDocument/2006/relationships/hyperlink" Id="rId23" Target="https://www4.skatteverket.se/rattsligvagledning/edition/2025.1/2818.html" TargetMode="External" /><Relationship Type="http://schemas.openxmlformats.org/officeDocument/2006/relationships/hyperlink" Id="rId26" Target="https://www4.skatteverket.se/rattsligvagledning/edition/2025.2/2836.html" TargetMode="External" /><Relationship Type="http://schemas.openxmlformats.org/officeDocument/2006/relationships/hyperlink" Id="rId47" Target="https://www4.skatteverket.se/rattsligvagledning/edition/2025.2/32615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skatteverket.se/download/18.6e8a1495181dad54084157/1708609332774/Deklarera%20bostad%20i%20utlandet.pdf" TargetMode="External" /><Relationship Type="http://schemas.openxmlformats.org/officeDocument/2006/relationships/hyperlink" Id="rId20" Target="https://skatteverket.se/privat/fastigheterochbostad/inkomsterfranbostad/hyrautprivatbostadbostadsrattsmahusberattsmahusochhyresratt.4.233f91f71260075abe8800033479.html" TargetMode="External" /><Relationship Type="http://schemas.openxmlformats.org/officeDocument/2006/relationships/hyperlink" Id="rId48" Target="https://www.gov.uk/government/publications/sweden-tax-treaties/2015-uk-sweden-double-taxation-convention-as-amended-in-2021-in-force" TargetMode="External" /><Relationship Type="http://schemas.openxmlformats.org/officeDocument/2006/relationships/hyperlink" Id="rId49" Target="https://www.riksbank.se/en-gb/statistics/interest-rates-and-exchange-rates/search-annual-and-monthly-average-exchange-rates/" TargetMode="External" /><Relationship Type="http://schemas.openxmlformats.org/officeDocument/2006/relationships/hyperlink" Id="rId25" Target="https://www.skatteverket.se/privat/deklaration/avdragforprivatpersoner/avdragforranteutgifter.106.1b39a64a1919eabb488b87.html" TargetMode="External" /><Relationship Type="http://schemas.openxmlformats.org/officeDocument/2006/relationships/hyperlink" Id="rId45" Target="https://www.skatteverket.se/privat/fastigheterochbostad/bostadutomlands.4.233f91f71260075abe8800033670.html" TargetMode="External" /><Relationship Type="http://schemas.openxmlformats.org/officeDocument/2006/relationships/hyperlink" Id="rId21" Target="https://www4.skatteverket.se/rattsligvagledning/edition/2023.14/348280.html" TargetMode="External" /><Relationship Type="http://schemas.openxmlformats.org/officeDocument/2006/relationships/hyperlink" Id="rId23" Target="https://www4.skatteverket.se/rattsligvagledning/edition/2025.1/2818.html" TargetMode="External" /><Relationship Type="http://schemas.openxmlformats.org/officeDocument/2006/relationships/hyperlink" Id="rId26" Target="https://www4.skatteverket.se/rattsligvagledning/edition/2025.2/2836.html" TargetMode="External" /><Relationship Type="http://schemas.openxmlformats.org/officeDocument/2006/relationships/hyperlink" Id="rId47" Target="https://www4.skatteverket.se/rattsligvagledning/edition/2025.2/32615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2026-05-19T06:20:16Z</dcterms:created>
  <dcterms:modified xsi:type="dcterms:W3CDTF">2026-05-19T06:20:16Z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