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ce6f87dcc2f7601b0fe6df6136660131ea72a2e"/>
    <w:p>
      <w:pPr>
        <w:pStyle w:val="Heading1"/>
      </w:pPr>
      <w:r>
        <w:t xml:space="preserve">UK &amp; Swedish Tax Returns 2025 — Guide &amp; Working</w:t>
      </w:r>
    </w:p>
    <w:p>
      <w:pPr>
        <w:pStyle w:val="FirstParagraph"/>
      </w:pPr>
      <w:r>
        <w:rPr>
          <w:bCs/>
          <w:b/>
        </w:rPr>
        <w:t xml:space="preserve">Property:</w:t>
      </w:r>
      <w:r>
        <w:t xml:space="preserve"> </w:t>
      </w:r>
      <w:r>
        <w:t xml:space="preserve">76a Ingelow Road, London SW8 3PF (UK leasehold flat with share of freehold)</w:t>
      </w:r>
      <w:r>
        <w:t xml:space="preserve"> </w:t>
      </w:r>
      <w:r>
        <w:rPr>
          <w:bCs/>
          <w:b/>
        </w:rPr>
        <w:t xml:space="preserve">Filer:</w:t>
      </w:r>
      <w:r>
        <w:t xml:space="preserve"> </w:t>
      </w:r>
      <w:r>
        <w:t xml:space="preserve">Tristan Morgan, Swedish tax resident since 25 November 2021</w:t>
      </w:r>
      <w:r>
        <w:t xml:space="preserve"> </w:t>
      </w:r>
      <w:r>
        <w:rPr>
          <w:bCs/>
          <w:b/>
        </w:rPr>
        <w:t xml:space="preserve">Tax year covered:</w:t>
      </w:r>
      <w:r>
        <w:t xml:space="preserve"> </w:t>
      </w:r>
      <w:r>
        <w:t xml:space="preserve">UK 2025/26 (6 Apr 2025 – 5 Apr 2026) and Swedish 2025 (calendar year)</w:t>
      </w:r>
    </w:p>
    <w:p>
      <w:r>
        <w:pict>
          <v:rect style="width:0;height:1.5pt" o:hralign="center" o:hrstd="t" o:hr="t"/>
        </w:pict>
      </w:r>
    </w:p>
    <w:bookmarkStart w:id="33" w:name="Xe22ff9f25c666f247d98ca7c5816c2d6425ec99"/>
    <w:p>
      <w:pPr>
        <w:pStyle w:val="Heading2"/>
      </w:pPr>
      <w:r>
        <w:t xml:space="preserve">Critical findings — what’s confirmed and what’s ambiguous</w:t>
      </w:r>
    </w:p>
    <w:bookmarkStart w:id="22" w:name="X5ed9219e89cfd66fe6247713ad4dbdf47dbda9d"/>
    <w:p>
      <w:pPr>
        <w:pStyle w:val="Heading3"/>
      </w:pPr>
      <w:r>
        <w:t xml:space="preserve">1. Property classification (Swedish tax) — privatbostadsfastighet</w:t>
      </w:r>
    </w:p>
    <w:p>
      <w:pPr>
        <w:pStyle w:val="FirstParagraph"/>
      </w:pPr>
      <w:r>
        <w:t xml:space="preserve">UK leasehold flat with share of freehold is classified as</w:t>
      </w:r>
      <w:r>
        <w:t xml:space="preserve"> </w:t>
      </w:r>
      <w:r>
        <w:rPr>
          <w:bCs/>
          <w:b/>
        </w:rPr>
        <w:t xml:space="preserve">privatbostadsfastighet</w:t>
      </w:r>
      <w:r>
        <w:t xml:space="preserve"> </w:t>
      </w:r>
      <w:r>
        <w:t xml:space="preserve">for Swedish tax purposes, not privatbostadsrätt.</w:t>
      </w:r>
    </w:p>
    <w:p>
      <w:pPr>
        <w:pStyle w:val="BodyText"/>
      </w:pPr>
      <w:r>
        <w:rPr>
          <w:bCs/>
          <w:b/>
        </w:rPr>
        <w:t xml:space="preserve">Why</w:t>
      </w:r>
      <w:r>
        <w:t xml:space="preserve">: privatbostadsrätt requires membership in a</w:t>
      </w:r>
      <w:r>
        <w:t xml:space="preserve"> </w:t>
      </w:r>
      <w:r>
        <w:rPr>
          <w:iCs/>
          <w:i/>
        </w:rPr>
        <w:t xml:space="preserve">privatbostadsföretag</w:t>
      </w:r>
      <w:r>
        <w:t xml:space="preserve"> </w:t>
      </w:r>
      <w:r>
        <w:t xml:space="preserve">(Swedish ekonomisk förening / AB providing housing to members, or foreign equivalent). A UK freehold management company holding the freehold for</w:t>
      </w:r>
      <w:r>
        <w:t xml:space="preserve"> </w:t>
      </w:r>
      <w:r>
        <w:rPr>
          <w:iCs/>
          <w:i/>
        </w:rPr>
        <w:t xml:space="preserve">leaseholders</w:t>
      </w:r>
      <w:r>
        <w:t xml:space="preserve"> </w:t>
      </w:r>
      <w:r>
        <w:t xml:space="preserve">doesn’t qualify — leaseholders own a property interest (a long lease), not a membership share whose primary purpose is housing the holders. Skatteverket treats it like an ägarlägenhet equivalent.</w:t>
      </w:r>
    </w:p>
    <w:p>
      <w:pPr>
        <w:pStyle w:val="BodyText"/>
      </w:pPr>
      <w:r>
        <w:rPr>
          <w:bCs/>
          <w:b/>
        </w:rPr>
        <w:t xml:space="preserve">Implication</w:t>
      </w:r>
      <w:r>
        <w:t xml:space="preserve">: schablonavdrag formula =</w:t>
      </w:r>
      <w:r>
        <w:t xml:space="preserve"> </w:t>
      </w:r>
      <w:r>
        <w:rPr>
          <w:bCs/>
          <w:b/>
        </w:rPr>
        <w:t xml:space="preserve">40,000 SEK + 20% of rental income</w:t>
      </w:r>
      <w:r>
        <w:t xml:space="preserve"> </w:t>
      </w:r>
      <w:r>
        <w:t xml:space="preserve">(not</w:t>
      </w:r>
      <w:r>
        <w:t xml:space="preserve"> </w:t>
      </w:r>
      <w:r>
        <w:t xml:space="preserve">“</w:t>
      </w:r>
      <w:r>
        <w:t xml:space="preserve">40k + actual avgift</w:t>
      </w:r>
      <w:r>
        <w:t xml:space="preserve">”</w:t>
      </w:r>
      <w:r>
        <w:t xml:space="preserve"> </w:t>
      </w:r>
      <w:r>
        <w:t xml:space="preserve">which would apply to bostadsrätt). Service charges to the freehold management company are NOT separately deductible.</w:t>
      </w:r>
    </w:p>
    <w:p>
      <w:pPr>
        <w:pStyle w:val="BodyText"/>
      </w:pPr>
      <w:r>
        <w:rPr>
          <w:iCs/>
          <w:i/>
        </w:rPr>
        <w:t xml:space="preserve">Sources</w:t>
      </w:r>
      <w:r>
        <w:t xml:space="preserve">:</w:t>
      </w:r>
      <w:r>
        <w:t xml:space="preserve"> </w:t>
      </w:r>
      <w:hyperlink r:id="rId20">
        <w:r>
          <w:rPr>
            <w:rStyle w:val="Hyperlink"/>
          </w:rPr>
          <w:t xml:space="preserve">Skatteverket — Bostad utomlands</w:t>
        </w:r>
      </w:hyperlink>
      <w:r>
        <w:t xml:space="preserve">,</w:t>
      </w:r>
      <w:r>
        <w:t xml:space="preserve"> </w:t>
      </w:r>
      <w:hyperlink r:id="rId21">
        <w:r>
          <w:rPr>
            <w:rStyle w:val="Hyperlink"/>
          </w:rPr>
          <w:t xml:space="preserve">SKV 398</w:t>
        </w:r>
      </w:hyperlink>
      <w:r>
        <w:t xml:space="preserve">, 2 kap. 2 § and 17 § IL.</w:t>
      </w:r>
    </w:p>
    <w:bookmarkEnd w:id="22"/>
    <w:bookmarkStart w:id="25" w:name="Xf472178a70ed46f6f027f474e19963c2974f1f0"/>
    <w:p>
      <w:pPr>
        <w:pStyle w:val="Heading3"/>
      </w:pPr>
      <w:r>
        <w:t xml:space="preserve">2. Schablonavdrag base — gross or net of commission?</w:t>
      </w:r>
    </w:p>
    <w:p>
      <w:pPr>
        <w:pStyle w:val="FirstParagraph"/>
      </w:pPr>
      <w:r>
        <w:t xml:space="preserve">Skatteverket distinguishes between two arrangements:</w:t>
      </w:r>
    </w:p>
    <w:p>
      <w:pPr>
        <w:pStyle w:val="BlockText"/>
      </w:pPr>
      <w:r>
        <w:rPr>
          <w:bCs/>
          <w:b/>
        </w:rPr>
        <w:t xml:space="preserve">“</w:t>
      </w:r>
      <w:r>
        <w:rPr>
          <w:bCs/>
          <w:b/>
        </w:rPr>
        <w:t xml:space="preserve">When the agency is considered a landlord</w:t>
      </w:r>
      <w:r>
        <w:rPr>
          <w:bCs/>
          <w:b/>
        </w:rPr>
        <w:t xml:space="preserve">”</w:t>
      </w:r>
      <w:r>
        <w:t xml:space="preserve"> </w:t>
      </w:r>
      <w:r>
        <w:t xml:space="preserve">— the agency rents out the home in their own name and handles advertising, agreements, cleaning and tenant access. In this case, you only report what you receive net of the agency’s fee.</w:t>
      </w:r>
    </w:p>
    <w:p>
      <w:pPr>
        <w:pStyle w:val="BlockText"/>
      </w:pPr>
      <w:r>
        <w:rPr>
          <w:bCs/>
          <w:b/>
        </w:rPr>
        <w:t xml:space="preserve">“</w:t>
      </w:r>
      <w:r>
        <w:rPr>
          <w:bCs/>
          <w:b/>
        </w:rPr>
        <w:t xml:space="preserve">When the agency only mediates</w:t>
      </w:r>
      <w:r>
        <w:rPr>
          <w:bCs/>
          <w:b/>
        </w:rPr>
        <w:t xml:space="preserve">”</w:t>
      </w:r>
      <w:r>
        <w:t xml:space="preserve"> </w:t>
      </w:r>
      <w:r>
        <w:t xml:space="preserve">— you report the gross rent (including the agency’s commission) and cannot deduct the commission separately.</w:t>
      </w:r>
    </w:p>
    <w:p>
      <w:pPr>
        <w:pStyle w:val="FirstParagraph"/>
      </w:pPr>
      <w:r>
        <w:rPr>
          <w:bCs/>
          <w:b/>
        </w:rPr>
        <w:t xml:space="preserve">The legal test</w:t>
      </w:r>
      <w:r>
        <w:t xml:space="preserve"> </w:t>
      </w:r>
      <w:r>
        <w:t xml:space="preserve">is whether the agency rents</w:t>
      </w:r>
      <w:r>
        <w:t xml:space="preserve"> </w:t>
      </w:r>
      <w:r>
        <w:rPr>
          <w:iCs/>
          <w:i/>
        </w:rPr>
        <w:t xml:space="preserve">in their own name</w:t>
      </w:r>
      <w:r>
        <w:t xml:space="preserve"> </w:t>
      </w:r>
      <w:r>
        <w:t xml:space="preserve">— i.e., whose name is on the tenancy agreement with the tenant.</w:t>
      </w:r>
    </w:p>
    <w:p>
      <w:pPr>
        <w:numPr>
          <w:ilvl w:val="0"/>
          <w:numId w:val="1001"/>
        </w:numPr>
        <w:pStyle w:val="Compact"/>
      </w:pPr>
      <w:r>
        <w:rPr>
          <w:bCs/>
          <w:b/>
        </w:rPr>
        <w:t xml:space="preserve">Standard UK lettings agency model</w:t>
      </w:r>
      <w:r>
        <w:t xml:space="preserve"> </w:t>
      </w:r>
      <w:r>
        <w:t xml:space="preserve">(most common): the tenancy is between the owner (you) and the tenant. The agency is named as agent for the landlord, collects rent on the landlord’s behalf, deducts commission, pays the net. → strict reading is gross.</w:t>
      </w:r>
    </w:p>
    <w:p>
      <w:pPr>
        <w:numPr>
          <w:ilvl w:val="0"/>
          <w:numId w:val="1001"/>
        </w:numPr>
        <w:pStyle w:val="Compact"/>
      </w:pPr>
      <w:r>
        <w:rPr>
          <w:bCs/>
          <w:b/>
        </w:rPr>
        <w:t xml:space="preserve">Sublet / guaranteed-rent model</w:t>
      </w:r>
      <w:r>
        <w:t xml:space="preserve">: the agency leases from the owner, then sublets in own name. → net of commission.</w:t>
      </w:r>
    </w:p>
    <w:p>
      <w:pPr>
        <w:pStyle w:val="FirstParagraph"/>
      </w:pPr>
      <w:r>
        <w:rPr>
          <w:bCs/>
          <w:b/>
        </w:rPr>
        <w:t xml:space="preserve">Indicator</w:t>
      </w:r>
      <w:r>
        <w:t xml:space="preserve"> </w:t>
      </w:r>
      <w:r>
        <w:t xml:space="preserve">in your data: Knight Frank charges you a separate</w:t>
      </w:r>
      <w:r>
        <w:t xml:space="preserve"> </w:t>
      </w:r>
      <w:r>
        <w:rPr>
          <w:bCs/>
          <w:b/>
        </w:rPr>
        <w:t xml:space="preserve">Letting Commission</w:t>
      </w:r>
      <w:r>
        <w:t xml:space="preserve"> </w:t>
      </w:r>
      <w:r>
        <w:t xml:space="preserve">(~£3,145 in 2023, ~£3,430 in 2024) when a new tenancy is signed. That’s classic agent behaviour — they wouldn’t bill the landlord a letting fee if they were the sublessor.</w:t>
      </w:r>
    </w:p>
    <w:p>
      <w:pPr>
        <w:pStyle w:val="BodyText"/>
      </w:pPr>
      <w:r>
        <w:rPr>
          <w:bCs/>
          <w:b/>
        </w:rPr>
        <w:t xml:space="preserve">Decision for you tomorrow</w:t>
      </w:r>
      <w:r>
        <w:t xml:space="preserve">: confirm whether the tenancy agreement is signed</w:t>
      </w:r>
      <w:r>
        <w:t xml:space="preserve"> </w:t>
      </w:r>
      <w:r>
        <w:rPr>
          <w:iCs/>
          <w:i/>
        </w:rPr>
        <w:t xml:space="preserve">between you and the tenant</w:t>
      </w:r>
      <w:r>
        <w:t xml:space="preserve"> </w:t>
      </w:r>
      <w:r>
        <w:t xml:space="preserve">(agent model → gross applies strictly) or</w:t>
      </w:r>
      <w:r>
        <w:t xml:space="preserve"> </w:t>
      </w:r>
      <w:r>
        <w:rPr>
          <w:iCs/>
          <w:i/>
        </w:rPr>
        <w:t xml:space="preserve">between Knight Frank and the tenant</w:t>
      </w:r>
      <w:r>
        <w:t xml:space="preserve"> </w:t>
      </w:r>
      <w:r>
        <w:t xml:space="preserve">(sublet → net is correct).</w:t>
      </w:r>
    </w:p>
    <w:p>
      <w:pPr>
        <w:pStyle w:val="BodyText"/>
      </w:pPr>
      <w:r>
        <w:t xml:space="preserve">You can defensibly file either way given the operational complexity, but if your tenancy names you as landlord, the strict reading is gross.</w:t>
      </w:r>
    </w:p>
    <w:p>
      <w:pPr>
        <w:pStyle w:val="BodyText"/>
      </w:pPr>
      <w:r>
        <w:rPr>
          <w:bCs/>
          <w:b/>
        </w:rPr>
        <w:t xml:space="preserve">Your 2024 filed return used net-of-commission.</w:t>
      </w:r>
      <w:r>
        <w:t xml:space="preserve"> </w:t>
      </w:r>
      <w:r>
        <w:t xml:space="preserve">The spreadsheet keeps that as the primary calc (consistent with prior year). A</w:t>
      </w:r>
      <w:r>
        <w:t xml:space="preserve"> </w:t>
      </w:r>
      <w:r>
        <w:t xml:space="preserve">“</w:t>
      </w:r>
      <w:r>
        <w:t xml:space="preserve">strict gross</w:t>
      </w:r>
      <w:r>
        <w:t xml:space="preserve">”</w:t>
      </w:r>
      <w:r>
        <w:t xml:space="preserve"> </w:t>
      </w:r>
      <w:r>
        <w:t xml:space="preserve">memo block at the bottom shows the differential (~£1,215 more Swedish tax for 2025 if you switch to gross).</w:t>
      </w:r>
    </w:p>
    <w:p>
      <w:pPr>
        <w:pStyle w:val="BodyText"/>
      </w:pPr>
      <w:r>
        <w:rPr>
          <w:iCs/>
          <w:i/>
        </w:rPr>
        <w:t xml:space="preserve">Sources</w:t>
      </w:r>
      <w:r>
        <w:t xml:space="preserve">:</w:t>
      </w:r>
      <w:r>
        <w:t xml:space="preserve"> </w:t>
      </w:r>
      <w:hyperlink r:id="rId23">
        <w:r>
          <w:rPr>
            <w:rStyle w:val="Hyperlink"/>
          </w:rPr>
          <w:t xml:space="preserve">Skatteverket — Hyresinkomster och annan avkastning</w:t>
        </w:r>
      </w:hyperlink>
      <w:r>
        <w:t xml:space="preserve">,</w:t>
      </w:r>
      <w:r>
        <w:t xml:space="preserve"> </w:t>
      </w:r>
      <w:hyperlink r:id="rId24">
        <w:r>
          <w:rPr>
            <w:rStyle w:val="Hyperlink"/>
          </w:rPr>
          <w:t xml:space="preserve">Rättslig vägledning förmedling</w:t>
        </w:r>
      </w:hyperlink>
      <w:r>
        <w:t xml:space="preserve">.</w:t>
      </w:r>
    </w:p>
    <w:bookmarkEnd w:id="25"/>
    <w:bookmarkStart w:id="28" w:name="X44c4c76455c17ae35f235852205121606f72318"/>
    <w:p>
      <w:pPr>
        <w:pStyle w:val="Heading3"/>
      </w:pPr>
      <w:r>
        <w:t xml:space="preserve">3. Vanguard ISA cost basis — genomsnittsmetoden (resolved)</w:t>
      </w:r>
    </w:p>
    <w:p>
      <w:pPr>
        <w:pStyle w:val="FirstParagraph"/>
      </w:pPr>
      <w:r>
        <w:t xml:space="preserve">No rebasing on becoming Swedish-resident. The cost basis = original GBP cost × FX rate at original acquisition date. Since all your contributions were Sept 2020 – Oct 2021 (before your move), I’ve built the calc using monthly FX estimates.</w:t>
      </w:r>
    </w:p>
    <w:p>
      <w:pPr>
        <w:pStyle w:val="BodyText"/>
      </w:pPr>
      <w:r>
        <w:rPr>
          <w:bCs/>
          <w:b/>
        </w:rPr>
        <w:t xml:space="preserve">New Vanguard CGT figures (using estimated FX rates)</w:t>
      </w:r>
      <w:r>
        <w:t xml:space="preserve">:</w:t>
      </w:r>
      <w:r>
        <w:t xml:space="preserve"> </w:t>
      </w:r>
      <w:r>
        <w:t xml:space="preserve">- Sum of 14 contributions: £19,508.82</w:t>
      </w:r>
      <w:r>
        <w:t xml:space="preserve"> </w:t>
      </w:r>
      <w:r>
        <w:t xml:space="preserve">- Cost basis: ~SEK 228,492 (estimate — verify the FX rates in the spreadsheet against Riksbanken’s monthly averages)</w:t>
      </w:r>
      <w:r>
        <w:t xml:space="preserve"> </w:t>
      </w:r>
      <w:r>
        <w:t xml:space="preserve">- Sale proceeds: SEK 386,681</w:t>
      </w:r>
      <w:r>
        <w:t xml:space="preserve"> </w:t>
      </w:r>
      <w:r>
        <w:t xml:space="preserve">- Gain: ~SEK 158,188</w:t>
      </w:r>
      <w:r>
        <w:t xml:space="preserve"> </w:t>
      </w:r>
      <w:r>
        <w:t xml:space="preserve">- Swedish tax @ 30%: ~SEK 47,456</w:t>
      </w:r>
    </w:p>
    <w:p>
      <w:pPr>
        <w:pStyle w:val="BodyText"/>
      </w:pPr>
      <w:r>
        <w:t xml:space="preserve">This is</w:t>
      </w:r>
      <w:r>
        <w:t xml:space="preserve"> </w:t>
      </w:r>
      <w:r>
        <w:rPr>
          <w:bCs/>
          <w:b/>
        </w:rPr>
        <w:t xml:space="preserve">SEK 13,310 more tax</w:t>
      </w:r>
      <w:r>
        <w:t xml:space="preserve"> </w:t>
      </w:r>
      <w:r>
        <w:t xml:space="preserve">(~£1,030) than the Nov 2021 value approach.</w:t>
      </w:r>
    </w:p>
    <w:p>
      <w:pPr>
        <w:pStyle w:val="BodyText"/>
      </w:pPr>
      <w:r>
        <w:rPr>
          <w:bCs/>
          <w:b/>
        </w:rPr>
        <w:t xml:space="preserve">Action</w:t>
      </w:r>
      <w:r>
        <w:t xml:space="preserve">: open the</w:t>
      </w:r>
      <w:r>
        <w:t xml:space="preserve"> </w:t>
      </w:r>
      <w:r>
        <w:rPr>
          <w:rStyle w:val="VerbatimChar"/>
        </w:rPr>
        <w:t xml:space="preserve">Capital Gains 2025</w:t>
      </w:r>
      <w:r>
        <w:t xml:space="preserve"> </w:t>
      </w:r>
      <w:r>
        <w:t xml:space="preserve">tab. Yellow cells (column C) are my estimated monthly FX rates. Pull the actual Riksbanken monthly averages from</w:t>
      </w:r>
      <w:r>
        <w:t xml:space="preserve"> </w:t>
      </w:r>
      <w:hyperlink r:id="rId26">
        <w:r>
          <w:rPr>
            <w:rStyle w:val="Hyperlink"/>
          </w:rPr>
          <w:t xml:space="preserve">riksbank.se → search exchange rates</w:t>
        </w:r>
      </w:hyperlink>
      <w:r>
        <w:t xml:space="preserve"> </w:t>
      </w:r>
      <w:r>
        <w:t xml:space="preserve">and paste over my estimates. Everything else recalculates.</w:t>
      </w:r>
    </w:p>
    <w:p>
      <w:pPr>
        <w:pStyle w:val="BodyText"/>
      </w:pPr>
      <w:r>
        <w:rPr>
          <w:iCs/>
          <w:i/>
        </w:rPr>
        <w:t xml:space="preserve">Sources</w:t>
      </w:r>
      <w:r>
        <w:t xml:space="preserve">: 44 kap. 14 § IL;</w:t>
      </w:r>
      <w:r>
        <w:t xml:space="preserve"> </w:t>
      </w:r>
      <w:hyperlink r:id="rId27">
        <w:r>
          <w:rPr>
            <w:rStyle w:val="Hyperlink"/>
          </w:rPr>
          <w:t xml:space="preserve">Skatteverket — Utländsk valuta</w:t>
        </w:r>
      </w:hyperlink>
      <w:r>
        <w:t xml:space="preserve">.</w:t>
      </w:r>
    </w:p>
    <w:bookmarkEnd w:id="28"/>
    <w:bookmarkStart w:id="31" w:name="X5a4158e693f8328ad99e7ec8d5aa09cb6b19f0c"/>
    <w:p>
      <w:pPr>
        <w:pStyle w:val="Heading3"/>
      </w:pPr>
      <w:r>
        <w:t xml:space="preserve">4. Mortgage product fee (£1,749 Feb 2025) — not deductible</w:t>
      </w:r>
    </w:p>
    <w:p>
      <w:pPr>
        <w:pStyle w:val="FirstParagraph"/>
      </w:pPr>
      <w:r>
        <w:t xml:space="preserve">HFD case law (</w:t>
      </w:r>
      <w:r>
        <w:rPr>
          <w:bCs/>
          <w:b/>
        </w:rPr>
        <w:t xml:space="preserve">RÅ 1997 ref. 63</w:t>
      </w:r>
      <w:r>
        <w:t xml:space="preserve"> </w:t>
      </w:r>
      <w:r>
        <w:t xml:space="preserve">in particular) explicitly rejects uppläggningsavgifter (arrangement / product fees) as ränteutgift. Interest is defined in</w:t>
      </w:r>
      <w:r>
        <w:t xml:space="preserve"> </w:t>
      </w:r>
      <w:r>
        <w:rPr>
          <w:bCs/>
          <w:b/>
        </w:rPr>
        <w:t xml:space="preserve">RÅ 1987 ref. 78</w:t>
      </w:r>
      <w:r>
        <w:t xml:space="preserve"> </w:t>
      </w:r>
      <w:r>
        <w:t xml:space="preserve">as</w:t>
      </w:r>
      <w:r>
        <w:t xml:space="preserve"> </w:t>
      </w:r>
      <w:r>
        <w:t xml:space="preserve">“</w:t>
      </w:r>
      <w:r>
        <w:t xml:space="preserve">förutsebar ersättning för kredit beräknad utifrån kreditbelopp och kredittid</w:t>
      </w:r>
      <w:r>
        <w:t xml:space="preserve">”</w:t>
      </w:r>
      <w:r>
        <w:t xml:space="preserve"> </w:t>
      </w:r>
      <w:r>
        <w:t xml:space="preserve">— a fixed up-front fee unrelated to amount × time fails the definition.</w:t>
      </w:r>
    </w:p>
    <w:p>
      <w:pPr>
        <w:pStyle w:val="BodyText"/>
      </w:pPr>
      <w:r>
        <w:rPr>
          <w:bCs/>
          <w:b/>
        </w:rPr>
        <w:t xml:space="preserve">Implication</w:t>
      </w:r>
      <w:r>
        <w:t xml:space="preserve">: do</w:t>
      </w:r>
      <w:r>
        <w:t xml:space="preserve"> </w:t>
      </w:r>
      <w:r>
        <w:rPr>
          <w:bCs/>
          <w:b/>
        </w:rPr>
        <w:t xml:space="preserve">not</w:t>
      </w:r>
      <w:r>
        <w:t xml:space="preserve"> </w:t>
      </w:r>
      <w:r>
        <w:t xml:space="preserve">include the £1,749 in Box 8.1. Box 8.1 = mortgage interest only (£6,955 for calendar 2025).</w:t>
      </w:r>
    </w:p>
    <w:p>
      <w:pPr>
        <w:pStyle w:val="BodyText"/>
      </w:pPr>
      <w:r>
        <w:rPr>
          <w:iCs/>
          <w:i/>
        </w:rPr>
        <w:t xml:space="preserve">Sources</w:t>
      </w:r>
      <w:r>
        <w:t xml:space="preserve">:</w:t>
      </w:r>
      <w:r>
        <w:t xml:space="preserve"> </w:t>
      </w:r>
      <w:hyperlink r:id="rId29">
        <w:r>
          <w:rPr>
            <w:rStyle w:val="Hyperlink"/>
          </w:rPr>
          <w:t xml:space="preserve">Skatteverket — Avdrag för ränteutgifter</w:t>
        </w:r>
      </w:hyperlink>
      <w:r>
        <w:t xml:space="preserve">,</w:t>
      </w:r>
      <w:r>
        <w:t xml:space="preserve"> </w:t>
      </w:r>
      <w:hyperlink r:id="rId30">
        <w:r>
          <w:rPr>
            <w:rStyle w:val="Hyperlink"/>
          </w:rPr>
          <w:t xml:space="preserve">Rättslig vägledning §2836</w:t>
        </w:r>
      </w:hyperlink>
      <w:r>
        <w:t xml:space="preserve">.</w:t>
      </w:r>
    </w:p>
    <w:bookmarkEnd w:id="31"/>
    <w:bookmarkStart w:id="32" w:name="foreign-tax-credit-timing"/>
    <w:p>
      <w:pPr>
        <w:pStyle w:val="Heading3"/>
      </w:pPr>
      <w:r>
        <w:t xml:space="preserve">5. Foreign tax credit timing</w:t>
      </w:r>
    </w:p>
    <w:p>
      <w:pPr>
        <w:pStyle w:val="FirstParagraph"/>
      </w:pPr>
      <w:r>
        <w:t xml:space="preserve">Only</w:t>
      </w:r>
      <w:r>
        <w:t xml:space="preserve"> </w:t>
      </w:r>
      <w:r>
        <w:rPr>
          <w:bCs/>
          <w:b/>
        </w:rPr>
        <w:t xml:space="preserve">finalised</w:t>
      </w:r>
      <w:r>
        <w:t xml:space="preserve"> </w:t>
      </w:r>
      <w:r>
        <w:t xml:space="preserve">UK tax counts. If UK 25/26 SA hasn’t been filed/assessed before the Swedish 2025 return, you can claim:</w:t>
      </w:r>
      <w:r>
        <w:t xml:space="preserve"> </w:t>
      </w:r>
      <w:r>
        <w:t xml:space="preserve">- Full 3/12 of finalised UK 24/25</w:t>
      </w:r>
      <w:r>
        <w:t xml:space="preserve"> </w:t>
      </w:r>
      <w:r>
        <w:t xml:space="preserve">- Partial of UK 25/26 only if finalised</w:t>
      </w:r>
    </w:p>
    <w:p>
      <w:pPr>
        <w:pStyle w:val="BodyText"/>
      </w:pPr>
      <w:r>
        <w:t xml:space="preserve">Otherwise: file Sweden with partial credit, then file omprövning once UK 25/26 is finalised to claim the rest.</w:t>
      </w:r>
    </w:p>
    <w:p>
      <w:pPr>
        <w:pStyle w:val="BodyText"/>
      </w:pPr>
      <w:r>
        <w:t xml:space="preserve">Your apportionment method (3/12 prior + 9/12 current) is defensible. Document it in Övriga upplysningar.</w:t>
      </w:r>
    </w:p>
    <w:p>
      <w:r>
        <w:pict>
          <v:rect style="width:0;height:1.5pt" o:hralign="center" o:hrstd="t" o:hr="t"/>
        </w:pict>
      </w:r>
    </w:p>
    <w:bookmarkEnd w:id="32"/>
    <w:bookmarkEnd w:id="33"/>
    <w:bookmarkStart w:id="39" w:name="Xec4bb7f27fc0983e8bf991f016bafa680b99baa"/>
    <w:p>
      <w:pPr>
        <w:pStyle w:val="Heading2"/>
      </w:pPr>
      <w:r>
        <w:t xml:space="preserve">Where everything goes on the Swedish return (INK1)</w:t>
      </w:r>
    </w:p>
    <w:bookmarkStart w:id="34" w:name="inkomster-tjänst-box-1"/>
    <w:p>
      <w:pPr>
        <w:pStyle w:val="Heading3"/>
      </w:pPr>
      <w:r>
        <w:t xml:space="preserve">Inkomster — Tjänst (Box 1)</w:t>
      </w:r>
    </w:p>
    <w:p>
      <w:pPr>
        <w:numPr>
          <w:ilvl w:val="0"/>
          <w:numId w:val="1002"/>
        </w:numPr>
        <w:pStyle w:val="Compact"/>
      </w:pPr>
      <w:r>
        <w:t xml:space="preserve">Box 1.1: Salary (~SEK 800,000) — förtryckt</w:t>
      </w:r>
    </w:p>
    <w:bookmarkEnd w:id="34"/>
    <w:bookmarkStart w:id="35" w:name="inkomster-kapital-box-7"/>
    <w:p>
      <w:pPr>
        <w:pStyle w:val="Heading3"/>
      </w:pPr>
      <w:r>
        <w:t xml:space="preserve">Inkomster — Kapital (Box 7)</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Box</w:t>
            </w:r>
          </w:p>
        </w:tc>
        <w:tc>
          <w:tcPr/>
          <w:p>
            <w:pPr>
              <w:pStyle w:val="Compact"/>
              <w:jc w:val="left"/>
            </w:pPr>
            <w:r>
              <w:t xml:space="preserve">Item</w:t>
            </w:r>
          </w:p>
        </w:tc>
        <w:tc>
          <w:tcPr/>
          <w:p>
            <w:pPr>
              <w:pStyle w:val="Compact"/>
              <w:jc w:val="left"/>
            </w:pPr>
            <w:r>
              <w:t xml:space="preserve">Source / value</w:t>
            </w:r>
          </w:p>
        </w:tc>
      </w:tr>
      <w:tr>
        <w:tc>
          <w:tcPr/>
          <w:p>
            <w:pPr>
              <w:pStyle w:val="Compact"/>
              <w:jc w:val="left"/>
            </w:pPr>
            <w:r>
              <w:t xml:space="preserve">7.1</w:t>
            </w:r>
          </w:p>
        </w:tc>
        <w:tc>
          <w:tcPr/>
          <w:p>
            <w:pPr>
              <w:pStyle w:val="Compact"/>
              <w:jc w:val="left"/>
            </w:pPr>
            <w:r>
              <w:t xml:space="preserve">Schablonintäkter (Swedish ISK / fund deemed income)</w:t>
            </w:r>
          </w:p>
        </w:tc>
        <w:tc>
          <w:tcPr/>
          <w:p>
            <w:pPr>
              <w:pStyle w:val="Compact"/>
              <w:jc w:val="left"/>
            </w:pPr>
            <w:r>
              <w:t xml:space="preserve">Förtryckt — verify</w:t>
            </w:r>
          </w:p>
        </w:tc>
      </w:tr>
      <w:tr>
        <w:tc>
          <w:tcPr/>
          <w:p>
            <w:pPr>
              <w:pStyle w:val="Compact"/>
              <w:jc w:val="left"/>
            </w:pPr>
            <w:r>
              <w:rPr>
                <w:bCs/>
                <w:b/>
              </w:rPr>
              <w:t xml:space="preserve">7.2</w:t>
            </w:r>
          </w:p>
        </w:tc>
        <w:tc>
          <w:tcPr/>
          <w:p>
            <w:pPr>
              <w:pStyle w:val="Compact"/>
              <w:jc w:val="left"/>
            </w:pPr>
            <w:r>
              <w:rPr>
                <w:bCs/>
                <w:b/>
              </w:rPr>
              <w:t xml:space="preserve">Ränteinkomster — HSBC interest (full year 2025)</w:t>
            </w:r>
          </w:p>
        </w:tc>
        <w:tc>
          <w:tcPr/>
          <w:p>
            <w:pPr>
              <w:pStyle w:val="Compact"/>
              <w:jc w:val="left"/>
            </w:pPr>
            <w:r>
              <w:rPr>
                <w:bCs/>
                <w:b/>
              </w:rPr>
              <w:t xml:space="preserve">£211.26 → SEK 2,730</w:t>
            </w:r>
            <w:r>
              <w:t xml:space="preserve"> </w:t>
            </w:r>
            <w:r>
              <w:t xml:space="preserve">(from</w:t>
            </w:r>
            <w:r>
              <w:t xml:space="preserve"> </w:t>
            </w:r>
            <w:r>
              <w:rPr>
                <w:rStyle w:val="VerbatimChar"/>
              </w:rPr>
              <w:t xml:space="preserve">HSBC Interest</w:t>
            </w:r>
            <w:r>
              <w:t xml:space="preserve"> </w:t>
            </w:r>
            <w:r>
              <w:t xml:space="preserve">tab)</w:t>
            </w:r>
          </w:p>
        </w:tc>
      </w:tr>
      <w:tr>
        <w:tc>
          <w:tcPr/>
          <w:p>
            <w:pPr>
              <w:pStyle w:val="Compact"/>
              <w:jc w:val="left"/>
            </w:pPr>
            <w:r>
              <w:rPr>
                <w:bCs/>
                <w:b/>
              </w:rPr>
              <w:t xml:space="preserve">7.3</w:t>
            </w:r>
          </w:p>
        </w:tc>
        <w:tc>
          <w:tcPr/>
          <w:p>
            <w:pPr>
              <w:pStyle w:val="Compact"/>
              <w:jc w:val="left"/>
            </w:pPr>
            <w:r>
              <w:rPr>
                <w:bCs/>
                <w:b/>
              </w:rPr>
              <w:t xml:space="preserve">Överskott vid uthyrning av privatbostad</w:t>
            </w:r>
          </w:p>
        </w:tc>
        <w:tc>
          <w:tcPr/>
          <w:p>
            <w:pPr>
              <w:pStyle w:val="Compact"/>
              <w:jc w:val="left"/>
            </w:pPr>
            <w:r>
              <w:rPr>
                <w:bCs/>
                <w:b/>
              </w:rPr>
              <w:t xml:space="preserve">From</w:t>
            </w:r>
            <w:r>
              <w:rPr>
                <w:bCs/>
                <w:b/>
              </w:rPr>
              <w:t xml:space="preserve"> </w:t>
            </w:r>
            <w:r>
              <w:rPr>
                <w:rStyle w:val="VerbatimChar"/>
                <w:bCs/>
                <w:b/>
              </w:rPr>
              <w:t xml:space="preserve">Tax 25-26</w:t>
            </w:r>
            <w:r>
              <w:rPr>
                <w:bCs/>
                <w:b/>
              </w:rPr>
              <w:t xml:space="preserve"> </w:t>
            </w:r>
            <w:r>
              <w:rPr>
                <w:bCs/>
                <w:b/>
              </w:rPr>
              <w:t xml:space="preserve">rental calc — see issue #2 above</w:t>
            </w:r>
          </w:p>
        </w:tc>
      </w:tr>
      <w:tr>
        <w:tc>
          <w:tcPr/>
          <w:p>
            <w:pPr>
              <w:pStyle w:val="Compact"/>
              <w:jc w:val="left"/>
            </w:pPr>
            <w:r>
              <w:rPr>
                <w:bCs/>
                <w:b/>
              </w:rPr>
              <w:t xml:space="preserve">7.4</w:t>
            </w:r>
          </w:p>
        </w:tc>
        <w:tc>
          <w:tcPr/>
          <w:p>
            <w:pPr>
              <w:pStyle w:val="Compact"/>
              <w:jc w:val="left"/>
            </w:pPr>
            <w:r>
              <w:rPr>
                <w:bCs/>
                <w:b/>
              </w:rPr>
              <w:t xml:space="preserve">Kapitalvinst — Vanguard ISA sale</w:t>
            </w:r>
          </w:p>
        </w:tc>
        <w:tc>
          <w:tcPr/>
          <w:p>
            <w:pPr>
              <w:pStyle w:val="Compact"/>
              <w:jc w:val="left"/>
            </w:pPr>
            <w:r>
              <w:rPr>
                <w:bCs/>
                <w:b/>
              </w:rPr>
              <w:t xml:space="preserve">From</w:t>
            </w:r>
            <w:r>
              <w:rPr>
                <w:bCs/>
                <w:b/>
              </w:rPr>
              <w:t xml:space="preserve"> </w:t>
            </w:r>
            <w:r>
              <w:rPr>
                <w:rStyle w:val="VerbatimChar"/>
                <w:bCs/>
                <w:b/>
              </w:rPr>
              <w:t xml:space="preserve">Capital Gains 2025</w:t>
            </w:r>
            <w:r>
              <w:rPr>
                <w:bCs/>
                <w:b/>
              </w:rPr>
              <w:t xml:space="preserve"> </w:t>
            </w:r>
            <w:r>
              <w:rPr>
                <w:bCs/>
                <w:b/>
              </w:rPr>
              <w:t xml:space="preserve">tab (verify FX)</w:t>
            </w:r>
          </w:p>
        </w:tc>
      </w:tr>
    </w:tbl>
    <w:bookmarkEnd w:id="35"/>
    <w:bookmarkStart w:id="36" w:name="avdrag-kapital-box-8"/>
    <w:p>
      <w:pPr>
        <w:pStyle w:val="Heading3"/>
      </w:pPr>
      <w:r>
        <w:t xml:space="preserve">Avdrag — Kapital (Box 8)</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Box</w:t>
            </w:r>
          </w:p>
        </w:tc>
        <w:tc>
          <w:tcPr/>
          <w:p>
            <w:pPr>
              <w:pStyle w:val="Compact"/>
              <w:jc w:val="left"/>
            </w:pPr>
            <w:r>
              <w:t xml:space="preserve">Item</w:t>
            </w:r>
          </w:p>
        </w:tc>
        <w:tc>
          <w:tcPr/>
          <w:p>
            <w:pPr>
              <w:pStyle w:val="Compact"/>
              <w:jc w:val="left"/>
            </w:pPr>
            <w:r>
              <w:t xml:space="preserve">Value</w:t>
            </w:r>
          </w:p>
        </w:tc>
      </w:tr>
      <w:tr>
        <w:tc>
          <w:tcPr/>
          <w:p>
            <w:pPr>
              <w:pStyle w:val="Compact"/>
              <w:jc w:val="left"/>
            </w:pPr>
            <w:r>
              <w:rPr>
                <w:bCs/>
                <w:b/>
              </w:rPr>
              <w:t xml:space="preserve">8.1</w:t>
            </w:r>
          </w:p>
        </w:tc>
        <w:tc>
          <w:tcPr/>
          <w:p>
            <w:pPr>
              <w:pStyle w:val="Compact"/>
              <w:jc w:val="left"/>
            </w:pPr>
            <w:r>
              <w:rPr>
                <w:bCs/>
                <w:b/>
              </w:rPr>
              <w:t xml:space="preserve">Ränteutgifter — UK mortgage interest only</w:t>
            </w:r>
          </w:p>
        </w:tc>
        <w:tc>
          <w:tcPr/>
          <w:p>
            <w:pPr>
              <w:pStyle w:val="Compact"/>
              <w:jc w:val="left"/>
            </w:pPr>
            <w:r>
              <w:rPr>
                <w:bCs/>
                <w:b/>
              </w:rPr>
              <w:t xml:space="preserve">£6,955 → ~SEK 89,876</w:t>
            </w:r>
            <w:r>
              <w:t xml:space="preserve"> </w:t>
            </w:r>
            <w:r>
              <w:t xml:space="preserve">(excl. product fee)</w:t>
            </w:r>
          </w:p>
        </w:tc>
      </w:tr>
    </w:tbl>
    <w:bookmarkEnd w:id="36"/>
    <w:bookmarkStart w:id="37" w:name="bilagor"/>
    <w:p>
      <w:pPr>
        <w:pStyle w:val="Heading3"/>
      </w:pPr>
      <w:r>
        <w:t xml:space="preserve">Bilagor</w:t>
      </w:r>
    </w:p>
    <w:p>
      <w:pPr>
        <w:numPr>
          <w:ilvl w:val="0"/>
          <w:numId w:val="1003"/>
        </w:numPr>
        <w:pStyle w:val="Compact"/>
      </w:pPr>
      <w:r>
        <w:rPr>
          <w:bCs/>
          <w:b/>
        </w:rPr>
        <w:t xml:space="preserve">K4 avsnitt A</w:t>
      </w:r>
      <w:r>
        <w:t xml:space="preserve"> </w:t>
      </w:r>
      <w:r>
        <w:t xml:space="preserve">— Vanguard ISA sale: list units, försäljningspris (SEK), omkostnadsbelopp (SEK), vinst</w:t>
      </w:r>
    </w:p>
    <w:p>
      <w:pPr>
        <w:numPr>
          <w:ilvl w:val="0"/>
          <w:numId w:val="1003"/>
        </w:numPr>
        <w:pStyle w:val="Compact"/>
      </w:pPr>
      <w:r>
        <w:rPr>
          <w:bCs/>
          <w:b/>
        </w:rPr>
        <w:t xml:space="preserve">SKV 2703</w:t>
      </w:r>
      <w:r>
        <w:t xml:space="preserve"> </w:t>
      </w:r>
      <w:r>
        <w:t xml:space="preserve">— Avräkning utländsk skatt claim</w:t>
      </w:r>
    </w:p>
    <w:bookmarkEnd w:id="37"/>
    <w:bookmarkStart w:id="38" w:name="övriga-upplysningar"/>
    <w:p>
      <w:pPr>
        <w:pStyle w:val="Heading3"/>
      </w:pPr>
      <w:r>
        <w:t xml:space="preserve">Övriga upplysningar</w:t>
      </w:r>
    </w:p>
    <w:p>
      <w:pPr>
        <w:numPr>
          <w:ilvl w:val="0"/>
          <w:numId w:val="1004"/>
        </w:numPr>
        <w:pStyle w:val="Compact"/>
      </w:pPr>
      <w:r>
        <w:t xml:space="preserve">Rental income source, UK tax paid, apportionment method</w:t>
      </w:r>
    </w:p>
    <w:p>
      <w:pPr>
        <w:numPr>
          <w:ilvl w:val="0"/>
          <w:numId w:val="1004"/>
        </w:numPr>
        <w:pStyle w:val="Compact"/>
      </w:pPr>
      <w:r>
        <w:t xml:space="preserve">FX rates used and source (Riksbanken)</w:t>
      </w:r>
    </w:p>
    <w:p>
      <w:pPr>
        <w:numPr>
          <w:ilvl w:val="0"/>
          <w:numId w:val="1004"/>
        </w:numPr>
        <w:pStyle w:val="Compact"/>
      </w:pPr>
      <w:r>
        <w:t xml:space="preserve">Note 1.49 % rate ran to 02/03/2025, then 4.38 % fixed to 02/05/2027</w:t>
      </w:r>
    </w:p>
    <w:p>
      <w:r>
        <w:pict>
          <v:rect style="width:0;height:1.5pt" o:hralign="center" o:hrstd="t" o:hr="t"/>
        </w:pict>
      </w:r>
    </w:p>
    <w:bookmarkEnd w:id="38"/>
    <w:bookmarkEnd w:id="39"/>
    <w:bookmarkStart w:id="42" w:name="X80140b0a212ac13c9534aea4f1088f56cec8e7b"/>
    <w:p>
      <w:pPr>
        <w:pStyle w:val="Heading2"/>
      </w:pPr>
      <w:r>
        <w:t xml:space="preserve">Where everything goes on the UK return (SA100 / SA105)</w:t>
      </w:r>
    </w:p>
    <w:bookmarkStart w:id="40" w:name="sa100-main"/>
    <w:p>
      <w:pPr>
        <w:pStyle w:val="Heading3"/>
      </w:pPr>
      <w:r>
        <w:t xml:space="preserve">SA100 (main)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Box</w:t>
            </w:r>
          </w:p>
        </w:tc>
        <w:tc>
          <w:tcPr/>
          <w:p>
            <w:pPr>
              <w:pStyle w:val="Compact"/>
              <w:jc w:val="left"/>
            </w:pPr>
            <w:r>
              <w:t xml:space="preserve">Item</w:t>
            </w:r>
          </w:p>
        </w:tc>
        <w:tc>
          <w:tcPr/>
          <w:p>
            <w:pPr>
              <w:pStyle w:val="Compact"/>
              <w:jc w:val="left"/>
            </w:pPr>
            <w:r>
              <w:t xml:space="preserve">Value</w:t>
            </w:r>
          </w:p>
        </w:tc>
      </w:tr>
      <w:tr>
        <w:tc>
          <w:tcPr/>
          <w:p>
            <w:pPr>
              <w:pStyle w:val="Compact"/>
              <w:jc w:val="left"/>
            </w:pPr>
            <w:r>
              <w:t xml:space="preserve">TR3 box 2</w:t>
            </w:r>
          </w:p>
        </w:tc>
        <w:tc>
          <w:tcPr/>
          <w:p>
            <w:pPr>
              <w:pStyle w:val="Compact"/>
              <w:jc w:val="left"/>
            </w:pPr>
            <w:r>
              <w:t xml:space="preserve">Untaxed UK interest (HSBC)</w:t>
            </w:r>
          </w:p>
        </w:tc>
        <w:tc>
          <w:tcPr/>
          <w:p>
            <w:pPr>
              <w:pStyle w:val="Compact"/>
              <w:jc w:val="left"/>
            </w:pPr>
            <w:r>
              <w:t xml:space="preserve">~£242</w:t>
            </w:r>
          </w:p>
        </w:tc>
      </w:tr>
    </w:tbl>
    <w:bookmarkEnd w:id="40"/>
    <w:bookmarkStart w:id="41" w:name="sa105-uk-property"/>
    <w:p>
      <w:pPr>
        <w:pStyle w:val="Heading3"/>
      </w:pPr>
      <w:r>
        <w:t xml:space="preserve">SA105 (UK property)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Box</w:t>
            </w:r>
          </w:p>
        </w:tc>
        <w:tc>
          <w:tcPr/>
          <w:p>
            <w:pPr>
              <w:pStyle w:val="Compact"/>
              <w:jc w:val="left"/>
            </w:pPr>
            <w:r>
              <w:t xml:space="preserve">Item</w:t>
            </w:r>
          </w:p>
        </w:tc>
        <w:tc>
          <w:tcPr/>
          <w:p>
            <w:pPr>
              <w:pStyle w:val="Compact"/>
              <w:jc w:val="left"/>
            </w:pPr>
            <w:r>
              <w:t xml:space="preserve">Value</w:t>
            </w:r>
          </w:p>
        </w:tc>
      </w:tr>
      <w:tr>
        <w:tc>
          <w:tcPr/>
          <w:p>
            <w:pPr>
              <w:pStyle w:val="Compact"/>
              <w:jc w:val="left"/>
            </w:pPr>
            <w:r>
              <w:t xml:space="preserve">20</w:t>
            </w:r>
          </w:p>
        </w:tc>
        <w:tc>
          <w:tcPr/>
          <w:p>
            <w:pPr>
              <w:pStyle w:val="Compact"/>
              <w:jc w:val="left"/>
            </w:pPr>
            <w:r>
              <w:t xml:space="preserve">Total rents received (gross)</w:t>
            </w:r>
          </w:p>
        </w:tc>
        <w:tc>
          <w:tcPr/>
          <w:p>
            <w:pPr>
              <w:pStyle w:val="Compact"/>
              <w:jc w:val="left"/>
            </w:pPr>
            <w:r>
              <w:t xml:space="preserve">~£32,271</w:t>
            </w:r>
          </w:p>
        </w:tc>
      </w:tr>
      <w:tr>
        <w:tc>
          <w:tcPr/>
          <w:p>
            <w:pPr>
              <w:pStyle w:val="Compact"/>
              <w:jc w:val="left"/>
            </w:pPr>
            <w:r>
              <w:t xml:space="preserve">20.2</w:t>
            </w:r>
          </w:p>
        </w:tc>
        <w:tc>
          <w:tcPr/>
          <w:p>
            <w:pPr>
              <w:pStyle w:val="Compact"/>
              <w:jc w:val="left"/>
            </w:pPr>
            <w:r>
              <w:t xml:space="preserve">Traditional accounting basis</w:t>
            </w:r>
          </w:p>
        </w:tc>
        <w:tc>
          <w:tcPr/>
          <w:p>
            <w:pPr>
              <w:pStyle w:val="Compact"/>
              <w:jc w:val="left"/>
            </w:pPr>
            <w:r>
              <w:t xml:space="preserve">X</w:t>
            </w:r>
          </w:p>
        </w:tc>
      </w:tr>
      <w:tr>
        <w:tc>
          <w:tcPr/>
          <w:p>
            <w:pPr>
              <w:pStyle w:val="Compact"/>
              <w:jc w:val="left"/>
            </w:pPr>
            <w:r>
              <w:t xml:space="preserve">25</w:t>
            </w:r>
          </w:p>
        </w:tc>
        <w:tc>
          <w:tcPr/>
          <w:p>
            <w:pPr>
              <w:pStyle w:val="Compact"/>
              <w:jc w:val="left"/>
            </w:pPr>
            <w:r>
              <w:t xml:space="preserve">Property repairs and maintenance</w:t>
            </w:r>
          </w:p>
        </w:tc>
        <w:tc>
          <w:tcPr/>
          <w:p>
            <w:pPr>
              <w:pStyle w:val="Compact"/>
              <w:jc w:val="left"/>
            </w:pPr>
            <w:r>
              <w:t xml:space="preserve">~£7,943</w:t>
            </w:r>
          </w:p>
        </w:tc>
      </w:tr>
      <w:tr>
        <w:tc>
          <w:tcPr/>
          <w:p>
            <w:pPr>
              <w:pStyle w:val="Compact"/>
              <w:jc w:val="left"/>
            </w:pPr>
            <w:r>
              <w:t xml:space="preserve">27</w:t>
            </w:r>
          </w:p>
        </w:tc>
        <w:tc>
          <w:tcPr/>
          <w:p>
            <w:pPr>
              <w:pStyle w:val="Compact"/>
              <w:jc w:val="left"/>
            </w:pPr>
            <w:r>
              <w:t xml:space="preserve">Legal, management and other professional fees</w:t>
            </w:r>
          </w:p>
        </w:tc>
        <w:tc>
          <w:tcPr/>
          <w:p>
            <w:pPr>
              <w:pStyle w:val="Compact"/>
              <w:jc w:val="left"/>
            </w:pPr>
            <w:r>
              <w:t xml:space="preserve">~£2,859 (Knight Frank)</w:t>
            </w:r>
          </w:p>
        </w:tc>
      </w:tr>
      <w:tr>
        <w:tc>
          <w:tcPr/>
          <w:p>
            <w:pPr>
              <w:pStyle w:val="Compact"/>
              <w:jc w:val="left"/>
            </w:pPr>
            <w:r>
              <w:t xml:space="preserve">38</w:t>
            </w:r>
          </w:p>
        </w:tc>
        <w:tc>
          <w:tcPr/>
          <w:p>
            <w:pPr>
              <w:pStyle w:val="Compact"/>
              <w:jc w:val="left"/>
            </w:pPr>
            <w:r>
              <w:t xml:space="preserve">Adjusted profit for the year</w:t>
            </w:r>
          </w:p>
        </w:tc>
        <w:tc>
          <w:tcPr/>
          <w:p>
            <w:pPr>
              <w:pStyle w:val="Compact"/>
              <w:jc w:val="left"/>
            </w:pPr>
            <w:r>
              <w:t xml:space="preserve">~£21,469</w:t>
            </w:r>
          </w:p>
        </w:tc>
      </w:tr>
      <w:tr>
        <w:tc>
          <w:tcPr/>
          <w:p>
            <w:pPr>
              <w:pStyle w:val="Compact"/>
              <w:jc w:val="left"/>
            </w:pPr>
            <w:r>
              <w:t xml:space="preserve">40</w:t>
            </w:r>
          </w:p>
        </w:tc>
        <w:tc>
          <w:tcPr/>
          <w:p>
            <w:pPr>
              <w:pStyle w:val="Compact"/>
              <w:jc w:val="left"/>
            </w:pPr>
            <w:r>
              <w:t xml:space="preserve">Taxable profit for the year</w:t>
            </w:r>
          </w:p>
        </w:tc>
        <w:tc>
          <w:tcPr/>
          <w:p>
            <w:pPr>
              <w:pStyle w:val="Compact"/>
              <w:jc w:val="left"/>
            </w:pPr>
            <w:r>
              <w:t xml:space="preserve">~£21,469</w:t>
            </w:r>
          </w:p>
        </w:tc>
      </w:tr>
      <w:tr>
        <w:tc>
          <w:tcPr/>
          <w:p>
            <w:pPr>
              <w:pStyle w:val="Compact"/>
              <w:jc w:val="left"/>
            </w:pPr>
            <w:r>
              <w:t xml:space="preserve">44</w:t>
            </w:r>
          </w:p>
        </w:tc>
        <w:tc>
          <w:tcPr/>
          <w:p>
            <w:pPr>
              <w:pStyle w:val="Compact"/>
              <w:jc w:val="left"/>
            </w:pPr>
            <w:r>
              <w:t xml:space="preserve">Residential property finance costs</w:t>
            </w:r>
          </w:p>
        </w:tc>
        <w:tc>
          <w:tcPr/>
          <w:p>
            <w:pPr>
              <w:pStyle w:val="Compact"/>
              <w:jc w:val="left"/>
            </w:pPr>
            <w:r>
              <w:t xml:space="preserve">~£7,830 (mortgage interest)</w:t>
            </w:r>
          </w:p>
        </w:tc>
      </w:tr>
    </w:tbl>
    <w:p>
      <w:pPr>
        <w:pStyle w:val="BodyText"/>
      </w:pPr>
      <w:r>
        <w:rPr>
          <w:bCs/>
          <w:b/>
        </w:rPr>
        <w:t xml:space="preserve">UK 25/26 net tax</w:t>
      </w:r>
      <w:r>
        <w:t xml:space="preserve">: ~£214 (after 20% financing-cost credit)</w:t>
      </w:r>
    </w:p>
    <w:p>
      <w:pPr>
        <w:pStyle w:val="BodyText"/>
      </w:pPr>
      <w:r>
        <w:t xml:space="preserve">HSBC interest sits under the £1,000 PSA → no additional UK tax. Still report.</w:t>
      </w:r>
    </w:p>
    <w:p>
      <w:r>
        <w:pict>
          <v:rect style="width:0;height:1.5pt" o:hralign="center" o:hrstd="t" o:hr="t"/>
        </w:pict>
      </w:r>
    </w:p>
    <w:bookmarkEnd w:id="41"/>
    <w:bookmarkEnd w:id="42"/>
    <w:bookmarkStart w:id="43" w:name="fx-rates"/>
    <w:p>
      <w:pPr>
        <w:pStyle w:val="Heading2"/>
      </w:pPr>
      <w:r>
        <w:t xml:space="preserve">FX rates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Rate</w:t>
            </w:r>
          </w:p>
        </w:tc>
        <w:tc>
          <w:tcPr/>
          <w:p>
            <w:pPr>
              <w:pStyle w:val="Compact"/>
              <w:jc w:val="left"/>
            </w:pPr>
            <w:r>
              <w:t xml:space="preserve">Source</w:t>
            </w:r>
          </w:p>
        </w:tc>
      </w:tr>
      <w:tr>
        <w:tc>
          <w:tcPr/>
          <w:p>
            <w:pPr>
              <w:pStyle w:val="Compact"/>
              <w:jc w:val="left"/>
            </w:pPr>
            <w:r>
              <w:t xml:space="preserve">Riksbanken 2024 annual avg</w:t>
            </w:r>
          </w:p>
        </w:tc>
        <w:tc>
          <w:tcPr/>
          <w:p>
            <w:pPr>
              <w:pStyle w:val="Compact"/>
              <w:jc w:val="left"/>
            </w:pPr>
            <w:r>
              <w:t xml:space="preserve">13.50453</w:t>
            </w:r>
          </w:p>
        </w:tc>
        <w:tc>
          <w:tcPr/>
          <w:p>
            <w:pPr>
              <w:pStyle w:val="Compact"/>
              <w:jc w:val="left"/>
            </w:pPr>
            <w:r>
              <w:t xml:space="preserve">2024 return</w:t>
            </w:r>
          </w:p>
        </w:tc>
      </w:tr>
      <w:tr>
        <w:tc>
          <w:tcPr/>
          <w:p>
            <w:pPr>
              <w:pStyle w:val="Compact"/>
              <w:jc w:val="left"/>
            </w:pPr>
            <w:r>
              <w:rPr>
                <w:bCs/>
                <w:b/>
              </w:rPr>
              <w:t xml:space="preserve">Riksbanken 2025 annual avg</w:t>
            </w:r>
          </w:p>
        </w:tc>
        <w:tc>
          <w:tcPr/>
          <w:p>
            <w:pPr>
              <w:pStyle w:val="Compact"/>
              <w:jc w:val="left"/>
            </w:pPr>
            <w:r>
              <w:rPr>
                <w:bCs/>
                <w:b/>
              </w:rPr>
              <w:t xml:space="preserve">12.92163</w:t>
            </w:r>
          </w:p>
        </w:tc>
        <w:tc>
          <w:tcPr/>
          <w:p>
            <w:pPr>
              <w:pStyle w:val="Compact"/>
              <w:jc w:val="left"/>
            </w:pPr>
            <w:r>
              <w:rPr>
                <w:bCs/>
                <w:b/>
              </w:rPr>
              <w:t xml:space="preserve">For 2025 return — most line items</w:t>
            </w:r>
          </w:p>
        </w:tc>
      </w:tr>
      <w:tr>
        <w:tc>
          <w:tcPr/>
          <w:p>
            <w:pPr>
              <w:pStyle w:val="Compact"/>
              <w:jc w:val="left"/>
            </w:pPr>
            <w:r>
              <w:t xml:space="preserve">Riksbanken Sep 2020 – Oct 2021 (monthly)</w:t>
            </w:r>
          </w:p>
        </w:tc>
        <w:tc>
          <w:tcPr/>
          <w:p>
            <w:pPr>
              <w:pStyle w:val="Compact"/>
              <w:jc w:val="left"/>
            </w:pPr>
            <w:r>
              <w:t xml:space="preserve">various (~11.21 – 11.95)</w:t>
            </w:r>
          </w:p>
        </w:tc>
        <w:tc>
          <w:tcPr/>
          <w:p>
            <w:pPr>
              <w:pStyle w:val="Compact"/>
              <w:jc w:val="left"/>
            </w:pPr>
            <w:r>
              <w:t xml:space="preserve">Vanguard cost basis —</w:t>
            </w:r>
            <w:r>
              <w:t xml:space="preserve"> </w:t>
            </w:r>
            <w:r>
              <w:rPr>
                <w:bCs/>
                <w:b/>
              </w:rPr>
              <w:t xml:space="preserve">estimates in spreadsheet, verify</w:t>
            </w:r>
          </w:p>
        </w:tc>
      </w:tr>
      <w:tr>
        <w:tc>
          <w:tcPr/>
          <w:p>
            <w:pPr>
              <w:pStyle w:val="Compact"/>
              <w:jc w:val="left"/>
            </w:pPr>
            <w:r>
              <w:t xml:space="preserve">Riksbanken Jun 2025 monthly</w:t>
            </w:r>
          </w:p>
        </w:tc>
        <w:tc>
          <w:tcPr/>
          <w:p>
            <w:pPr>
              <w:pStyle w:val="Compact"/>
              <w:jc w:val="left"/>
            </w:pPr>
            <w:r>
              <w:t xml:space="preserve">12.9485</w:t>
            </w:r>
          </w:p>
        </w:tc>
        <w:tc>
          <w:tcPr/>
          <w:p>
            <w:pPr>
              <w:pStyle w:val="Compact"/>
              <w:jc w:val="left"/>
            </w:pPr>
            <w:r>
              <w:t xml:space="preserve">Vanguard sale</w:t>
            </w:r>
          </w:p>
        </w:tc>
      </w:tr>
    </w:tbl>
    <w:p>
      <w:r>
        <w:pict>
          <v:rect style="width:0;height:1.5pt" o:hralign="center" o:hrstd="t" o:hr="t"/>
        </w:pict>
      </w:r>
    </w:p>
    <w:bookmarkEnd w:id="43"/>
    <w:bookmarkStart w:id="47" w:name="tax-payable-headline"/>
    <w:p>
      <w:pPr>
        <w:pStyle w:val="Heading2"/>
      </w:pPr>
      <w:r>
        <w:t xml:space="preserve">Tax payable (headline)</w:t>
      </w:r>
    </w:p>
    <w:bookmarkStart w:id="44" w:name="Xa66ba9fb49255a8cb6a6e1da996b79620efef51"/>
    <w:p>
      <w:pPr>
        <w:pStyle w:val="Heading3"/>
      </w:pPr>
      <w:r>
        <w:t xml:space="preserve">Swedish 2025 (using net-of-commission base for rental, gross genomsnittsmetoden for Vanguard)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Item</w:t>
            </w:r>
          </w:p>
        </w:tc>
        <w:tc>
          <w:tcPr/>
          <w:p>
            <w:pPr>
              <w:pStyle w:val="Compact"/>
              <w:jc w:val="right"/>
            </w:pPr>
            <w:r>
              <w:t xml:space="preserve">SEK</w:t>
            </w:r>
          </w:p>
        </w:tc>
      </w:tr>
      <w:tr>
        <w:tc>
          <w:tcPr/>
          <w:p>
            <w:pPr>
              <w:pStyle w:val="Compact"/>
              <w:jc w:val="right"/>
            </w:pPr>
            <w:r>
              <w:t xml:space="preserve">Box 7.2 — HSBC interest</w:t>
            </w:r>
          </w:p>
        </w:tc>
        <w:tc>
          <w:tcPr/>
          <w:p>
            <w:pPr>
              <w:pStyle w:val="Compact"/>
              <w:jc w:val="right"/>
            </w:pPr>
            <w:r>
              <w:t xml:space="preserve">2,730</w:t>
            </w:r>
          </w:p>
        </w:tc>
      </w:tr>
      <w:tr>
        <w:tc>
          <w:tcPr/>
          <w:p>
            <w:pPr>
              <w:pStyle w:val="Compact"/>
              <w:jc w:val="right"/>
            </w:pPr>
            <w:r>
              <w:t xml:space="preserve">Box 7.3 — Rental net (schablonavdrag applied)</w:t>
            </w:r>
          </w:p>
        </w:tc>
        <w:tc>
          <w:tcPr/>
          <w:p>
            <w:pPr>
              <w:pStyle w:val="Compact"/>
              <w:jc w:val="right"/>
            </w:pPr>
            <w:r>
              <w:t xml:space="preserve">~258,094</w:t>
            </w:r>
          </w:p>
        </w:tc>
      </w:tr>
      <w:tr>
        <w:tc>
          <w:tcPr/>
          <w:p>
            <w:pPr>
              <w:pStyle w:val="Compact"/>
              <w:jc w:val="right"/>
            </w:pPr>
            <w:r>
              <w:t xml:space="preserve">Box 7.4 — Vanguard CGT (estimated FX)</w:t>
            </w:r>
          </w:p>
        </w:tc>
        <w:tc>
          <w:tcPr/>
          <w:p>
            <w:pPr>
              <w:pStyle w:val="Compact"/>
              <w:jc w:val="right"/>
            </w:pPr>
            <w:r>
              <w:t xml:space="preserve">~158,188</w:t>
            </w:r>
          </w:p>
        </w:tc>
      </w:tr>
      <w:tr>
        <w:tc>
          <w:tcPr/>
          <w:p>
            <w:pPr>
              <w:pStyle w:val="Compact"/>
              <w:jc w:val="right"/>
            </w:pPr>
            <w:r>
              <w:t xml:space="preserve">Subtotal capital income</w:t>
            </w:r>
          </w:p>
        </w:tc>
        <w:tc>
          <w:tcPr/>
          <w:p>
            <w:pPr>
              <w:pStyle w:val="Compact"/>
              <w:jc w:val="right"/>
            </w:pPr>
            <w:r>
              <w:t xml:space="preserve">~418,952</w:t>
            </w:r>
          </w:p>
        </w:tc>
      </w:tr>
      <w:tr>
        <w:tc>
          <w:tcPr/>
          <w:p>
            <w:pPr>
              <w:pStyle w:val="Compact"/>
              <w:jc w:val="right"/>
            </w:pPr>
            <w:r>
              <w:t xml:space="preserve">Less Box 8.1 — Mortgage interest</w:t>
            </w:r>
          </w:p>
        </w:tc>
        <w:tc>
          <w:tcPr/>
          <w:p>
            <w:pPr>
              <w:pStyle w:val="Compact"/>
              <w:jc w:val="right"/>
            </w:pPr>
            <w:r>
              <w:t xml:space="preserve">(89,876)</w:t>
            </w:r>
          </w:p>
        </w:tc>
      </w:tr>
      <w:tr>
        <w:tc>
          <w:tcPr/>
          <w:p>
            <w:pPr>
              <w:pStyle w:val="Compact"/>
              <w:jc w:val="right"/>
            </w:pPr>
            <w:r>
              <w:t xml:space="preserve">Net capital base</w:t>
            </w:r>
          </w:p>
        </w:tc>
        <w:tc>
          <w:tcPr/>
          <w:p>
            <w:pPr>
              <w:pStyle w:val="Compact"/>
              <w:jc w:val="right"/>
            </w:pPr>
            <w:r>
              <w:t xml:space="preserve">~329,076</w:t>
            </w:r>
          </w:p>
        </w:tc>
      </w:tr>
      <w:tr>
        <w:tc>
          <w:tcPr/>
          <w:p>
            <w:pPr>
              <w:pStyle w:val="Compact"/>
              <w:jc w:val="right"/>
            </w:pPr>
            <w:r>
              <w:t xml:space="preserve">Swedish tax @ 30%</w:t>
            </w:r>
          </w:p>
        </w:tc>
        <w:tc>
          <w:tcPr/>
          <w:p>
            <w:pPr>
              <w:pStyle w:val="Compact"/>
              <w:jc w:val="right"/>
            </w:pPr>
            <w:r>
              <w:t xml:space="preserve">~98,723</w:t>
            </w:r>
          </w:p>
        </w:tc>
      </w:tr>
      <w:tr>
        <w:tc>
          <w:tcPr/>
          <w:p>
            <w:pPr>
              <w:pStyle w:val="Compact"/>
              <w:jc w:val="right"/>
            </w:pPr>
            <w:r>
              <w:t xml:space="preserve">Less UK FTC</w:t>
            </w:r>
          </w:p>
        </w:tc>
        <w:tc>
          <w:tcPr/>
          <w:p>
            <w:pPr>
              <w:pStyle w:val="Compact"/>
              <w:jc w:val="right"/>
            </w:pPr>
            <w:r>
              <w:t xml:space="preserve">(~5,600)</w:t>
            </w:r>
          </w:p>
        </w:tc>
      </w:tr>
      <w:tr>
        <w:tc>
          <w:tcPr/>
          <w:p>
            <w:pPr>
              <w:pStyle w:val="Compact"/>
              <w:jc w:val="right"/>
            </w:pPr>
            <w:r>
              <w:rPr>
                <w:bCs/>
                <w:b/>
              </w:rPr>
              <w:t xml:space="preserve">Swedish tax payable 2025</w:t>
            </w:r>
          </w:p>
        </w:tc>
        <w:tc>
          <w:tcPr/>
          <w:p>
            <w:pPr>
              <w:pStyle w:val="Compact"/>
              <w:jc w:val="right"/>
            </w:pPr>
            <w:r>
              <w:rPr>
                <w:bCs/>
                <w:b/>
              </w:rPr>
              <w:t xml:space="preserve">~SEK 93,123 (~£7,210)</w:t>
            </w:r>
          </w:p>
        </w:tc>
      </w:tr>
    </w:tbl>
    <w:bookmarkEnd w:id="44"/>
    <w:bookmarkStart w:id="45" w:name="Xd71e5894125e4d67bdfb5d155d64e8f913fbf2d"/>
    <w:p>
      <w:pPr>
        <w:pStyle w:val="Heading3"/>
      </w:pPr>
      <w:r>
        <w:t xml:space="preserve">Differential if switching to gross-rent base for schablonavdrag</w:t>
      </w:r>
    </w:p>
    <w:p>
      <w:pPr>
        <w:numPr>
          <w:ilvl w:val="0"/>
          <w:numId w:val="1005"/>
        </w:numPr>
        <w:pStyle w:val="Compact"/>
      </w:pPr>
      <w:r>
        <w:t xml:space="preserve">+£4,049 to Box 7.3 → +~£1,215 Swedish tax (~SEK 15,700 more)</w:t>
      </w:r>
    </w:p>
    <w:bookmarkEnd w:id="45"/>
    <w:bookmarkStart w:id="46" w:name="uk-2526"/>
    <w:p>
      <w:pPr>
        <w:pStyle w:val="Heading3"/>
      </w:pPr>
      <w:r>
        <w:t xml:space="preserve">UK 25/26</w:t>
      </w:r>
    </w:p>
    <w:p>
      <w:pPr>
        <w:numPr>
          <w:ilvl w:val="0"/>
          <w:numId w:val="1006"/>
        </w:numPr>
        <w:pStyle w:val="Compact"/>
      </w:pPr>
      <w:r>
        <w:t xml:space="preserve">Net UK tax: ~£214</w:t>
      </w:r>
    </w:p>
    <w:p>
      <w:r>
        <w:pict>
          <v:rect style="width:0;height:1.5pt" o:hralign="center" o:hrstd="t" o:hr="t"/>
        </w:pict>
      </w:r>
    </w:p>
    <w:bookmarkEnd w:id="46"/>
    <w:bookmarkEnd w:id="47"/>
    <w:bookmarkStart w:id="48" w:name="things-to-confirm-before-filing-tomorrow"/>
    <w:p>
      <w:pPr>
        <w:pStyle w:val="Heading2"/>
      </w:pPr>
      <w:r>
        <w:t xml:space="preserve">Things to confirm before filing tomorrow</w:t>
      </w:r>
    </w:p>
    <w:p>
      <w:pPr>
        <w:numPr>
          <w:ilvl w:val="0"/>
          <w:numId w:val="1007"/>
        </w:numPr>
        <w:pStyle w:val="Compact"/>
      </w:pPr>
      <w:r>
        <w:rPr>
          <w:bCs/>
          <w:b/>
        </w:rPr>
        <w:t xml:space="preserve">Tenancy agreement</w:t>
      </w:r>
      <w:r>
        <w:t xml:space="preserve"> </w:t>
      </w:r>
      <w:r>
        <w:t xml:space="preserve">— your name or Knight Frank’s? Determines whether net-of-commission position is defensible.</w:t>
      </w:r>
    </w:p>
    <w:p>
      <w:pPr>
        <w:numPr>
          <w:ilvl w:val="0"/>
          <w:numId w:val="1007"/>
        </w:numPr>
        <w:pStyle w:val="Compact"/>
      </w:pPr>
      <w:r>
        <w:rPr>
          <w:bCs/>
          <w:b/>
        </w:rPr>
        <w:t xml:space="preserve">Vanguard FX rates</w:t>
      </w:r>
      <w:r>
        <w:t xml:space="preserve"> </w:t>
      </w:r>
      <w:r>
        <w:t xml:space="preserve">— pull from Riksbanken; paste into yellow cells.</w:t>
      </w:r>
    </w:p>
    <w:p>
      <w:pPr>
        <w:numPr>
          <w:ilvl w:val="0"/>
          <w:numId w:val="1007"/>
        </w:numPr>
        <w:pStyle w:val="Compact"/>
      </w:pPr>
      <w:r>
        <w:rPr>
          <w:bCs/>
          <w:b/>
        </w:rPr>
        <w:t xml:space="preserve">UK 25/26 SA</w:t>
      </w:r>
      <w:r>
        <w:t xml:space="preserve"> </w:t>
      </w:r>
      <w:r>
        <w:t xml:space="preserve">— filed yet? Affects FTC strategy.</w:t>
      </w:r>
    </w:p>
    <w:p>
      <w:pPr>
        <w:numPr>
          <w:ilvl w:val="0"/>
          <w:numId w:val="1007"/>
        </w:numPr>
        <w:pStyle w:val="Compact"/>
      </w:pPr>
      <w:r>
        <w:rPr>
          <w:bCs/>
          <w:b/>
        </w:rPr>
        <w:t xml:space="preserve">Schablonintäkter 2025</w:t>
      </w:r>
      <w:r>
        <w:t xml:space="preserve"> </w:t>
      </w:r>
      <w:r>
        <w:t xml:space="preserve">— does förtryckt show this?</w:t>
      </w:r>
    </w:p>
    <w:p>
      <w:pPr>
        <w:numPr>
          <w:ilvl w:val="0"/>
          <w:numId w:val="1007"/>
        </w:numPr>
        <w:pStyle w:val="Compact"/>
      </w:pPr>
      <w:r>
        <w:rPr>
          <w:bCs/>
          <w:b/>
        </w:rPr>
        <w:t xml:space="preserve">Capital losses</w:t>
      </w:r>
      <w:r>
        <w:t xml:space="preserve"> </w:t>
      </w:r>
      <w:r>
        <w:t xml:space="preserve">— any realised in 2025 to offset the Vanguard gain?</w:t>
      </w:r>
    </w:p>
    <w:bookmarkEnd w:id="48"/>
    <w:bookmarkStart w:id="49" w:name="what-we-agreed-is-not-available"/>
    <w:p>
      <w:pPr>
        <w:pStyle w:val="Heading2"/>
      </w:pPr>
      <w:r>
        <w:t xml:space="preserve">What we agreed is NOT available</w:t>
      </w:r>
    </w:p>
    <w:p>
      <w:pPr>
        <w:numPr>
          <w:ilvl w:val="0"/>
          <w:numId w:val="1008"/>
        </w:numPr>
        <w:pStyle w:val="Compact"/>
      </w:pPr>
      <w:r>
        <w:t xml:space="preserve">ROT/RUT (UK property — not in EES)</w:t>
      </w:r>
    </w:p>
    <w:p>
      <w:pPr>
        <w:numPr>
          <w:ilvl w:val="0"/>
          <w:numId w:val="1008"/>
        </w:numPr>
        <w:pStyle w:val="Compact"/>
      </w:pPr>
      <w:r>
        <w:t xml:space="preserve">Travel to UK to manage property (covered by schablonavdrag)</w:t>
      </w:r>
    </w:p>
    <w:p>
      <w:pPr>
        <w:numPr>
          <w:ilvl w:val="0"/>
          <w:numId w:val="1008"/>
        </w:numPr>
        <w:pStyle w:val="Compact"/>
      </w:pPr>
      <w:r>
        <w:t xml:space="preserve">Maintenance / repairs as separate deduction (covered by schablonavdrag)</w:t>
      </w:r>
    </w:p>
    <w:p>
      <w:pPr>
        <w:numPr>
          <w:ilvl w:val="0"/>
          <w:numId w:val="1008"/>
        </w:numPr>
        <w:pStyle w:val="Compact"/>
      </w:pPr>
      <w:r>
        <w:t xml:space="preserve">Service charges to freehold management co (covered by schablonavdrag)</w:t>
      </w:r>
    </w:p>
    <w:p>
      <w:pPr>
        <w:numPr>
          <w:ilvl w:val="0"/>
          <w:numId w:val="1008"/>
        </w:numPr>
        <w:pStyle w:val="Compact"/>
      </w:pPr>
      <w:r>
        <w:t xml:space="preserve">Mortgage product fee as ränteutgift (case law confirms — not deductible)</w:t>
      </w:r>
    </w:p>
    <w:p>
      <w:pPr>
        <w:numPr>
          <w:ilvl w:val="0"/>
          <w:numId w:val="1008"/>
        </w:numPr>
        <w:pStyle w:val="Compact"/>
      </w:pPr>
      <w:r>
        <w:t xml:space="preserve">Rebasing Vanguard cost basis to Nov 2021 (no such Swedish provision)</w:t>
      </w:r>
    </w:p>
    <w:p>
      <w:r>
        <w:pict>
          <v:rect style="width:0;height:1.5pt" o:hralign="center" o:hrstd="t" o:hr="t"/>
        </w:pict>
      </w:r>
    </w:p>
    <w:bookmarkEnd w:id="49"/>
    <w:bookmarkStart w:id="51" w:name="source-citations"/>
    <w:p>
      <w:pPr>
        <w:pStyle w:val="Heading2"/>
      </w:pPr>
      <w:r>
        <w:t xml:space="preserve">Source citations</w:t>
      </w:r>
    </w:p>
    <w:p>
      <w:pPr>
        <w:numPr>
          <w:ilvl w:val="0"/>
          <w:numId w:val="1009"/>
        </w:numPr>
        <w:pStyle w:val="Compact"/>
      </w:pPr>
      <w:hyperlink r:id="rId20">
        <w:r>
          <w:rPr>
            <w:rStyle w:val="Hyperlink"/>
          </w:rPr>
          <w:t xml:space="preserve">Skatteverket — Bostad utomlands</w:t>
        </w:r>
      </w:hyperlink>
    </w:p>
    <w:p>
      <w:pPr>
        <w:numPr>
          <w:ilvl w:val="0"/>
          <w:numId w:val="1009"/>
        </w:numPr>
        <w:pStyle w:val="Compact"/>
      </w:pPr>
      <w:hyperlink r:id="rId21">
        <w:r>
          <w:rPr>
            <w:rStyle w:val="Hyperlink"/>
          </w:rPr>
          <w:t xml:space="preserve">SKV 398 — Deklarera bostad i utlandet</w:t>
        </w:r>
      </w:hyperlink>
    </w:p>
    <w:p>
      <w:pPr>
        <w:numPr>
          <w:ilvl w:val="0"/>
          <w:numId w:val="1009"/>
        </w:numPr>
        <w:pStyle w:val="Compact"/>
      </w:pPr>
      <w:hyperlink r:id="rId23">
        <w:r>
          <w:rPr>
            <w:rStyle w:val="Hyperlink"/>
          </w:rPr>
          <w:t xml:space="preserve">Skatteverket — Hyresinkomster och annan avkastning</w:t>
        </w:r>
      </w:hyperlink>
    </w:p>
    <w:p>
      <w:pPr>
        <w:numPr>
          <w:ilvl w:val="0"/>
          <w:numId w:val="1009"/>
        </w:numPr>
        <w:pStyle w:val="Compact"/>
      </w:pPr>
      <w:hyperlink r:id="rId24">
        <w:r>
          <w:rPr>
            <w:rStyle w:val="Hyperlink"/>
          </w:rPr>
          <w:t xml:space="preserve">Rättslig vägledning — Förmedlingsföretag</w:t>
        </w:r>
      </w:hyperlink>
    </w:p>
    <w:p>
      <w:pPr>
        <w:numPr>
          <w:ilvl w:val="0"/>
          <w:numId w:val="1009"/>
        </w:numPr>
        <w:pStyle w:val="Compact"/>
      </w:pPr>
      <w:hyperlink r:id="rId27">
        <w:r>
          <w:rPr>
            <w:rStyle w:val="Hyperlink"/>
          </w:rPr>
          <w:t xml:space="preserve">Skatteverket — Utländsk valuta</w:t>
        </w:r>
      </w:hyperlink>
    </w:p>
    <w:p>
      <w:pPr>
        <w:numPr>
          <w:ilvl w:val="0"/>
          <w:numId w:val="1009"/>
        </w:numPr>
        <w:pStyle w:val="Compact"/>
      </w:pPr>
      <w:hyperlink r:id="rId29">
        <w:r>
          <w:rPr>
            <w:rStyle w:val="Hyperlink"/>
          </w:rPr>
          <w:t xml:space="preserve">Skatteverket — Avdrag för ränteutgifter</w:t>
        </w:r>
      </w:hyperlink>
    </w:p>
    <w:p>
      <w:pPr>
        <w:numPr>
          <w:ilvl w:val="0"/>
          <w:numId w:val="1009"/>
        </w:numPr>
        <w:pStyle w:val="Compact"/>
      </w:pPr>
      <w:hyperlink r:id="rId30">
        <w:r>
          <w:rPr>
            <w:rStyle w:val="Hyperlink"/>
          </w:rPr>
          <w:t xml:space="preserve">Rättslig vägledning §2836 — Ränteutgifter</w:t>
        </w:r>
      </w:hyperlink>
    </w:p>
    <w:p>
      <w:pPr>
        <w:numPr>
          <w:ilvl w:val="0"/>
          <w:numId w:val="1009"/>
        </w:numPr>
        <w:pStyle w:val="Compact"/>
      </w:pPr>
      <w:r>
        <w:t xml:space="preserve">2 kap. 2 § och 17 § IL (privatbostadsföretag)</w:t>
      </w:r>
    </w:p>
    <w:p>
      <w:pPr>
        <w:numPr>
          <w:ilvl w:val="0"/>
          <w:numId w:val="1009"/>
        </w:numPr>
        <w:pStyle w:val="Compact"/>
      </w:pPr>
      <w:r>
        <w:t xml:space="preserve">44 kap. 14 § IL (omkostnadsbelopp)</w:t>
      </w:r>
    </w:p>
    <w:p>
      <w:pPr>
        <w:numPr>
          <w:ilvl w:val="0"/>
          <w:numId w:val="1009"/>
        </w:numPr>
        <w:pStyle w:val="Compact"/>
      </w:pPr>
      <w:r>
        <w:t xml:space="preserve">RÅ 1987 ref. 78; RÅ 1997 ref. 44, 63; RÅ 2001 ref. 21 I (definition of interest)</w:t>
      </w:r>
    </w:p>
    <w:p>
      <w:pPr>
        <w:numPr>
          <w:ilvl w:val="0"/>
          <w:numId w:val="1009"/>
        </w:numPr>
        <w:pStyle w:val="Compact"/>
      </w:pPr>
      <w:hyperlink r:id="rId50">
        <w:r>
          <w:rPr>
            <w:rStyle w:val="Hyperlink"/>
          </w:rPr>
          <w:t xml:space="preserve">2015 UK-Sweden Double Taxation Convention</w:t>
        </w:r>
      </w:hyperlink>
    </w:p>
    <w:p>
      <w:pPr>
        <w:numPr>
          <w:ilvl w:val="0"/>
          <w:numId w:val="1009"/>
        </w:numPr>
        <w:pStyle w:val="Compact"/>
      </w:pPr>
      <w:hyperlink r:id="rId26">
        <w:r>
          <w:rPr>
            <w:rStyle w:val="Hyperlink"/>
          </w:rPr>
          <w:t xml:space="preserve">Riksbanken — Search annual and monthly average exchange rates</w:t>
        </w:r>
      </w:hyperlink>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skatteverket.se/download/18.6e8a1495181dad54084157/1708609332774/Deklarera%20bostad%20i%20utlandet.pdf" TargetMode="External" /><Relationship Type="http://schemas.openxmlformats.org/officeDocument/2006/relationships/hyperlink" Id="rId50" Target="https://www.gov.uk/government/publications/sweden-tax-treaties/2015-uk-sweden-double-taxation-convention-as-amended-in-2021-in-force" TargetMode="External" /><Relationship Type="http://schemas.openxmlformats.org/officeDocument/2006/relationships/hyperlink" Id="rId26" Target="https://www.riksbank.se/en-gb/statistics/interest-rates-and-exchange-rates/search-annual-and-monthly-average-exchange-rates/" TargetMode="External" /><Relationship Type="http://schemas.openxmlformats.org/officeDocument/2006/relationships/hyperlink" Id="rId29" Target="https://www.skatteverket.se/privat/deklaration/avdragforprivatpersoner/avdragforranteutgifter.106.1b39a64a1919eabb488b87.html" TargetMode="External" /><Relationship Type="http://schemas.openxmlformats.org/officeDocument/2006/relationships/hyperlink" Id="rId20" Target="https://www.skatteverket.se/privat/fastigheterochbostad/bostadutomlands.4.233f91f71260075abe8800033670.html" TargetMode="External" /><Relationship Type="http://schemas.openxmlformats.org/officeDocument/2006/relationships/hyperlink" Id="rId24" Target="https://www4.skatteverket.se/rattsligvagledning/edition/2023.14/348280.html" TargetMode="External" /><Relationship Type="http://schemas.openxmlformats.org/officeDocument/2006/relationships/hyperlink" Id="rId27" Target="https://www4.skatteverket.se/rattsligvagledning/edition/2025.1/2818.html" TargetMode="External" /><Relationship Type="http://schemas.openxmlformats.org/officeDocument/2006/relationships/hyperlink" Id="rId30" Target="https://www4.skatteverket.se/rattsligvagledning/edition/2025.2/2836.html" TargetMode="External" /><Relationship Type="http://schemas.openxmlformats.org/officeDocument/2006/relationships/hyperlink" Id="rId23" Target="https://www4.skatteverket.se/rattsligvagledning/edition/2025.2/326151.html" TargetMode="External" /></Relationships>
</file>

<file path=word/_rels/footnotes.xml.rels><?xml version="1.0" encoding="UTF-8"?><Relationships xmlns="http://schemas.openxmlformats.org/package/2006/relationships"><Relationship Type="http://schemas.openxmlformats.org/officeDocument/2006/relationships/hyperlink" Id="rId21" Target="https://skatteverket.se/download/18.6e8a1495181dad54084157/1708609332774/Deklarera%20bostad%20i%20utlandet.pdf" TargetMode="External" /><Relationship Type="http://schemas.openxmlformats.org/officeDocument/2006/relationships/hyperlink" Id="rId50" Target="https://www.gov.uk/government/publications/sweden-tax-treaties/2015-uk-sweden-double-taxation-convention-as-amended-in-2021-in-force" TargetMode="External" /><Relationship Type="http://schemas.openxmlformats.org/officeDocument/2006/relationships/hyperlink" Id="rId26" Target="https://www.riksbank.se/en-gb/statistics/interest-rates-and-exchange-rates/search-annual-and-monthly-average-exchange-rates/" TargetMode="External" /><Relationship Type="http://schemas.openxmlformats.org/officeDocument/2006/relationships/hyperlink" Id="rId29" Target="https://www.skatteverket.se/privat/deklaration/avdragforprivatpersoner/avdragforranteutgifter.106.1b39a64a1919eabb488b87.html" TargetMode="External" /><Relationship Type="http://schemas.openxmlformats.org/officeDocument/2006/relationships/hyperlink" Id="rId20" Target="https://www.skatteverket.se/privat/fastigheterochbostad/bostadutomlands.4.233f91f71260075abe8800033670.html" TargetMode="External" /><Relationship Type="http://schemas.openxmlformats.org/officeDocument/2006/relationships/hyperlink" Id="rId24" Target="https://www4.skatteverket.se/rattsligvagledning/edition/2023.14/348280.html" TargetMode="External" /><Relationship Type="http://schemas.openxmlformats.org/officeDocument/2006/relationships/hyperlink" Id="rId27" Target="https://www4.skatteverket.se/rattsligvagledning/edition/2025.1/2818.html" TargetMode="External" /><Relationship Type="http://schemas.openxmlformats.org/officeDocument/2006/relationships/hyperlink" Id="rId30" Target="https://www4.skatteverket.se/rattsligvagledning/edition/2025.2/2836.html" TargetMode="External" /><Relationship Type="http://schemas.openxmlformats.org/officeDocument/2006/relationships/hyperlink" Id="rId23" Target="https://www4.skatteverket.se/rattsligvagledning/edition/2025.2/326151.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2026-05-18T19:17:49Z</dcterms:created>
  <dcterms:modified xsi:type="dcterms:W3CDTF">2026-05-18T19:17:49Z</dcterms:modified>
</cp:coreProperties>
</file>

<file path=docProps/custom.xml><?xml version="1.0" encoding="utf-8"?>
<Properties xmlns="http://schemas.openxmlformats.org/officeDocument/2006/custom-properties" xmlns:vt="http://schemas.openxmlformats.org/officeDocument/2006/docPropsVTypes"/>
</file>