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1155A50E"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271A3446" w:rsidR="00040018" w:rsidRPr="00CF4750" w:rsidRDefault="00497F68" w:rsidP="00CF4750">
      <w:pPr>
        <w:pStyle w:val="Sansinterligne"/>
      </w:pPr>
      <w:r w:rsidRPr="00CF4750">
        <w:t>Tristan Métivier-Dionne</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386F9A75" w:rsidR="009B1828" w:rsidRPr="00CF4750" w:rsidRDefault="00497F68" w:rsidP="00CF4750">
      <w:pPr>
        <w:pStyle w:val="Sansinterligne"/>
      </w:pPr>
      <w:r w:rsidRPr="00CF4750">
        <w:t>ACT-4101 Régime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1BF96B75" w14:textId="28DF98D6" w:rsidR="007137FF"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056530" w:history="1">
            <w:r w:rsidR="007137FF" w:rsidRPr="00381519">
              <w:rPr>
                <w:rStyle w:val="Lienhypertexte"/>
                <w:rFonts w:cs="Times New Roman"/>
                <w:noProof/>
              </w:rPr>
              <w:t>Faits saillants</w:t>
            </w:r>
            <w:r w:rsidR="007137FF">
              <w:rPr>
                <w:noProof/>
                <w:webHidden/>
              </w:rPr>
              <w:tab/>
            </w:r>
            <w:r w:rsidR="007137FF">
              <w:rPr>
                <w:noProof/>
                <w:webHidden/>
              </w:rPr>
              <w:fldChar w:fldCharType="begin"/>
            </w:r>
            <w:r w:rsidR="007137FF">
              <w:rPr>
                <w:noProof/>
                <w:webHidden/>
              </w:rPr>
              <w:instrText xml:space="preserve"> PAGEREF _Toc88056530 \h </w:instrText>
            </w:r>
            <w:r w:rsidR="007137FF">
              <w:rPr>
                <w:noProof/>
                <w:webHidden/>
              </w:rPr>
            </w:r>
            <w:r w:rsidR="007137FF">
              <w:rPr>
                <w:noProof/>
                <w:webHidden/>
              </w:rPr>
              <w:fldChar w:fldCharType="separate"/>
            </w:r>
            <w:r w:rsidR="007137FF">
              <w:rPr>
                <w:noProof/>
                <w:webHidden/>
              </w:rPr>
              <w:t>iii</w:t>
            </w:r>
            <w:r w:rsidR="007137FF">
              <w:rPr>
                <w:noProof/>
                <w:webHidden/>
              </w:rPr>
              <w:fldChar w:fldCharType="end"/>
            </w:r>
          </w:hyperlink>
        </w:p>
        <w:p w14:paraId="4A9C161C" w14:textId="4CD4461E" w:rsidR="007137FF" w:rsidRDefault="00875849">
          <w:pPr>
            <w:pStyle w:val="TM1"/>
            <w:tabs>
              <w:tab w:val="right" w:leader="dot" w:pos="8630"/>
            </w:tabs>
            <w:rPr>
              <w:rFonts w:eastAsiaTheme="minorEastAsia" w:cstheme="minorBidi"/>
              <w:b w:val="0"/>
              <w:bCs w:val="0"/>
              <w:i w:val="0"/>
              <w:iCs w:val="0"/>
              <w:noProof/>
              <w:sz w:val="22"/>
              <w:szCs w:val="22"/>
              <w:lang w:val="fr-CA" w:eastAsia="fr-CA"/>
            </w:rPr>
          </w:pPr>
          <w:hyperlink w:anchor="_Toc88056531" w:history="1">
            <w:r w:rsidR="007137FF" w:rsidRPr="00381519">
              <w:rPr>
                <w:rStyle w:val="Lienhypertexte"/>
                <w:noProof/>
              </w:rPr>
              <w:t>Introduction</w:t>
            </w:r>
            <w:r w:rsidR="007137FF">
              <w:rPr>
                <w:noProof/>
                <w:webHidden/>
              </w:rPr>
              <w:tab/>
            </w:r>
            <w:r w:rsidR="007137FF">
              <w:rPr>
                <w:noProof/>
                <w:webHidden/>
              </w:rPr>
              <w:fldChar w:fldCharType="begin"/>
            </w:r>
            <w:r w:rsidR="007137FF">
              <w:rPr>
                <w:noProof/>
                <w:webHidden/>
              </w:rPr>
              <w:instrText xml:space="preserve"> PAGEREF _Toc88056531 \h </w:instrText>
            </w:r>
            <w:r w:rsidR="007137FF">
              <w:rPr>
                <w:noProof/>
                <w:webHidden/>
              </w:rPr>
            </w:r>
            <w:r w:rsidR="007137FF">
              <w:rPr>
                <w:noProof/>
                <w:webHidden/>
              </w:rPr>
              <w:fldChar w:fldCharType="separate"/>
            </w:r>
            <w:r w:rsidR="007137FF">
              <w:rPr>
                <w:noProof/>
                <w:webHidden/>
              </w:rPr>
              <w:t>4</w:t>
            </w:r>
            <w:r w:rsidR="007137FF">
              <w:rPr>
                <w:noProof/>
                <w:webHidden/>
              </w:rPr>
              <w:fldChar w:fldCharType="end"/>
            </w:r>
          </w:hyperlink>
        </w:p>
        <w:p w14:paraId="61090943" w14:textId="16B27FCA" w:rsidR="007137FF" w:rsidRDefault="00875849">
          <w:pPr>
            <w:pStyle w:val="TM1"/>
            <w:tabs>
              <w:tab w:val="right" w:leader="dot" w:pos="8630"/>
            </w:tabs>
            <w:rPr>
              <w:rFonts w:eastAsiaTheme="minorEastAsia" w:cstheme="minorBidi"/>
              <w:b w:val="0"/>
              <w:bCs w:val="0"/>
              <w:i w:val="0"/>
              <w:iCs w:val="0"/>
              <w:noProof/>
              <w:sz w:val="22"/>
              <w:szCs w:val="22"/>
              <w:lang w:val="fr-CA" w:eastAsia="fr-CA"/>
            </w:rPr>
          </w:pPr>
          <w:hyperlink w:anchor="_Toc88056532" w:history="1">
            <w:r w:rsidR="007137FF" w:rsidRPr="00381519">
              <w:rPr>
                <w:rStyle w:val="Lienhypertexte"/>
                <w:noProof/>
              </w:rPr>
              <w:t>Section 1 – Calibration du modèle de calcul de valeur actualisée de rente</w:t>
            </w:r>
            <w:r w:rsidR="007137FF">
              <w:rPr>
                <w:noProof/>
                <w:webHidden/>
              </w:rPr>
              <w:tab/>
            </w:r>
            <w:r w:rsidR="007137FF">
              <w:rPr>
                <w:noProof/>
                <w:webHidden/>
              </w:rPr>
              <w:fldChar w:fldCharType="begin"/>
            </w:r>
            <w:r w:rsidR="007137FF">
              <w:rPr>
                <w:noProof/>
                <w:webHidden/>
              </w:rPr>
              <w:instrText xml:space="preserve"> PAGEREF _Toc88056532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32B5280E" w14:textId="46534D00" w:rsidR="007137FF" w:rsidRDefault="00875849">
          <w:pPr>
            <w:pStyle w:val="TM2"/>
            <w:tabs>
              <w:tab w:val="right" w:leader="dot" w:pos="8630"/>
            </w:tabs>
            <w:rPr>
              <w:rFonts w:eastAsiaTheme="minorEastAsia" w:cstheme="minorBidi"/>
              <w:b w:val="0"/>
              <w:bCs w:val="0"/>
              <w:noProof/>
              <w:lang w:val="fr-CA" w:eastAsia="fr-CA"/>
            </w:rPr>
          </w:pPr>
          <w:hyperlink w:anchor="_Toc88056533" w:history="1">
            <w:r w:rsidR="007137FF" w:rsidRPr="00381519">
              <w:rPr>
                <w:rStyle w:val="Lienhypertexte"/>
                <w:noProof/>
              </w:rPr>
              <w:t>Méthodologie de la calibration du modèle</w:t>
            </w:r>
            <w:r w:rsidR="007137FF">
              <w:rPr>
                <w:noProof/>
                <w:webHidden/>
              </w:rPr>
              <w:tab/>
            </w:r>
            <w:r w:rsidR="007137FF">
              <w:rPr>
                <w:noProof/>
                <w:webHidden/>
              </w:rPr>
              <w:fldChar w:fldCharType="begin"/>
            </w:r>
            <w:r w:rsidR="007137FF">
              <w:rPr>
                <w:noProof/>
                <w:webHidden/>
              </w:rPr>
              <w:instrText xml:space="preserve"> PAGEREF _Toc88056533 \h </w:instrText>
            </w:r>
            <w:r w:rsidR="007137FF">
              <w:rPr>
                <w:noProof/>
                <w:webHidden/>
              </w:rPr>
            </w:r>
            <w:r w:rsidR="007137FF">
              <w:rPr>
                <w:noProof/>
                <w:webHidden/>
              </w:rPr>
              <w:fldChar w:fldCharType="separate"/>
            </w:r>
            <w:r w:rsidR="007137FF">
              <w:rPr>
                <w:noProof/>
                <w:webHidden/>
              </w:rPr>
              <w:t>5</w:t>
            </w:r>
            <w:r w:rsidR="007137FF">
              <w:rPr>
                <w:noProof/>
                <w:webHidden/>
              </w:rPr>
              <w:fldChar w:fldCharType="end"/>
            </w:r>
          </w:hyperlink>
        </w:p>
        <w:p w14:paraId="6ACE7D52" w14:textId="0637F725" w:rsidR="007137FF" w:rsidRDefault="00875849">
          <w:pPr>
            <w:pStyle w:val="TM2"/>
            <w:tabs>
              <w:tab w:val="right" w:leader="dot" w:pos="8630"/>
            </w:tabs>
            <w:rPr>
              <w:rFonts w:eastAsiaTheme="minorEastAsia" w:cstheme="minorBidi"/>
              <w:b w:val="0"/>
              <w:bCs w:val="0"/>
              <w:noProof/>
              <w:lang w:val="fr-CA" w:eastAsia="fr-CA"/>
            </w:rPr>
          </w:pPr>
          <w:hyperlink w:anchor="_Toc88056534" w:history="1">
            <w:r w:rsidR="007137FF" w:rsidRPr="00381519">
              <w:rPr>
                <w:rStyle w:val="Lienhypertexte"/>
                <w:noProof/>
              </w:rPr>
              <w:t>Tests de validation du modèle</w:t>
            </w:r>
            <w:r w:rsidR="007137FF">
              <w:rPr>
                <w:noProof/>
                <w:webHidden/>
              </w:rPr>
              <w:tab/>
            </w:r>
            <w:r w:rsidR="007137FF">
              <w:rPr>
                <w:noProof/>
                <w:webHidden/>
              </w:rPr>
              <w:fldChar w:fldCharType="begin"/>
            </w:r>
            <w:r w:rsidR="007137FF">
              <w:rPr>
                <w:noProof/>
                <w:webHidden/>
              </w:rPr>
              <w:instrText xml:space="preserve"> PAGEREF _Toc88056534 \h </w:instrText>
            </w:r>
            <w:r w:rsidR="007137FF">
              <w:rPr>
                <w:noProof/>
                <w:webHidden/>
              </w:rPr>
            </w:r>
            <w:r w:rsidR="007137FF">
              <w:rPr>
                <w:noProof/>
                <w:webHidden/>
              </w:rPr>
              <w:fldChar w:fldCharType="separate"/>
            </w:r>
            <w:r w:rsidR="007137FF">
              <w:rPr>
                <w:noProof/>
                <w:webHidden/>
              </w:rPr>
              <w:t>6</w:t>
            </w:r>
            <w:r w:rsidR="007137FF">
              <w:rPr>
                <w:noProof/>
                <w:webHidden/>
              </w:rPr>
              <w:fldChar w:fldCharType="end"/>
            </w:r>
          </w:hyperlink>
        </w:p>
        <w:p w14:paraId="0EAAA3A2" w14:textId="433FAB3A" w:rsidR="007137FF" w:rsidRDefault="00875849">
          <w:pPr>
            <w:pStyle w:val="TM1"/>
            <w:tabs>
              <w:tab w:val="right" w:leader="dot" w:pos="8630"/>
            </w:tabs>
            <w:rPr>
              <w:rFonts w:eastAsiaTheme="minorEastAsia" w:cstheme="minorBidi"/>
              <w:b w:val="0"/>
              <w:bCs w:val="0"/>
              <w:i w:val="0"/>
              <w:iCs w:val="0"/>
              <w:noProof/>
              <w:sz w:val="22"/>
              <w:szCs w:val="22"/>
              <w:lang w:val="fr-CA" w:eastAsia="fr-CA"/>
            </w:rPr>
          </w:pPr>
          <w:hyperlink w:anchor="_Toc88056535" w:history="1">
            <w:r w:rsidR="007137FF" w:rsidRPr="00381519">
              <w:rPr>
                <w:rStyle w:val="Lienhypertexte"/>
                <w:noProof/>
              </w:rPr>
              <w:t>Section 2 – Tableau pour la phase d’accumulation pendant la carrière active</w:t>
            </w:r>
            <w:r w:rsidR="007137FF">
              <w:rPr>
                <w:noProof/>
                <w:webHidden/>
              </w:rPr>
              <w:tab/>
            </w:r>
            <w:r w:rsidR="007137FF">
              <w:rPr>
                <w:noProof/>
                <w:webHidden/>
              </w:rPr>
              <w:fldChar w:fldCharType="begin"/>
            </w:r>
            <w:r w:rsidR="007137FF">
              <w:rPr>
                <w:noProof/>
                <w:webHidden/>
              </w:rPr>
              <w:instrText xml:space="preserve"> PAGEREF _Toc88056535 \h </w:instrText>
            </w:r>
            <w:r w:rsidR="007137FF">
              <w:rPr>
                <w:noProof/>
                <w:webHidden/>
              </w:rPr>
            </w:r>
            <w:r w:rsidR="007137FF">
              <w:rPr>
                <w:noProof/>
                <w:webHidden/>
              </w:rPr>
              <w:fldChar w:fldCharType="separate"/>
            </w:r>
            <w:r w:rsidR="007137FF">
              <w:rPr>
                <w:noProof/>
                <w:webHidden/>
              </w:rPr>
              <w:t>22</w:t>
            </w:r>
            <w:r w:rsidR="007137FF">
              <w:rPr>
                <w:noProof/>
                <w:webHidden/>
              </w:rPr>
              <w:fldChar w:fldCharType="end"/>
            </w:r>
          </w:hyperlink>
        </w:p>
        <w:p w14:paraId="4354469B" w14:textId="0541D912" w:rsidR="007137FF" w:rsidRDefault="00875849">
          <w:pPr>
            <w:pStyle w:val="TM1"/>
            <w:tabs>
              <w:tab w:val="right" w:leader="dot" w:pos="8630"/>
            </w:tabs>
            <w:rPr>
              <w:rFonts w:eastAsiaTheme="minorEastAsia" w:cstheme="minorBidi"/>
              <w:b w:val="0"/>
              <w:bCs w:val="0"/>
              <w:i w:val="0"/>
              <w:iCs w:val="0"/>
              <w:noProof/>
              <w:sz w:val="22"/>
              <w:szCs w:val="22"/>
              <w:lang w:val="fr-CA" w:eastAsia="fr-CA"/>
            </w:rPr>
          </w:pPr>
          <w:hyperlink w:anchor="_Toc88056536" w:history="1">
            <w:r w:rsidR="007137FF" w:rsidRPr="00381519">
              <w:rPr>
                <w:rStyle w:val="Lienhypertexte"/>
                <w:noProof/>
              </w:rPr>
              <w:t>Section 3 – Établissement des paiements espérés pour le participant fictif</w:t>
            </w:r>
            <w:r w:rsidR="007137FF">
              <w:rPr>
                <w:noProof/>
                <w:webHidden/>
              </w:rPr>
              <w:tab/>
            </w:r>
            <w:r w:rsidR="007137FF">
              <w:rPr>
                <w:noProof/>
                <w:webHidden/>
              </w:rPr>
              <w:fldChar w:fldCharType="begin"/>
            </w:r>
            <w:r w:rsidR="007137FF">
              <w:rPr>
                <w:noProof/>
                <w:webHidden/>
              </w:rPr>
              <w:instrText xml:space="preserve"> PAGEREF _Toc88056536 \h </w:instrText>
            </w:r>
            <w:r w:rsidR="007137FF">
              <w:rPr>
                <w:noProof/>
                <w:webHidden/>
              </w:rPr>
            </w:r>
            <w:r w:rsidR="007137FF">
              <w:rPr>
                <w:noProof/>
                <w:webHidden/>
              </w:rPr>
              <w:fldChar w:fldCharType="separate"/>
            </w:r>
            <w:r w:rsidR="007137FF">
              <w:rPr>
                <w:noProof/>
                <w:webHidden/>
              </w:rPr>
              <w:t>28</w:t>
            </w:r>
            <w:r w:rsidR="007137FF">
              <w:rPr>
                <w:noProof/>
                <w:webHidden/>
              </w:rPr>
              <w:fldChar w:fldCharType="end"/>
            </w:r>
          </w:hyperlink>
        </w:p>
        <w:p w14:paraId="13259076" w14:textId="5C377286" w:rsidR="007137FF" w:rsidRDefault="00875849">
          <w:pPr>
            <w:pStyle w:val="TM1"/>
            <w:tabs>
              <w:tab w:val="right" w:leader="dot" w:pos="8630"/>
            </w:tabs>
            <w:rPr>
              <w:rFonts w:eastAsiaTheme="minorEastAsia" w:cstheme="minorBidi"/>
              <w:b w:val="0"/>
              <w:bCs w:val="0"/>
              <w:i w:val="0"/>
              <w:iCs w:val="0"/>
              <w:noProof/>
              <w:sz w:val="22"/>
              <w:szCs w:val="22"/>
              <w:lang w:val="fr-CA" w:eastAsia="fr-CA"/>
            </w:rPr>
          </w:pPr>
          <w:hyperlink w:anchor="_Toc88056537" w:history="1">
            <w:r w:rsidR="007137FF" w:rsidRPr="00381519">
              <w:rPr>
                <w:rStyle w:val="Lienhypertexte"/>
                <w:noProof/>
              </w:rPr>
              <w:t>Section 4 – Établissement du coût nivelé du régime selon une approche déterministe</w:t>
            </w:r>
            <w:r w:rsidR="007137FF">
              <w:rPr>
                <w:noProof/>
                <w:webHidden/>
              </w:rPr>
              <w:tab/>
            </w:r>
            <w:r w:rsidR="007137FF">
              <w:rPr>
                <w:noProof/>
                <w:webHidden/>
              </w:rPr>
              <w:fldChar w:fldCharType="begin"/>
            </w:r>
            <w:r w:rsidR="007137FF">
              <w:rPr>
                <w:noProof/>
                <w:webHidden/>
              </w:rPr>
              <w:instrText xml:space="preserve"> PAGEREF _Toc88056537 \h </w:instrText>
            </w:r>
            <w:r w:rsidR="007137FF">
              <w:rPr>
                <w:noProof/>
                <w:webHidden/>
              </w:rPr>
            </w:r>
            <w:r w:rsidR="007137FF">
              <w:rPr>
                <w:noProof/>
                <w:webHidden/>
              </w:rPr>
              <w:fldChar w:fldCharType="separate"/>
            </w:r>
            <w:r w:rsidR="007137FF">
              <w:rPr>
                <w:noProof/>
                <w:webHidden/>
              </w:rPr>
              <w:t>29</w:t>
            </w:r>
            <w:r w:rsidR="007137FF">
              <w:rPr>
                <w:noProof/>
                <w:webHidden/>
              </w:rPr>
              <w:fldChar w:fldCharType="end"/>
            </w:r>
          </w:hyperlink>
        </w:p>
        <w:p w14:paraId="2323C4C7" w14:textId="54842778" w:rsidR="007137FF" w:rsidRDefault="00875849">
          <w:pPr>
            <w:pStyle w:val="TM1"/>
            <w:tabs>
              <w:tab w:val="right" w:leader="dot" w:pos="8630"/>
            </w:tabs>
            <w:rPr>
              <w:rFonts w:eastAsiaTheme="minorEastAsia" w:cstheme="minorBidi"/>
              <w:b w:val="0"/>
              <w:bCs w:val="0"/>
              <w:i w:val="0"/>
              <w:iCs w:val="0"/>
              <w:noProof/>
              <w:sz w:val="22"/>
              <w:szCs w:val="22"/>
              <w:lang w:val="fr-CA" w:eastAsia="fr-CA"/>
            </w:rPr>
          </w:pPr>
          <w:hyperlink w:anchor="_Toc88056538" w:history="1">
            <w:r w:rsidR="007137FF" w:rsidRPr="00381519">
              <w:rPr>
                <w:rStyle w:val="Lienhypertexte"/>
                <w:noProof/>
              </w:rPr>
              <w:t>Section 5 – Estimation de la valeur de diverses formules d’indexation, approche stochasitique</w:t>
            </w:r>
            <w:r w:rsidR="007137FF">
              <w:rPr>
                <w:noProof/>
                <w:webHidden/>
              </w:rPr>
              <w:tab/>
            </w:r>
            <w:r w:rsidR="007137FF">
              <w:rPr>
                <w:noProof/>
                <w:webHidden/>
              </w:rPr>
              <w:fldChar w:fldCharType="begin"/>
            </w:r>
            <w:r w:rsidR="007137FF">
              <w:rPr>
                <w:noProof/>
                <w:webHidden/>
              </w:rPr>
              <w:instrText xml:space="preserve"> PAGEREF _Toc88056538 \h </w:instrText>
            </w:r>
            <w:r w:rsidR="007137FF">
              <w:rPr>
                <w:noProof/>
                <w:webHidden/>
              </w:rPr>
            </w:r>
            <w:r w:rsidR="007137FF">
              <w:rPr>
                <w:noProof/>
                <w:webHidden/>
              </w:rPr>
              <w:fldChar w:fldCharType="separate"/>
            </w:r>
            <w:r w:rsidR="007137FF">
              <w:rPr>
                <w:noProof/>
                <w:webHidden/>
              </w:rPr>
              <w:t>31</w:t>
            </w:r>
            <w:r w:rsidR="007137FF">
              <w:rPr>
                <w:noProof/>
                <w:webHidden/>
              </w:rPr>
              <w:fldChar w:fldCharType="end"/>
            </w:r>
          </w:hyperlink>
        </w:p>
        <w:p w14:paraId="0E7D9F26" w14:textId="2E40CBD4"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056530"/>
      <w:r w:rsidRPr="00CF4750">
        <w:rPr>
          <w:rFonts w:cs="Times New Roman"/>
        </w:rPr>
        <w:lastRenderedPageBreak/>
        <w:t>Faits saillants</w:t>
      </w:r>
      <w:bookmarkEnd w:id="0"/>
    </w:p>
    <w:p w14:paraId="035A6C61" w14:textId="4B4E3214" w:rsidR="00CF4750" w:rsidRDefault="00AB21CC" w:rsidP="002E1981">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77BB2A1F" w14:textId="1ED39756" w:rsidR="00CF4750"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leur CÉLI. </w:t>
      </w:r>
      <w:r w:rsidR="00B94FBF">
        <w:t xml:space="preserve">À ce sujet, la composition de votre groupe d’employé aura un grand impact sur les coûts de votre régime. À titre indicatif, si vous groupe se compose principalement d’hommes ayant une conjointe dont l’âge est 8 ans inférieure à celle de son mari, il vous en coûtera près de 15 % de plus que si votre groupe était composé d’hommes célibataires. </w:t>
      </w:r>
    </w:p>
    <w:p w14:paraId="36619349" w14:textId="2575A750"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p>
    <w:p w14:paraId="7BB1F6B7" w14:textId="77777777" w:rsidR="00016F12" w:rsidRDefault="00B94FBF" w:rsidP="00016F12">
      <w:r>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3D6C9515" w14:textId="437C1B84" w:rsidR="00016F12" w:rsidRPr="00016F12" w:rsidRDefault="00016F12" w:rsidP="00016F12">
      <w:pPr>
        <w:sectPr w:rsidR="00016F12" w:rsidRPr="00016F12" w:rsidSect="007137FF">
          <w:pgSz w:w="12240" w:h="15840"/>
          <w:pgMar w:top="1440" w:right="1800" w:bottom="1440" w:left="1800" w:header="708" w:footer="708" w:gutter="0"/>
          <w:pgNumType w:fmt="lowerRoman" w:start="3"/>
          <w:cols w:space="708"/>
          <w:titlePg/>
          <w:docGrid w:linePitch="360"/>
        </w:sectPr>
      </w:pPr>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w:t>
      </w:r>
      <w:r>
        <w:lastRenderedPageBreak/>
        <w:t xml:space="preserve">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 Ce n’a pas toujours été le cas. D’ailleurs, nos simulations du futur nous indiquent que … (AJOUTER SECTION STOCHASTIQUE)</w:t>
      </w:r>
    </w:p>
    <w:p w14:paraId="42D33C81" w14:textId="38BCC8B5" w:rsidR="00CF4750" w:rsidRDefault="00CF4750" w:rsidP="00CF4750">
      <w:pPr>
        <w:pStyle w:val="Titre1"/>
      </w:pPr>
      <w:bookmarkStart w:id="1" w:name="_Toc88056531"/>
      <w:r>
        <w:lastRenderedPageBreak/>
        <w:t>Introduction</w:t>
      </w:r>
      <w:bookmarkEnd w:id="1"/>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056532"/>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056533"/>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0560CDCA"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694EF6">
        <w:rPr>
          <w:rStyle w:val="Appelnotedebasdep"/>
        </w:rPr>
        <w:footnoteReference w:id="1"/>
      </w:r>
      <w:r w:rsidR="00694EF6">
        <w:t>.</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DE511E">
        <w:rPr>
          <w:i/>
          <w:iCs/>
        </w:rPr>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056534"/>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FCC8656"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se valider qu’en comparant avec la valeur de Labora2. Avec un écart de 0%, nous pouvons assumer que la calibration pour ce modèle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5E48904C" w:rsidR="005F788A" w:rsidRDefault="005F788A" w:rsidP="005F788A">
      <w:pPr>
        <w:pStyle w:val="Paragraphedeliste"/>
        <w:numPr>
          <w:ilvl w:val="1"/>
          <w:numId w:val="1"/>
        </w:numPr>
      </w:pPr>
      <w:r w:rsidRPr="005F788A">
        <w:rPr>
          <w:i/>
          <w:iCs/>
        </w:rPr>
        <w:t>Rente</w:t>
      </w:r>
      <w:r>
        <w:t> : Viagère de 1$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6E7619"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p>
    <w:p w14:paraId="12156521" w14:textId="2A503097"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69EA5235" w:rsidR="005F788A" w:rsidRDefault="005F788A" w:rsidP="005F788A">
      <w:pPr>
        <w:pStyle w:val="Paragraphedeliste"/>
        <w:numPr>
          <w:ilvl w:val="1"/>
          <w:numId w:val="1"/>
        </w:numPr>
      </w:pPr>
      <w:r w:rsidRPr="005F788A">
        <w:rPr>
          <w:i/>
          <w:iCs/>
        </w:rPr>
        <w:t>Rente</w:t>
      </w:r>
      <w:r>
        <w:t> : Viagère de 1$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1644767F" w:rsidR="005F788A" w:rsidRDefault="005F788A" w:rsidP="005F788A">
      <w:pPr>
        <w:pStyle w:val="Paragraphedeliste"/>
        <w:numPr>
          <w:ilvl w:val="1"/>
          <w:numId w:val="1"/>
        </w:numPr>
      </w:pPr>
      <w:r w:rsidRPr="005F788A">
        <w:rPr>
          <w:i/>
          <w:iCs/>
        </w:rPr>
        <w:t>Taux d’actualisation</w:t>
      </w:r>
      <w:r>
        <w:t> : Constant</w:t>
      </w:r>
      <w:r w:rsidR="00A94309">
        <w:t xml:space="preserve"> à 5,1%</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35DB64F2"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d’actualisation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5D873A5E" w:rsidR="00FB4105" w:rsidRDefault="00FB4105" w:rsidP="00FB4105">
      <w:pPr>
        <w:pStyle w:val="Paragraphedeliste"/>
        <w:numPr>
          <w:ilvl w:val="1"/>
          <w:numId w:val="1"/>
        </w:numPr>
      </w:pPr>
      <w:r w:rsidRPr="005F788A">
        <w:rPr>
          <w:i/>
          <w:iCs/>
        </w:rPr>
        <w:t>Rente</w:t>
      </w:r>
      <w:r>
        <w:t> : Viagère de 1$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65A716AF" w:rsidR="00FB4105" w:rsidRDefault="00FB4105" w:rsidP="00FB4105">
      <w:pPr>
        <w:pStyle w:val="Paragraphedeliste"/>
        <w:numPr>
          <w:ilvl w:val="1"/>
          <w:numId w:val="1"/>
        </w:numPr>
      </w:pPr>
      <w:r w:rsidRPr="005F788A">
        <w:rPr>
          <w:i/>
          <w:iCs/>
        </w:rPr>
        <w:t>Taux d’actualisation</w:t>
      </w:r>
      <w:r>
        <w:t> : Constant</w:t>
      </w:r>
      <w:r w:rsidR="00A94309">
        <w:t xml:space="preserve"> à 5,1%</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631FC84B"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d’actualisation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6C9C8FF7" w:rsidR="00FB4105" w:rsidRDefault="00FB4105" w:rsidP="00FB4105">
      <w:pPr>
        <w:pStyle w:val="Paragraphedeliste"/>
        <w:numPr>
          <w:ilvl w:val="1"/>
          <w:numId w:val="1"/>
        </w:numPr>
      </w:pPr>
      <w:r w:rsidRPr="005F788A">
        <w:rPr>
          <w:i/>
          <w:iCs/>
        </w:rPr>
        <w:t>Rente</w:t>
      </w:r>
      <w:r>
        <w:t> : Viagère de 1$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6385DDF7"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086110F9" w:rsidR="00FB4105" w:rsidRDefault="00FB4105" w:rsidP="00FB4105">
      <w:pPr>
        <w:pStyle w:val="Paragraphedeliste"/>
        <w:numPr>
          <w:ilvl w:val="1"/>
          <w:numId w:val="1"/>
        </w:numPr>
      </w:pPr>
      <w:r w:rsidRPr="005F788A">
        <w:rPr>
          <w:i/>
          <w:iCs/>
        </w:rPr>
        <w:lastRenderedPageBreak/>
        <w:t>Rente</w:t>
      </w:r>
      <w:r>
        <w:t> : Viagère de 1$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7A498FF7"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 xml:space="preserve">L’écart de 0 % entre la valeur obtenue avec notre modèle et la valeur obtenue avec Labora2 confirme la validité de ce test. D’un point de vue logique, il est difficile de valider ce résultat, car les tables ne sont pas parfaitement corrélées entre-elles.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7DED22AA"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t xml:space="preserve"> de 1$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277D9892"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947792F"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153899">
        <w:rPr>
          <w:b/>
          <w:bCs/>
        </w:rPr>
        <w:t>réversion au conjoint à 60%</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01E2B599"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5D57CA" w:rsidR="00153899" w:rsidRDefault="00153899" w:rsidP="00153899">
      <w:pPr>
        <w:pStyle w:val="Paragraphedeliste"/>
        <w:numPr>
          <w:ilvl w:val="1"/>
          <w:numId w:val="1"/>
        </w:numPr>
      </w:pPr>
      <w:r w:rsidRPr="005F788A">
        <w:rPr>
          <w:i/>
          <w:iCs/>
        </w:rPr>
        <w:lastRenderedPageBreak/>
        <w:t>Rente</w:t>
      </w:r>
      <w:r>
        <w:t xml:space="preserve"> : Viagère de 1$ par année, payable 1 fois par année, avec </w:t>
      </w:r>
      <w:r w:rsidRPr="00153899">
        <w:rPr>
          <w:b/>
          <w:bCs/>
        </w:rPr>
        <w:t>réversion au conjoint à 60%</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265014B4" w:rsidR="00153899" w:rsidRDefault="00153899" w:rsidP="00153899">
      <w:pPr>
        <w:pStyle w:val="Paragraphedeliste"/>
        <w:numPr>
          <w:ilvl w:val="1"/>
          <w:numId w:val="1"/>
        </w:numPr>
      </w:pPr>
      <w:r w:rsidRPr="005F788A">
        <w:rPr>
          <w:i/>
          <w:iCs/>
        </w:rPr>
        <w:t>Rente</w:t>
      </w:r>
      <w:r>
        <w:t xml:space="preserve"> : Viagère de 1$ par année, payable 1 fois par année, avec </w:t>
      </w:r>
      <w:r w:rsidRPr="00A94309">
        <w:t>réversion au conjoint à 60%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1EC1809"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xml:space="preserve">% les 5 premières années, 4,6%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5808FED7"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 xml:space="preserve">En plus d’avoir un écart de 0%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2B295E0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189DCB0E"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72ED869A" w:rsidR="00A94309" w:rsidRDefault="00A94309" w:rsidP="00A94309">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7733F222" w:rsidR="00A94309" w:rsidRDefault="00A94309" w:rsidP="00A94309">
      <w:pPr>
        <w:pStyle w:val="Paragraphedeliste"/>
        <w:numPr>
          <w:ilvl w:val="1"/>
          <w:numId w:val="1"/>
        </w:numPr>
      </w:pPr>
      <w:r w:rsidRPr="005F788A">
        <w:rPr>
          <w:i/>
          <w:iCs/>
        </w:rPr>
        <w:t>Rente</w:t>
      </w:r>
      <w:r>
        <w:t xml:space="preserve"> : Viagère de 1$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0F55267B"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02B989CD"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6959EDF3"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F2DBD7D" w:rsidR="00A00B7F" w:rsidRDefault="00A00B7F" w:rsidP="00A00B7F">
      <w:pPr>
        <w:pStyle w:val="Paragraphedeliste"/>
        <w:numPr>
          <w:ilvl w:val="1"/>
          <w:numId w:val="1"/>
        </w:numPr>
      </w:pPr>
      <w:r w:rsidRPr="005F788A">
        <w:rPr>
          <w:i/>
          <w:iCs/>
        </w:rPr>
        <w:t>Rente</w:t>
      </w:r>
      <w:r>
        <w:t xml:space="preserve"> : Viagère de 1$ par année, payable </w:t>
      </w:r>
      <w:r w:rsidRPr="00A94309">
        <w:rPr>
          <w:b/>
          <w:bCs/>
        </w:rPr>
        <w:t>12</w:t>
      </w:r>
      <w:r>
        <w:t xml:space="preserve"> fois par année, avec </w:t>
      </w:r>
      <w:r w:rsidRPr="00A94309">
        <w:t xml:space="preserve">réversion au conjoint à 60%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2D9783" w:rsidR="00F75688" w:rsidRDefault="00F75688" w:rsidP="00F75688">
      <w:pPr>
        <w:pStyle w:val="Paragraphedeliste"/>
        <w:numPr>
          <w:ilvl w:val="1"/>
          <w:numId w:val="1"/>
        </w:numPr>
      </w:pPr>
      <w:r w:rsidRPr="005F788A">
        <w:rPr>
          <w:i/>
          <w:iCs/>
        </w:rPr>
        <w:lastRenderedPageBreak/>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4B36657A"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2F0C0866"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1F358A39" w:rsidR="00A00B7F" w:rsidRDefault="00A00B7F" w:rsidP="00A00B7F">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1549D465" w:rsidR="00497543" w:rsidRDefault="00497543" w:rsidP="00497543">
      <w:pPr>
        <w:pStyle w:val="Paragraphedeliste"/>
        <w:numPr>
          <w:ilvl w:val="1"/>
          <w:numId w:val="1"/>
        </w:numPr>
      </w:pPr>
      <w:r w:rsidRPr="005F788A">
        <w:rPr>
          <w:i/>
          <w:iCs/>
        </w:rPr>
        <w:t>Rente</w:t>
      </w:r>
      <w:r>
        <w:t xml:space="preserve"> : Viagère de 1$ par année, payable </w:t>
      </w:r>
      <w:r w:rsidRPr="00A00B7F">
        <w:t>12</w:t>
      </w:r>
      <w:r>
        <w:t xml:space="preserve"> fois par année, avec </w:t>
      </w:r>
      <w:r w:rsidRPr="00A94309">
        <w:t xml:space="preserve">réversion au conjoint à 60%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1F801736" w:rsidR="00141C40" w:rsidRDefault="00141C40" w:rsidP="00AE3E47">
      <w:pPr>
        <w:pStyle w:val="Paragraphedeliste"/>
        <w:numPr>
          <w:ilvl w:val="0"/>
          <w:numId w:val="8"/>
        </w:numPr>
      </w:pPr>
      <w:r>
        <w:t xml:space="preserve">La table de mortalité utilisée, l’échelle d’amélioration de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056535"/>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311272E1" w:rsidR="00A958C2" w:rsidRDefault="005A0D74" w:rsidP="005A0D74">
      <w:pPr>
        <w:ind w:left="60"/>
      </w:pPr>
      <w:r>
        <w:t>le solde accumulé avec intérêts des cotisations totales à la fin de l’année</w:t>
      </w:r>
    </w:p>
    <w:p w14:paraId="053B1D4D" w14:textId="4264274B" w:rsidR="005A0D74" w:rsidRDefault="005A0D74" w:rsidP="005A0D74">
      <w:pPr>
        <w:ind w:left="60"/>
      </w:pPr>
    </w:p>
    <w:p w14:paraId="15AD2ECC" w14:textId="1283114E" w:rsidR="005A0D74" w:rsidRDefault="005A0D74" w:rsidP="005A0D74">
      <w:pPr>
        <w:ind w:firstLine="420"/>
      </w:pPr>
      <w:r>
        <w:t xml:space="preserve">Ce qui distingue les trois versions sont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 Dans la deuxième, la cotisation salariale est la même que dans la première, mais celle patronale est déterminée pour financer les prestations d’une rente non indexée. Pour la troisième, nous augmentons la </w:t>
      </w:r>
      <w:r>
        <w:lastRenderedPageBreak/>
        <w:t xml:space="preserve">cotisation salariale à 6% en plus d’avoir une cotisation patronale déterminée pour financer une rente pleinement indexée. </w:t>
      </w:r>
    </w:p>
    <w:p w14:paraId="79349FD4" w14:textId="72E49241" w:rsidR="000F0AEF" w:rsidRDefault="000F0AEF" w:rsidP="005A0D74">
      <w:pPr>
        <w:ind w:firstLine="420"/>
      </w:pPr>
    </w:p>
    <w:p w14:paraId="1E324FAB" w14:textId="2428FF9E"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77777777" w:rsidR="008A2676" w:rsidRDefault="00DC0A7D" w:rsidP="00DC0A7D">
      <w:pPr>
        <w:ind w:firstLine="420"/>
      </w:pPr>
      <w:r>
        <w:t xml:space="preserve">Pour leur part, les intérêts sur les cotisations de l’année ont été </w:t>
      </w:r>
      <w:r w:rsidR="008A2676">
        <w:t>selon des cotisations versées à la fin de chaque mois avec une hypothèse d’intérêt simple. L’intérêt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0D956C60"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de 591 560 $ supplémentaires.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056536"/>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1EEB4C00"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 xml:space="preserve">la valeur actualisée d’une rente de 1$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7311CD2D" w:rsidR="006A5674" w:rsidRPr="006A5674" w:rsidRDefault="006A5674" w:rsidP="006A5674">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D05C623" w14:textId="0CF92AF7" w:rsidR="006A5674" w:rsidRPr="006A5674" w:rsidRDefault="006A5674" w:rsidP="006A5674">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518F0641" w14:textId="4DF203B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76EFC7C6" w14:textId="5884A5D2"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7CFE0CD" w14:textId="73DA412D" w:rsidR="006A5674" w:rsidRPr="006A5674" w:rsidRDefault="006A5674" w:rsidP="006A5674">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CF00BA4" w14:textId="17035E07" w:rsidR="006A5674" w:rsidRPr="006A5674" w:rsidRDefault="006A5674" w:rsidP="006A5674">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FFB4D07" w14:textId="773ADDA0" w:rsidR="006A5674" w:rsidRPr="006A5674" w:rsidRDefault="006A5674" w:rsidP="006A5674">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36C6ACBB" w14:textId="28552DF9" w:rsidR="006A5674" w:rsidRPr="006A5674" w:rsidRDefault="006A5674" w:rsidP="006A5674">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DD5BB2" w14:textId="66D18431" w:rsidR="006A5674" w:rsidRPr="006A5674" w:rsidRDefault="006A5674" w:rsidP="006A5674">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0D13ACBC" w14:textId="0EC94ABC" w:rsidR="006A5674" w:rsidRPr="006A5674" w:rsidRDefault="006A5674" w:rsidP="006A5674">
            <w:pPr>
              <w:spacing w:line="240" w:lineRule="auto"/>
              <w:jc w:val="center"/>
              <w:rPr>
                <w:sz w:val="16"/>
                <w:szCs w:val="16"/>
              </w:rPr>
            </w:pPr>
            <w:r w:rsidRPr="006A5674">
              <w:rPr>
                <w:sz w:val="16"/>
                <w:szCs w:val="16"/>
              </w:rPr>
              <w:t>5.60%</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58CA713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p>
        </w:tc>
        <w:tc>
          <w:tcPr>
            <w:tcW w:w="808" w:type="dxa"/>
            <w:tcBorders>
              <w:top w:val="single" w:sz="4" w:space="0" w:color="auto"/>
              <w:left w:val="single" w:sz="4" w:space="0" w:color="auto"/>
              <w:bottom w:val="single" w:sz="4" w:space="0" w:color="auto"/>
              <w:right w:val="single" w:sz="4" w:space="0" w:color="auto"/>
            </w:tcBorders>
            <w:noWrap/>
          </w:tcPr>
          <w:p w14:paraId="4F17F837" w14:textId="6966074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p>
        </w:tc>
        <w:tc>
          <w:tcPr>
            <w:tcW w:w="808" w:type="dxa"/>
            <w:tcBorders>
              <w:top w:val="single" w:sz="4" w:space="0" w:color="auto"/>
              <w:left w:val="single" w:sz="4" w:space="0" w:color="auto"/>
              <w:bottom w:val="single" w:sz="4" w:space="0" w:color="auto"/>
              <w:right w:val="single" w:sz="4" w:space="0" w:color="auto"/>
            </w:tcBorders>
            <w:noWrap/>
          </w:tcPr>
          <w:p w14:paraId="659A4433" w14:textId="0A32D0E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6A3739C8" w14:textId="5A8586D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p>
        </w:tc>
        <w:tc>
          <w:tcPr>
            <w:tcW w:w="808" w:type="dxa"/>
            <w:tcBorders>
              <w:top w:val="single" w:sz="4" w:space="0" w:color="auto"/>
              <w:left w:val="single" w:sz="4" w:space="0" w:color="auto"/>
              <w:bottom w:val="single" w:sz="4" w:space="0" w:color="auto"/>
              <w:right w:val="single" w:sz="4" w:space="0" w:color="auto"/>
            </w:tcBorders>
            <w:noWrap/>
          </w:tcPr>
          <w:p w14:paraId="63B0A504" w14:textId="4F9293D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p>
        </w:tc>
        <w:tc>
          <w:tcPr>
            <w:tcW w:w="808" w:type="dxa"/>
            <w:tcBorders>
              <w:top w:val="single" w:sz="4" w:space="0" w:color="auto"/>
              <w:left w:val="single" w:sz="4" w:space="0" w:color="auto"/>
              <w:bottom w:val="single" w:sz="4" w:space="0" w:color="auto"/>
              <w:right w:val="single" w:sz="4" w:space="0" w:color="auto"/>
            </w:tcBorders>
            <w:noWrap/>
          </w:tcPr>
          <w:p w14:paraId="0AB771DC" w14:textId="453D64C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p>
        </w:tc>
        <w:tc>
          <w:tcPr>
            <w:tcW w:w="808" w:type="dxa"/>
            <w:tcBorders>
              <w:top w:val="single" w:sz="4" w:space="0" w:color="auto"/>
              <w:left w:val="single" w:sz="4" w:space="0" w:color="auto"/>
              <w:bottom w:val="single" w:sz="4" w:space="0" w:color="auto"/>
              <w:right w:val="single" w:sz="4" w:space="0" w:color="auto"/>
            </w:tcBorders>
            <w:noWrap/>
          </w:tcPr>
          <w:p w14:paraId="3A97AB83" w14:textId="5F4F4A48"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p>
        </w:tc>
        <w:tc>
          <w:tcPr>
            <w:tcW w:w="808" w:type="dxa"/>
            <w:tcBorders>
              <w:top w:val="single" w:sz="4" w:space="0" w:color="auto"/>
              <w:left w:val="single" w:sz="4" w:space="0" w:color="auto"/>
              <w:bottom w:val="single" w:sz="4" w:space="0" w:color="auto"/>
              <w:right w:val="single" w:sz="4" w:space="0" w:color="auto"/>
            </w:tcBorders>
            <w:noWrap/>
          </w:tcPr>
          <w:p w14:paraId="679B88F8" w14:textId="7FE183E5"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p>
        </w:tc>
        <w:tc>
          <w:tcPr>
            <w:tcW w:w="808" w:type="dxa"/>
            <w:tcBorders>
              <w:top w:val="single" w:sz="4" w:space="0" w:color="auto"/>
              <w:left w:val="single" w:sz="4" w:space="0" w:color="auto"/>
              <w:bottom w:val="single" w:sz="4" w:space="0" w:color="auto"/>
              <w:right w:val="single" w:sz="4" w:space="0" w:color="auto"/>
            </w:tcBorders>
            <w:noWrap/>
          </w:tcPr>
          <w:p w14:paraId="54E27DC4" w14:textId="098DDCE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p>
        </w:tc>
        <w:tc>
          <w:tcPr>
            <w:tcW w:w="808" w:type="dxa"/>
            <w:tcBorders>
              <w:top w:val="single" w:sz="4" w:space="0" w:color="auto"/>
              <w:left w:val="single" w:sz="4" w:space="0" w:color="auto"/>
              <w:bottom w:val="single" w:sz="4" w:space="0" w:color="auto"/>
              <w:right w:val="single" w:sz="4" w:space="0" w:color="auto"/>
            </w:tcBorders>
            <w:noWrap/>
          </w:tcPr>
          <w:p w14:paraId="0FFFA2B8" w14:textId="2261704D"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p>
        </w:tc>
      </w:tr>
    </w:tbl>
    <w:p w14:paraId="20FBE018" w14:textId="1C5B291D" w:rsidR="008513D3" w:rsidRDefault="008513D3" w:rsidP="008513D3">
      <w:pPr>
        <w:spacing w:line="240" w:lineRule="auto"/>
        <w:jc w:val="left"/>
      </w:pPr>
      <w:r>
        <w:lastRenderedPageBreak/>
        <w:t>Avec pleine indexation (2%)</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7777777" w:rsidR="008513D3" w:rsidRPr="006A5674" w:rsidRDefault="008513D3"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2EC8A241" w14:textId="77777777" w:rsidR="008513D3" w:rsidRPr="006A5674" w:rsidRDefault="008513D3"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6205629D"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A51A6C"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FF35E99" w14:textId="77777777" w:rsidR="008513D3" w:rsidRPr="006A5674" w:rsidRDefault="008513D3"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66810AB7" w14:textId="77777777" w:rsidR="008513D3" w:rsidRPr="006A5674" w:rsidRDefault="008513D3"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7F85077C" w14:textId="77777777" w:rsidR="008513D3" w:rsidRPr="006A5674" w:rsidRDefault="008513D3"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2D7D2DAA" w14:textId="77777777" w:rsidR="008513D3" w:rsidRPr="006A5674" w:rsidRDefault="008513D3"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364D91EC" w14:textId="77777777" w:rsidR="008513D3" w:rsidRPr="006A5674" w:rsidRDefault="008513D3"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58E3E94B" w14:textId="77777777" w:rsidR="008513D3" w:rsidRPr="006A5674" w:rsidRDefault="008513D3" w:rsidP="00823A3B">
            <w:pPr>
              <w:spacing w:line="240" w:lineRule="auto"/>
              <w:jc w:val="center"/>
              <w:rPr>
                <w:sz w:val="16"/>
                <w:szCs w:val="16"/>
              </w:rPr>
            </w:pPr>
            <w:r w:rsidRPr="006A5674">
              <w:rPr>
                <w:sz w:val="16"/>
                <w:szCs w:val="16"/>
              </w:rPr>
              <w:t>5.60%</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764A5A5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p>
        </w:tc>
        <w:tc>
          <w:tcPr>
            <w:tcW w:w="808" w:type="dxa"/>
            <w:tcBorders>
              <w:top w:val="single" w:sz="4" w:space="0" w:color="auto"/>
              <w:left w:val="single" w:sz="4" w:space="0" w:color="auto"/>
              <w:bottom w:val="single" w:sz="4" w:space="0" w:color="auto"/>
              <w:right w:val="single" w:sz="4" w:space="0" w:color="auto"/>
            </w:tcBorders>
            <w:noWrap/>
          </w:tcPr>
          <w:p w14:paraId="07374909" w14:textId="3346E7F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p>
        </w:tc>
        <w:tc>
          <w:tcPr>
            <w:tcW w:w="808" w:type="dxa"/>
            <w:tcBorders>
              <w:top w:val="single" w:sz="4" w:space="0" w:color="auto"/>
              <w:left w:val="single" w:sz="4" w:space="0" w:color="auto"/>
              <w:bottom w:val="single" w:sz="4" w:space="0" w:color="auto"/>
              <w:right w:val="single" w:sz="4" w:space="0" w:color="auto"/>
            </w:tcBorders>
            <w:noWrap/>
          </w:tcPr>
          <w:p w14:paraId="6EF98FCB" w14:textId="66308ED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p>
        </w:tc>
        <w:tc>
          <w:tcPr>
            <w:tcW w:w="808" w:type="dxa"/>
            <w:tcBorders>
              <w:top w:val="single" w:sz="4" w:space="0" w:color="auto"/>
              <w:left w:val="single" w:sz="4" w:space="0" w:color="auto"/>
              <w:bottom w:val="single" w:sz="4" w:space="0" w:color="auto"/>
              <w:right w:val="single" w:sz="4" w:space="0" w:color="auto"/>
            </w:tcBorders>
            <w:noWrap/>
          </w:tcPr>
          <w:p w14:paraId="770E616B" w14:textId="2D9693E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p>
        </w:tc>
        <w:tc>
          <w:tcPr>
            <w:tcW w:w="808" w:type="dxa"/>
            <w:tcBorders>
              <w:top w:val="single" w:sz="4" w:space="0" w:color="auto"/>
              <w:left w:val="single" w:sz="4" w:space="0" w:color="auto"/>
              <w:bottom w:val="single" w:sz="4" w:space="0" w:color="auto"/>
              <w:right w:val="single" w:sz="4" w:space="0" w:color="auto"/>
            </w:tcBorders>
            <w:noWrap/>
          </w:tcPr>
          <w:p w14:paraId="7DBC3DAE" w14:textId="4FFA12B3"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p>
        </w:tc>
        <w:tc>
          <w:tcPr>
            <w:tcW w:w="808" w:type="dxa"/>
            <w:tcBorders>
              <w:top w:val="single" w:sz="4" w:space="0" w:color="auto"/>
              <w:left w:val="single" w:sz="4" w:space="0" w:color="auto"/>
              <w:bottom w:val="single" w:sz="4" w:space="0" w:color="auto"/>
              <w:right w:val="single" w:sz="4" w:space="0" w:color="auto"/>
            </w:tcBorders>
            <w:noWrap/>
          </w:tcPr>
          <w:p w14:paraId="39972722" w14:textId="3493B66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p>
        </w:tc>
        <w:tc>
          <w:tcPr>
            <w:tcW w:w="808" w:type="dxa"/>
            <w:tcBorders>
              <w:top w:val="single" w:sz="4" w:space="0" w:color="auto"/>
              <w:left w:val="single" w:sz="4" w:space="0" w:color="auto"/>
              <w:bottom w:val="single" w:sz="4" w:space="0" w:color="auto"/>
              <w:right w:val="single" w:sz="4" w:space="0" w:color="auto"/>
            </w:tcBorders>
            <w:noWrap/>
          </w:tcPr>
          <w:p w14:paraId="76C524FB" w14:textId="339CBAB1"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p>
        </w:tc>
        <w:tc>
          <w:tcPr>
            <w:tcW w:w="808" w:type="dxa"/>
            <w:tcBorders>
              <w:top w:val="single" w:sz="4" w:space="0" w:color="auto"/>
              <w:left w:val="single" w:sz="4" w:space="0" w:color="auto"/>
              <w:bottom w:val="single" w:sz="4" w:space="0" w:color="auto"/>
              <w:right w:val="single" w:sz="4" w:space="0" w:color="auto"/>
            </w:tcBorders>
            <w:noWrap/>
          </w:tcPr>
          <w:p w14:paraId="0428A507" w14:textId="52959A06"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p>
        </w:tc>
        <w:tc>
          <w:tcPr>
            <w:tcW w:w="808" w:type="dxa"/>
            <w:tcBorders>
              <w:top w:val="single" w:sz="4" w:space="0" w:color="auto"/>
              <w:left w:val="single" w:sz="4" w:space="0" w:color="auto"/>
              <w:bottom w:val="single" w:sz="4" w:space="0" w:color="auto"/>
              <w:right w:val="single" w:sz="4" w:space="0" w:color="auto"/>
            </w:tcBorders>
            <w:noWrap/>
          </w:tcPr>
          <w:p w14:paraId="264FAA21" w14:textId="2C0460D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p>
        </w:tc>
        <w:tc>
          <w:tcPr>
            <w:tcW w:w="808" w:type="dxa"/>
            <w:tcBorders>
              <w:top w:val="single" w:sz="4" w:space="0" w:color="auto"/>
              <w:left w:val="single" w:sz="4" w:space="0" w:color="auto"/>
              <w:bottom w:val="single" w:sz="4" w:space="0" w:color="auto"/>
              <w:right w:val="single" w:sz="4" w:space="0" w:color="auto"/>
            </w:tcBorders>
            <w:noWrap/>
          </w:tcPr>
          <w:p w14:paraId="593E6A63" w14:textId="2016277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p>
        </w:tc>
      </w:tr>
    </w:tbl>
    <w:p w14:paraId="41DE9294" w14:textId="06A45999" w:rsidR="007758DB" w:rsidRDefault="007758DB" w:rsidP="007758DB">
      <w:pPr>
        <w:spacing w:line="240" w:lineRule="auto"/>
        <w:jc w:val="left"/>
      </w:pPr>
      <w:r>
        <w:lastRenderedPageBreak/>
        <w:t>Avec 50% de la pleine indexation (1%)</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7777777" w:rsidR="007758DB" w:rsidRPr="006A5674" w:rsidRDefault="007758DB"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61B929B9" w14:textId="77777777" w:rsidR="007758DB" w:rsidRPr="006A5674" w:rsidRDefault="007758DB"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178276B3"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310785D"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29E63844" w14:textId="77777777" w:rsidR="007758DB" w:rsidRPr="006A5674" w:rsidRDefault="007758DB"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0095031" w14:textId="77777777" w:rsidR="007758DB" w:rsidRPr="006A5674" w:rsidRDefault="007758DB"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005616DC" w14:textId="77777777" w:rsidR="007758DB" w:rsidRPr="006A5674" w:rsidRDefault="007758DB"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01B7AC1A" w14:textId="77777777" w:rsidR="007758DB" w:rsidRPr="006A5674" w:rsidRDefault="007758DB"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7E5208B9" w14:textId="77777777" w:rsidR="007758DB" w:rsidRPr="006A5674" w:rsidRDefault="007758DB"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2C259D95" w14:textId="77777777" w:rsidR="007758DB" w:rsidRPr="006A5674" w:rsidRDefault="007758DB" w:rsidP="00823A3B">
            <w:pPr>
              <w:spacing w:line="240" w:lineRule="auto"/>
              <w:jc w:val="center"/>
              <w:rPr>
                <w:sz w:val="16"/>
                <w:szCs w:val="16"/>
              </w:rPr>
            </w:pPr>
            <w:r w:rsidRPr="006A5674">
              <w:rPr>
                <w:sz w:val="16"/>
                <w:szCs w:val="16"/>
              </w:rPr>
              <w:t>5.60%</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2ECA950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p>
        </w:tc>
        <w:tc>
          <w:tcPr>
            <w:tcW w:w="808" w:type="dxa"/>
            <w:tcBorders>
              <w:top w:val="single" w:sz="4" w:space="0" w:color="auto"/>
              <w:left w:val="single" w:sz="4" w:space="0" w:color="auto"/>
              <w:bottom w:val="single" w:sz="4" w:space="0" w:color="auto"/>
              <w:right w:val="single" w:sz="4" w:space="0" w:color="auto"/>
            </w:tcBorders>
            <w:noWrap/>
          </w:tcPr>
          <w:p w14:paraId="20B950B9" w14:textId="6CEDA46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p>
        </w:tc>
        <w:tc>
          <w:tcPr>
            <w:tcW w:w="808" w:type="dxa"/>
            <w:tcBorders>
              <w:top w:val="single" w:sz="4" w:space="0" w:color="auto"/>
              <w:left w:val="single" w:sz="4" w:space="0" w:color="auto"/>
              <w:bottom w:val="single" w:sz="4" w:space="0" w:color="auto"/>
              <w:right w:val="single" w:sz="4" w:space="0" w:color="auto"/>
            </w:tcBorders>
            <w:noWrap/>
          </w:tcPr>
          <w:p w14:paraId="005A8168" w14:textId="119CE42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p>
        </w:tc>
        <w:tc>
          <w:tcPr>
            <w:tcW w:w="808" w:type="dxa"/>
            <w:tcBorders>
              <w:top w:val="single" w:sz="4" w:space="0" w:color="auto"/>
              <w:left w:val="single" w:sz="4" w:space="0" w:color="auto"/>
              <w:bottom w:val="single" w:sz="4" w:space="0" w:color="auto"/>
              <w:right w:val="single" w:sz="4" w:space="0" w:color="auto"/>
            </w:tcBorders>
            <w:noWrap/>
          </w:tcPr>
          <w:p w14:paraId="2B232F1A" w14:textId="6FC8D684"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p>
        </w:tc>
        <w:tc>
          <w:tcPr>
            <w:tcW w:w="808" w:type="dxa"/>
            <w:tcBorders>
              <w:top w:val="single" w:sz="4" w:space="0" w:color="auto"/>
              <w:left w:val="single" w:sz="4" w:space="0" w:color="auto"/>
              <w:bottom w:val="single" w:sz="4" w:space="0" w:color="auto"/>
              <w:right w:val="single" w:sz="4" w:space="0" w:color="auto"/>
            </w:tcBorders>
            <w:noWrap/>
          </w:tcPr>
          <w:p w14:paraId="7FD2B463" w14:textId="06B5D12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p>
        </w:tc>
        <w:tc>
          <w:tcPr>
            <w:tcW w:w="808" w:type="dxa"/>
            <w:tcBorders>
              <w:top w:val="single" w:sz="4" w:space="0" w:color="auto"/>
              <w:left w:val="single" w:sz="4" w:space="0" w:color="auto"/>
              <w:bottom w:val="single" w:sz="4" w:space="0" w:color="auto"/>
              <w:right w:val="single" w:sz="4" w:space="0" w:color="auto"/>
            </w:tcBorders>
            <w:noWrap/>
          </w:tcPr>
          <w:p w14:paraId="515F2E2E" w14:textId="30F9C6A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p>
        </w:tc>
        <w:tc>
          <w:tcPr>
            <w:tcW w:w="808" w:type="dxa"/>
            <w:tcBorders>
              <w:top w:val="single" w:sz="4" w:space="0" w:color="auto"/>
              <w:left w:val="single" w:sz="4" w:space="0" w:color="auto"/>
              <w:bottom w:val="single" w:sz="4" w:space="0" w:color="auto"/>
              <w:right w:val="single" w:sz="4" w:space="0" w:color="auto"/>
            </w:tcBorders>
            <w:noWrap/>
          </w:tcPr>
          <w:p w14:paraId="4B7B6A0F" w14:textId="43AE371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p>
        </w:tc>
        <w:tc>
          <w:tcPr>
            <w:tcW w:w="808" w:type="dxa"/>
            <w:tcBorders>
              <w:top w:val="single" w:sz="4" w:space="0" w:color="auto"/>
              <w:left w:val="single" w:sz="4" w:space="0" w:color="auto"/>
              <w:bottom w:val="single" w:sz="4" w:space="0" w:color="auto"/>
              <w:right w:val="single" w:sz="4" w:space="0" w:color="auto"/>
            </w:tcBorders>
            <w:noWrap/>
          </w:tcPr>
          <w:p w14:paraId="58A0A900" w14:textId="016A87F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p>
        </w:tc>
        <w:tc>
          <w:tcPr>
            <w:tcW w:w="808" w:type="dxa"/>
            <w:tcBorders>
              <w:top w:val="single" w:sz="4" w:space="0" w:color="auto"/>
              <w:left w:val="single" w:sz="4" w:space="0" w:color="auto"/>
              <w:bottom w:val="single" w:sz="4" w:space="0" w:color="auto"/>
              <w:right w:val="single" w:sz="4" w:space="0" w:color="auto"/>
            </w:tcBorders>
            <w:noWrap/>
          </w:tcPr>
          <w:p w14:paraId="26803FE4" w14:textId="38802EC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p>
        </w:tc>
        <w:tc>
          <w:tcPr>
            <w:tcW w:w="808" w:type="dxa"/>
            <w:tcBorders>
              <w:top w:val="single" w:sz="4" w:space="0" w:color="auto"/>
              <w:left w:val="single" w:sz="4" w:space="0" w:color="auto"/>
              <w:bottom w:val="single" w:sz="4" w:space="0" w:color="auto"/>
              <w:right w:val="single" w:sz="4" w:space="0" w:color="auto"/>
            </w:tcBorders>
            <w:noWrap/>
          </w:tcPr>
          <w:p w14:paraId="211FCDF8" w14:textId="3F6A16CF"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p>
        </w:tc>
      </w:tr>
    </w:tbl>
    <w:p w14:paraId="35CB3270" w14:textId="08C777B4" w:rsidR="00A65D48" w:rsidRDefault="00A65D48" w:rsidP="00A65D48">
      <w:pPr>
        <w:spacing w:line="240" w:lineRule="auto"/>
        <w:jc w:val="left"/>
      </w:pPr>
      <w:r>
        <w:lastRenderedPageBreak/>
        <w:t>Sans indexation, taux d’actualisation et un paiement de 1$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77777777" w:rsidR="00A65D48" w:rsidRPr="006A5674" w:rsidRDefault="00A65D48" w:rsidP="00823A3B">
            <w:pPr>
              <w:spacing w:line="240" w:lineRule="auto"/>
              <w:jc w:val="center"/>
              <w:rPr>
                <w:sz w:val="16"/>
                <w:szCs w:val="16"/>
              </w:rPr>
            </w:pPr>
            <w:r w:rsidRPr="006A5674">
              <w:rPr>
                <w:sz w:val="16"/>
                <w:szCs w:val="16"/>
              </w:rPr>
              <w:t>2.40%</w:t>
            </w:r>
          </w:p>
        </w:tc>
        <w:tc>
          <w:tcPr>
            <w:tcW w:w="808" w:type="dxa"/>
            <w:tcBorders>
              <w:top w:val="single" w:sz="4" w:space="0" w:color="auto"/>
              <w:left w:val="single" w:sz="4" w:space="0" w:color="auto"/>
              <w:bottom w:val="single" w:sz="4" w:space="0" w:color="auto"/>
              <w:right w:val="single" w:sz="4" w:space="0" w:color="auto"/>
            </w:tcBorders>
          </w:tcPr>
          <w:p w14:paraId="015561BF" w14:textId="77777777" w:rsidR="00A65D48" w:rsidRPr="006A5674" w:rsidRDefault="00A65D48" w:rsidP="00823A3B">
            <w:pPr>
              <w:spacing w:line="240" w:lineRule="auto"/>
              <w:jc w:val="center"/>
              <w:rPr>
                <w:sz w:val="16"/>
                <w:szCs w:val="16"/>
              </w:rPr>
            </w:pPr>
            <w:r w:rsidRPr="006A5674">
              <w:rPr>
                <w:sz w:val="16"/>
                <w:szCs w:val="16"/>
              </w:rPr>
              <w:t>1.40%</w:t>
            </w:r>
          </w:p>
        </w:tc>
        <w:tc>
          <w:tcPr>
            <w:tcW w:w="808" w:type="dxa"/>
            <w:tcBorders>
              <w:top w:val="single" w:sz="4" w:space="0" w:color="auto"/>
              <w:left w:val="single" w:sz="4" w:space="0" w:color="auto"/>
              <w:bottom w:val="single" w:sz="4" w:space="0" w:color="auto"/>
              <w:right w:val="single" w:sz="4" w:space="0" w:color="auto"/>
            </w:tcBorders>
          </w:tcPr>
          <w:p w14:paraId="43938B71"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0E594A97"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28F4E50" w14:textId="77777777" w:rsidR="00A65D48" w:rsidRPr="006A5674" w:rsidRDefault="00A65D48" w:rsidP="00823A3B">
            <w:pPr>
              <w:spacing w:line="240" w:lineRule="auto"/>
              <w:jc w:val="center"/>
              <w:rPr>
                <w:sz w:val="16"/>
                <w:szCs w:val="16"/>
              </w:rPr>
            </w:pPr>
            <w:r w:rsidRPr="006A5674">
              <w:rPr>
                <w:sz w:val="16"/>
                <w:szCs w:val="16"/>
              </w:rPr>
              <w:t>12.00%</w:t>
            </w:r>
          </w:p>
        </w:tc>
        <w:tc>
          <w:tcPr>
            <w:tcW w:w="808" w:type="dxa"/>
            <w:tcBorders>
              <w:top w:val="single" w:sz="4" w:space="0" w:color="auto"/>
              <w:left w:val="single" w:sz="4" w:space="0" w:color="auto"/>
              <w:bottom w:val="single" w:sz="4" w:space="0" w:color="auto"/>
              <w:right w:val="single" w:sz="4" w:space="0" w:color="auto"/>
            </w:tcBorders>
          </w:tcPr>
          <w:p w14:paraId="1EBC032B" w14:textId="77777777" w:rsidR="00A65D48" w:rsidRPr="006A5674" w:rsidRDefault="00A65D48" w:rsidP="00823A3B">
            <w:pPr>
              <w:spacing w:line="240" w:lineRule="auto"/>
              <w:jc w:val="center"/>
              <w:rPr>
                <w:sz w:val="16"/>
                <w:szCs w:val="16"/>
              </w:rPr>
            </w:pPr>
            <w:r w:rsidRPr="006A5674">
              <w:rPr>
                <w:sz w:val="16"/>
                <w:szCs w:val="16"/>
              </w:rPr>
              <w:t>7.00%</w:t>
            </w:r>
          </w:p>
        </w:tc>
        <w:tc>
          <w:tcPr>
            <w:tcW w:w="808" w:type="dxa"/>
            <w:tcBorders>
              <w:top w:val="single" w:sz="4" w:space="0" w:color="auto"/>
              <w:left w:val="single" w:sz="4" w:space="0" w:color="auto"/>
              <w:bottom w:val="single" w:sz="4" w:space="0" w:color="auto"/>
              <w:right w:val="single" w:sz="4" w:space="0" w:color="auto"/>
            </w:tcBorders>
          </w:tcPr>
          <w:p w14:paraId="2DD253A0" w14:textId="77777777" w:rsidR="00A65D48" w:rsidRPr="006A5674" w:rsidRDefault="00A65D48" w:rsidP="00823A3B">
            <w:pPr>
              <w:spacing w:line="240" w:lineRule="auto"/>
              <w:jc w:val="center"/>
              <w:rPr>
                <w:sz w:val="16"/>
                <w:szCs w:val="16"/>
              </w:rPr>
            </w:pPr>
            <w:r w:rsidRPr="006A5674">
              <w:rPr>
                <w:sz w:val="16"/>
                <w:szCs w:val="16"/>
              </w:rPr>
              <w:t>24.00%</w:t>
            </w:r>
          </w:p>
        </w:tc>
        <w:tc>
          <w:tcPr>
            <w:tcW w:w="808" w:type="dxa"/>
            <w:tcBorders>
              <w:top w:val="single" w:sz="4" w:space="0" w:color="auto"/>
              <w:left w:val="single" w:sz="4" w:space="0" w:color="auto"/>
              <w:bottom w:val="single" w:sz="4" w:space="0" w:color="auto"/>
              <w:right w:val="single" w:sz="4" w:space="0" w:color="auto"/>
            </w:tcBorders>
          </w:tcPr>
          <w:p w14:paraId="78DEF424" w14:textId="77777777" w:rsidR="00A65D48" w:rsidRPr="006A5674" w:rsidRDefault="00A65D48" w:rsidP="00823A3B">
            <w:pPr>
              <w:spacing w:line="240" w:lineRule="auto"/>
              <w:jc w:val="center"/>
              <w:rPr>
                <w:sz w:val="16"/>
                <w:szCs w:val="16"/>
              </w:rPr>
            </w:pPr>
            <w:r w:rsidRPr="006A5674">
              <w:rPr>
                <w:sz w:val="16"/>
                <w:szCs w:val="16"/>
              </w:rPr>
              <w:t>14.00%</w:t>
            </w:r>
          </w:p>
        </w:tc>
        <w:tc>
          <w:tcPr>
            <w:tcW w:w="808" w:type="dxa"/>
            <w:tcBorders>
              <w:top w:val="single" w:sz="4" w:space="0" w:color="auto"/>
              <w:left w:val="single" w:sz="4" w:space="0" w:color="auto"/>
              <w:bottom w:val="single" w:sz="4" w:space="0" w:color="auto"/>
              <w:right w:val="single" w:sz="4" w:space="0" w:color="auto"/>
            </w:tcBorders>
          </w:tcPr>
          <w:p w14:paraId="1C49132C" w14:textId="77777777" w:rsidR="00A65D48" w:rsidRPr="006A5674" w:rsidRDefault="00A65D48" w:rsidP="00823A3B">
            <w:pPr>
              <w:spacing w:line="240" w:lineRule="auto"/>
              <w:jc w:val="center"/>
              <w:rPr>
                <w:sz w:val="16"/>
                <w:szCs w:val="16"/>
              </w:rPr>
            </w:pPr>
            <w:r w:rsidRPr="006A5674">
              <w:rPr>
                <w:sz w:val="16"/>
                <w:szCs w:val="16"/>
              </w:rPr>
              <w:t>9.60%</w:t>
            </w:r>
          </w:p>
        </w:tc>
        <w:tc>
          <w:tcPr>
            <w:tcW w:w="808" w:type="dxa"/>
            <w:tcBorders>
              <w:top w:val="single" w:sz="4" w:space="0" w:color="auto"/>
              <w:left w:val="single" w:sz="4" w:space="0" w:color="auto"/>
              <w:bottom w:val="single" w:sz="4" w:space="0" w:color="auto"/>
              <w:right w:val="single" w:sz="4" w:space="0" w:color="auto"/>
            </w:tcBorders>
          </w:tcPr>
          <w:p w14:paraId="3A714FD5" w14:textId="77777777" w:rsidR="00A65D48" w:rsidRPr="006A5674" w:rsidRDefault="00A65D48" w:rsidP="00823A3B">
            <w:pPr>
              <w:spacing w:line="240" w:lineRule="auto"/>
              <w:jc w:val="center"/>
              <w:rPr>
                <w:sz w:val="16"/>
                <w:szCs w:val="16"/>
              </w:rPr>
            </w:pPr>
            <w:r w:rsidRPr="006A5674">
              <w:rPr>
                <w:sz w:val="16"/>
                <w:szCs w:val="16"/>
              </w:rPr>
              <w:t>5.60%</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0F68F22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AA29BA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14.85$ lorsque le couple a le même âge à 15.77$ lorsque l’homme est plus âgé de 8 ans dans le contexte sans indexation. L’effet est encore plus important si on prend en compte une indexation de la rente. Bien entendu, lorsqu’on considère que le participant 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bookmarkStart w:id="7" w:name="_Toc88056537"/>
      <w:r>
        <w:br w:type="page"/>
      </w:r>
    </w:p>
    <w:p w14:paraId="20EB786B" w14:textId="50EBC2D8" w:rsidR="008A04FB" w:rsidRDefault="008A04FB" w:rsidP="008A04FB">
      <w:pPr>
        <w:pStyle w:val="Titre1"/>
      </w:pPr>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7A126619" w:rsidR="00CB29A7" w:rsidRDefault="00CB29A7" w:rsidP="00CB29A7">
      <w:pPr>
        <w:pStyle w:val="Paragraphedeliste"/>
        <w:numPr>
          <w:ilvl w:val="0"/>
          <w:numId w:val="7"/>
        </w:numPr>
      </w:pPr>
      <w:r>
        <w:lastRenderedPageBreak/>
        <w:t>Modèle complet, participant fictif, rente non indexée</w:t>
      </w:r>
    </w:p>
    <w:p w14:paraId="682C7399" w14:textId="0CF0605D" w:rsidR="00A81226" w:rsidRDefault="00A81226"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7C0AFED4" w14:textId="09C00DA6" w:rsidR="00CB29A7" w:rsidRDefault="00CB29A7" w:rsidP="00CB29A7">
      <w:pPr>
        <w:pStyle w:val="Paragraphedeliste"/>
        <w:numPr>
          <w:ilvl w:val="0"/>
          <w:numId w:val="7"/>
        </w:numPr>
      </w:pPr>
      <w:r>
        <w:t>Modèle complet, participant fictif, rente pleinement indexée</w:t>
      </w:r>
      <w:r w:rsidR="001F2E95">
        <w:t xml:space="preserve"> (2%)</w:t>
      </w:r>
    </w:p>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776C09A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0C0FED45">
            <wp:simplePos x="0" y="0"/>
            <wp:positionH relativeFrom="column">
              <wp:posOffset>-760095</wp:posOffset>
            </wp:positionH>
            <wp:positionV relativeFrom="paragraph">
              <wp:posOffset>530860</wp:posOffset>
            </wp:positionV>
            <wp:extent cx="7108190" cy="5562600"/>
            <wp:effectExtent l="0" t="0" r="381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08190" cy="5562600"/>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r w:rsidR="007654AB" w:rsidRPr="006333C5">
        <w:rPr>
          <w:highlight w:val="red"/>
        </w:rPr>
        <w:t>(IL NE MANQUE PAS UN CAS VARIABLE VS CONSTANT ??)</w:t>
      </w:r>
    </w:p>
    <w:p w14:paraId="4CA07602" w14:textId="18C14C76"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7895D376" w:rsidR="00A81226" w:rsidRDefault="00A81226" w:rsidP="00A81226"/>
    <w:p w14:paraId="26DE50E7" w14:textId="39D26B49" w:rsidR="00A81226" w:rsidRDefault="00A81226" w:rsidP="00A81226"/>
    <w:p w14:paraId="586AA04B" w14:textId="0D942FBF" w:rsidR="00A81226" w:rsidRDefault="00A81226" w:rsidP="00A81226"/>
    <w:p w14:paraId="08F86557" w14:textId="1288DF6B" w:rsidR="00A81226" w:rsidRDefault="00A81226" w:rsidP="00A81226"/>
    <w:p w14:paraId="1106CB29" w14:textId="62727640" w:rsidR="00A81226" w:rsidRDefault="00A81226" w:rsidP="00A81226"/>
    <w:p w14:paraId="091849C0" w14:textId="73BC1189" w:rsidR="00A81226" w:rsidRDefault="00A81226" w:rsidP="00A81226"/>
    <w:p w14:paraId="544AA11A" w14:textId="7777777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Sensibilité à l’hypothèse de rendement avant la retraite, participant type, rente non indexée.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D6448CB" w:rsidR="00A81226" w:rsidRDefault="00A81226">
      <w:pPr>
        <w:spacing w:line="240" w:lineRule="auto"/>
        <w:jc w:val="left"/>
        <w:rPr>
          <w:rFonts w:cs="Times New Roman"/>
        </w:rPr>
      </w:pPr>
      <w:r w:rsidRPr="00A81226">
        <w:rPr>
          <w:noProof/>
        </w:rPr>
        <w:lastRenderedPageBreak/>
        <w:drawing>
          <wp:anchor distT="0" distB="0" distL="114300" distR="114300" simplePos="0" relativeHeight="251684864" behindDoc="1" locked="0" layoutInCell="1" allowOverlap="1" wp14:anchorId="0568020C" wp14:editId="71DD91F9">
            <wp:simplePos x="0" y="0"/>
            <wp:positionH relativeFrom="column">
              <wp:posOffset>-671010</wp:posOffset>
            </wp:positionH>
            <wp:positionV relativeFrom="paragraph">
              <wp:posOffset>-184</wp:posOffset>
            </wp:positionV>
            <wp:extent cx="6548120" cy="2449195"/>
            <wp:effectExtent l="0" t="0" r="5080" b="1905"/>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48120" cy="2449195"/>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r w:rsidRPr="00CB29A7">
        <w:rPr>
          <w:rFonts w:cs="Times New Roman"/>
        </w:rPr>
        <w:lastRenderedPageBreak/>
        <w:t xml:space="preserve">Sensibilité à l’hypothèse d’augmentation de salaire avant la retraite, participant type, rente non indexée.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18004505" w:rsidR="00A81226" w:rsidRDefault="00A81226">
      <w:pPr>
        <w:spacing w:line="240" w:lineRule="auto"/>
        <w:jc w:val="left"/>
        <w:rPr>
          <w:rFonts w:eastAsia="Times New Roman" w:cs="Times New Roman"/>
          <w:lang w:val="fr-CA" w:eastAsia="fr-CA"/>
        </w:rPr>
      </w:pPr>
    </w:p>
    <w:p w14:paraId="5D649932" w14:textId="28CC00B4" w:rsidR="00A81226" w:rsidRDefault="00A81226">
      <w:pPr>
        <w:spacing w:line="240" w:lineRule="auto"/>
        <w:jc w:val="left"/>
        <w:rPr>
          <w:rFonts w:eastAsia="Times New Roman" w:cs="Times New Roman"/>
          <w:lang w:val="fr-CA" w:eastAsia="fr-CA"/>
        </w:rPr>
      </w:pPr>
      <w:r w:rsidRPr="00A81226">
        <w:rPr>
          <w:rFonts w:eastAsia="Times New Roman" w:cs="Times New Roman"/>
          <w:noProof/>
          <w:lang w:val="fr-CA" w:eastAsia="fr-CA"/>
        </w:rPr>
        <w:drawing>
          <wp:anchor distT="0" distB="0" distL="114300" distR="114300" simplePos="0" relativeHeight="251685888" behindDoc="0" locked="0" layoutInCell="1" allowOverlap="1" wp14:anchorId="54D60B96" wp14:editId="6DA65994">
            <wp:simplePos x="0" y="0"/>
            <wp:positionH relativeFrom="column">
              <wp:posOffset>-184744</wp:posOffset>
            </wp:positionH>
            <wp:positionV relativeFrom="paragraph">
              <wp:posOffset>180340</wp:posOffset>
            </wp:positionV>
            <wp:extent cx="5953125" cy="2226945"/>
            <wp:effectExtent l="0" t="0" r="3175"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53125" cy="2226945"/>
                    </a:xfrm>
                    <a:prstGeom prst="rect">
                      <a:avLst/>
                    </a:prstGeom>
                  </pic:spPr>
                </pic:pic>
              </a:graphicData>
            </a:graphic>
            <wp14:sizeRelH relativeFrom="page">
              <wp14:pctWidth>0</wp14:pctWidth>
            </wp14:sizeRelH>
            <wp14:sizeRelV relativeFrom="page">
              <wp14:pctHeight>0</wp14:pctHeight>
            </wp14:sizeRelV>
          </wp:anchor>
        </w:drawing>
      </w:r>
    </w:p>
    <w:p w14:paraId="391E3242" w14:textId="4F130C4F"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27C19CC4" w14:textId="32DE6D85"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Sensibilité à l’hypothèse de mortalité après la retraite, participant type, rente non indexée. </w:t>
      </w:r>
    </w:p>
    <w:p w14:paraId="1A1C50F9" w14:textId="4C4416EA" w:rsidR="00A81226" w:rsidRPr="00A81226" w:rsidRDefault="00A81226" w:rsidP="00A81226">
      <w:pPr>
        <w:rPr>
          <w:rFonts w:eastAsia="Times New Roman" w:cs="Times New Roman"/>
          <w:lang w:val="fr-CA" w:eastAsia="fr-CA"/>
        </w:rPr>
      </w:pPr>
      <w:r w:rsidRPr="00A81226">
        <w:rPr>
          <w:rFonts w:cs="Times New Roman"/>
          <w:noProof/>
        </w:rPr>
        <w:lastRenderedPageBreak/>
        <w:drawing>
          <wp:anchor distT="0" distB="0" distL="114300" distR="114300" simplePos="0" relativeHeight="251678720" behindDoc="0" locked="0" layoutInCell="1" allowOverlap="1" wp14:anchorId="650B4886" wp14:editId="6266AE1E">
            <wp:simplePos x="0" y="0"/>
            <wp:positionH relativeFrom="column">
              <wp:posOffset>-685841</wp:posOffset>
            </wp:positionH>
            <wp:positionV relativeFrom="paragraph">
              <wp:posOffset>344170</wp:posOffset>
            </wp:positionV>
            <wp:extent cx="7104380" cy="5559425"/>
            <wp:effectExtent l="0" t="0" r="0" b="317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p>
    <w:p w14:paraId="7AE69E54" w14:textId="77777777" w:rsidR="00575737" w:rsidRDefault="00A81226" w:rsidP="006A1A80">
      <w:pPr>
        <w:spacing w:line="240" w:lineRule="auto"/>
        <w:rPr>
          <w:i/>
          <w:iCs/>
        </w:rPr>
      </w:pPr>
      <w:r>
        <w:rPr>
          <w:rFonts w:cs="Times New Roman"/>
        </w:rPr>
        <w:br w:type="page"/>
      </w:r>
      <w:r w:rsidR="00575737">
        <w:rPr>
          <w:i/>
          <w:iCs/>
        </w:rPr>
        <w:lastRenderedPageBreak/>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durée différente, participant fictif, rente non indexée.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34A7A55A" w14:textId="147E39F2"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t xml:space="preserve">Effet d’une hausse de l’âge de la retraite, participant type, rente non indexée. </w:t>
      </w:r>
    </w:p>
    <w:p w14:paraId="57CC8B3E" w14:textId="43ECCF3E" w:rsidR="00A81226" w:rsidRPr="00FD6E93" w:rsidRDefault="00FD6E93" w:rsidP="00A81226">
      <w:pPr>
        <w:rPr>
          <w:rFonts w:eastAsia="Times New Roman" w:cs="Times New Roman"/>
          <w:lang w:val="fr-CA" w:eastAsia="fr-CA"/>
        </w:rPr>
      </w:pPr>
      <w:r>
        <w:rPr>
          <w:i/>
          <w:iCs/>
        </w:rPr>
        <w:t>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q</w:t>
      </w:r>
      <w:r>
        <w:rPr>
          <w:i/>
          <w:iCs/>
          <w:vertAlign w:val="subscript"/>
        </w:rPr>
        <w:t>x</w:t>
      </w:r>
      <w:r>
        <w:rPr>
          <w:i/>
          <w:iCs/>
        </w:rPr>
        <w:t xml:space="preserve"> plus élevées, donc sa rente promise est inférieure à celle pour une retraite prise à 65 ans. </w:t>
      </w:r>
    </w:p>
    <w:p w14:paraId="0CE9B332"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C8C4FC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d’une retraite future, participant type, rente non indexée. </w:t>
      </w:r>
    </w:p>
    <w:p w14:paraId="0EDCB83F" w14:textId="0715F9F1"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449512D7" w:rsidR="00FD6E93" w:rsidRPr="00FD6E93" w:rsidRDefault="00FD6E93" w:rsidP="00A81226">
      <w:pPr>
        <w:rPr>
          <w:i/>
          <w:iCs/>
          <w:lang w:val="fr-CA"/>
        </w:rPr>
      </w:pP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2055D9FA"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indexée. </w:t>
      </w: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77777777" w:rsidR="00EA18AD"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Coût de la protection contre l’inflation participant fictif.</w:t>
      </w: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Oli si tu peux faire opérer ta magie pour mettre le tableau de la feuille « Section 4 » en beau format, ce serait pas pire svp ! P.S. Je crois que ls colonnes B à E peut être retirée pour ce qui est du word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3619590C" w:rsidR="008A04FB" w:rsidRDefault="008A04FB" w:rsidP="008A04FB">
      <w:pPr>
        <w:pStyle w:val="Titre1"/>
      </w:pPr>
      <w:bookmarkStart w:id="8" w:name="_Toc88056538"/>
      <w:r>
        <w:lastRenderedPageBreak/>
        <w:t>Section 5 – Estimation de la valeur de diverses formules d’indexation, approche stochastique</w:t>
      </w:r>
      <w:bookmarkEnd w:id="8"/>
    </w:p>
    <w:p w14:paraId="0FBFF033" w14:textId="3478E9DA" w:rsidR="002618FD" w:rsidRDefault="002618FD" w:rsidP="000D6FD7">
      <w:r>
        <w:tab/>
        <w:t>Dans cette partie du rapport, nous analyserons la valeur de diverses formules d’indexation et l’impact que cela entraîne sur la valeur de la rente en comparaison à une rente qui est calculée avec une inflation limitée à 6%. Afin d’effectuer cette analyse, nous avons utilisé 1000 simulations de scénarios d’inflation sur 60 ans.</w:t>
      </w:r>
      <w:r w:rsidR="00B53816">
        <w:t xml:space="preserve"> Parmi ces 1000 scénarios, il y a des cas où l’inflation est basse</w:t>
      </w:r>
      <w:r w:rsidR="00B24FF9">
        <w:t xml:space="preserve"> (coût faible pour nos formules d’indexation)</w:t>
      </w:r>
      <w:r w:rsidR="00B53816">
        <w:t xml:space="preserve">, </w:t>
      </w:r>
      <w:r w:rsidR="00875849">
        <w:t>(c’est d’ailleurs la situation</w:t>
      </w:r>
      <w:r w:rsidR="00B53816">
        <w:t xml:space="preserve"> des dernières années au Canada</w:t>
      </w:r>
      <w:r w:rsidR="00875849">
        <w:t>)</w:t>
      </w:r>
      <w:r w:rsidR="00B53816">
        <w:t xml:space="preserve">, des cas où l’inflation est plutôt moyenne et finalement, des scénarios qui coûteraient plus cher pour nos formules d’indexation </w:t>
      </w:r>
      <w:r w:rsidR="00875849">
        <w:t>(</w:t>
      </w:r>
      <w:r w:rsidR="00B53816">
        <w:t>soit de la haute inflation</w:t>
      </w:r>
      <w:r w:rsidR="00875849">
        <w:t>)</w:t>
      </w:r>
      <w:r w:rsidR="00B53816">
        <w:t xml:space="preserve">. </w:t>
      </w:r>
      <w:r>
        <w:t>Les statistiques</w:t>
      </w:r>
      <w:r w:rsidR="00B24FF9">
        <w:t xml:space="preserve"> sur les valeurs d’une rente de 1000$ pour un participant fictif</w:t>
      </w:r>
      <w:r>
        <w:t xml:space="preserve"> ainsi que les différentes formules d’indexation utilisées sont présentées dans le tableau suivant :</w:t>
      </w:r>
    </w:p>
    <w:p w14:paraId="68E72C1D" w14:textId="36E5E9CE" w:rsidR="002618FD" w:rsidRDefault="002618FD" w:rsidP="000D6FD7">
      <w:r w:rsidRPr="002618FD">
        <w:rPr>
          <w:highlight w:val="yellow"/>
        </w:rPr>
        <w:t>(SVP METTRE LA Feuille « Statistiques sur résultats »</w:t>
      </w:r>
      <w:r>
        <w:t>)</w:t>
      </w:r>
    </w:p>
    <w:p w14:paraId="2D475AE7" w14:textId="25772C4E" w:rsidR="002618FD" w:rsidRDefault="002618FD" w:rsidP="000D6FD7"/>
    <w:p w14:paraId="68F90C47" w14:textId="6D71911F" w:rsidR="00B76EEE" w:rsidRDefault="002618FD" w:rsidP="000D6FD7">
      <w:pPr>
        <w:rPr>
          <w:rFonts w:ascii="Calibri" w:eastAsia="Times New Roman" w:hAnsi="Calibri" w:cs="Calibri"/>
          <w:color w:val="000000"/>
          <w:sz w:val="22"/>
          <w:szCs w:val="22"/>
          <w:lang w:val="fr-CA" w:eastAsia="fr-CA"/>
        </w:rPr>
      </w:pPr>
      <w:r>
        <w:tab/>
        <w:t>Il est possible d’observer dans le tableau que la formule qui entraîne</w:t>
      </w:r>
      <w:r w:rsidR="006750E2">
        <w:t>rait</w:t>
      </w:r>
      <w:r>
        <w:t xml:space="preserve"> les plus grands coûts pour la compagnie est la pleine indexation d’une inflation limitée à 6</w:t>
      </w:r>
      <w:r w:rsidR="000D6FD7" w:rsidRPr="000D6FD7">
        <w:rPr>
          <w:lang w:val="fr-CA"/>
        </w:rPr>
        <w:t xml:space="preserve"> </w:t>
      </w:r>
      <w:r>
        <w:t xml:space="preserve">% ce qui est logique puisque la formule </w:t>
      </w:r>
      <w:r w:rsidR="00B76EEE">
        <w:t xml:space="preserve">est celle qui offre le plus de protection contre l’inflation. De plus, cette formule entraîne les valeurs à l’extrême les plus élevées soient une valeur de rente maximale de </w:t>
      </w:r>
      <w:r w:rsidR="00B76EEE" w:rsidRPr="00B76EEE">
        <w:rPr>
          <w:rFonts w:ascii="Calibri" w:eastAsia="Times New Roman" w:hAnsi="Calibri" w:cs="Calibri"/>
          <w:color w:val="000000"/>
          <w:sz w:val="22"/>
          <w:szCs w:val="22"/>
          <w:lang w:val="fr-CA" w:eastAsia="fr-CA"/>
        </w:rPr>
        <w:t>19</w:t>
      </w:r>
      <w:r w:rsidR="006F6766">
        <w:rPr>
          <w:rFonts w:ascii="Calibri" w:eastAsia="Times New Roman" w:hAnsi="Calibri" w:cs="Calibri"/>
          <w:color w:val="000000"/>
          <w:sz w:val="22"/>
          <w:szCs w:val="22"/>
          <w:lang w:val="fr-CA" w:eastAsia="fr-CA"/>
        </w:rPr>
        <w:t xml:space="preserve"> </w:t>
      </w:r>
      <w:r w:rsidR="00B76EEE" w:rsidRPr="00B76EEE">
        <w:rPr>
          <w:rFonts w:ascii="Calibri" w:eastAsia="Times New Roman" w:hAnsi="Calibri" w:cs="Calibri"/>
          <w:color w:val="000000"/>
          <w:sz w:val="22"/>
          <w:szCs w:val="22"/>
          <w:lang w:val="fr-CA" w:eastAsia="fr-CA"/>
        </w:rPr>
        <w:t>203,25</w:t>
      </w:r>
      <w:r w:rsidR="000D6FD7">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 (ce qui représente une augmentation de </w:t>
      </w:r>
      <w:r w:rsidR="00B76EEE" w:rsidRPr="00B76EEE">
        <w:rPr>
          <w:rFonts w:ascii="Calibri" w:eastAsia="Times New Roman" w:hAnsi="Calibri" w:cs="Calibri"/>
          <w:color w:val="000000"/>
          <w:sz w:val="22"/>
          <w:szCs w:val="22"/>
          <w:lang w:val="fr-CA" w:eastAsia="fr-CA"/>
        </w:rPr>
        <w:t>11,74</w:t>
      </w:r>
      <w:r w:rsidR="000D6FD7">
        <w:rPr>
          <w:rFonts w:ascii="Calibri" w:eastAsia="Times New Roman" w:hAnsi="Calibri" w:cs="Calibri"/>
          <w:color w:val="000000"/>
          <w:sz w:val="22"/>
          <w:szCs w:val="22"/>
          <w:lang w:val="fr-CA" w:eastAsia="fr-CA"/>
        </w:rPr>
        <w:t xml:space="preserve"> </w:t>
      </w:r>
      <w:r w:rsidR="00B76EEE" w:rsidRPr="00B76EEE">
        <w:rPr>
          <w:rFonts w:ascii="Calibri" w:eastAsia="Times New Roman" w:hAnsi="Calibri" w:cs="Calibri"/>
          <w:color w:val="000000"/>
          <w:sz w:val="22"/>
          <w:szCs w:val="22"/>
          <w:lang w:val="fr-CA" w:eastAsia="fr-CA"/>
        </w:rPr>
        <w:t>%</w:t>
      </w:r>
      <w:r w:rsidR="00B76EEE">
        <w:rPr>
          <w:rFonts w:ascii="Calibri" w:eastAsia="Times New Roman" w:hAnsi="Calibri" w:cs="Calibri"/>
          <w:color w:val="000000"/>
          <w:sz w:val="22"/>
          <w:szCs w:val="22"/>
          <w:lang w:val="fr-CA" w:eastAsia="fr-CA"/>
        </w:rPr>
        <w:t xml:space="preserve"> </w:t>
      </w:r>
      <w:r w:rsidR="00875849">
        <w:rPr>
          <w:rFonts w:ascii="Calibri" w:eastAsia="Times New Roman" w:hAnsi="Calibri" w:cs="Calibri"/>
          <w:color w:val="000000"/>
          <w:sz w:val="22"/>
          <w:szCs w:val="22"/>
          <w:lang w:val="fr-CA" w:eastAsia="fr-CA"/>
        </w:rPr>
        <w:t>en comparaison</w:t>
      </w:r>
      <w:r w:rsidR="00B76EEE">
        <w:rPr>
          <w:rFonts w:ascii="Calibri" w:eastAsia="Times New Roman" w:hAnsi="Calibri" w:cs="Calibri"/>
          <w:color w:val="000000"/>
          <w:sz w:val="22"/>
          <w:szCs w:val="22"/>
          <w:lang w:val="fr-CA" w:eastAsia="fr-CA"/>
        </w:rPr>
        <w:t xml:space="preserve"> </w:t>
      </w:r>
      <w:r w:rsidR="00875849">
        <w:rPr>
          <w:rFonts w:ascii="Calibri" w:eastAsia="Times New Roman" w:hAnsi="Calibri" w:cs="Calibri"/>
          <w:color w:val="000000"/>
          <w:sz w:val="22"/>
          <w:szCs w:val="22"/>
          <w:lang w:val="fr-CA" w:eastAsia="fr-CA"/>
        </w:rPr>
        <w:t>avec</w:t>
      </w:r>
      <w:r w:rsidR="00B76EEE">
        <w:rPr>
          <w:rFonts w:ascii="Calibri" w:eastAsia="Times New Roman" w:hAnsi="Calibri" w:cs="Calibri"/>
          <w:color w:val="000000"/>
          <w:sz w:val="22"/>
          <w:szCs w:val="22"/>
          <w:lang w:val="fr-CA" w:eastAsia="fr-CA"/>
        </w:rPr>
        <w:t xml:space="preserve"> la </w:t>
      </w:r>
      <w:r w:rsidR="00875849">
        <w:rPr>
          <w:rFonts w:ascii="Calibri" w:eastAsia="Times New Roman" w:hAnsi="Calibri" w:cs="Calibri"/>
          <w:color w:val="000000"/>
          <w:sz w:val="22"/>
          <w:szCs w:val="22"/>
          <w:lang w:val="fr-CA" w:eastAsia="fr-CA"/>
        </w:rPr>
        <w:t xml:space="preserve">rente obtenue avec la </w:t>
      </w:r>
      <w:r w:rsidR="00B76EEE">
        <w:rPr>
          <w:rFonts w:ascii="Calibri" w:eastAsia="Times New Roman" w:hAnsi="Calibri" w:cs="Calibri"/>
          <w:color w:val="000000"/>
          <w:sz w:val="22"/>
          <w:szCs w:val="22"/>
          <w:lang w:val="fr-CA" w:eastAsia="fr-CA"/>
        </w:rPr>
        <w:t>formule sans indexation) et une ECU à 99</w:t>
      </w:r>
      <w:r w:rsidR="000D6FD7">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 de </w:t>
      </w:r>
      <w:r w:rsidR="00B76EEE" w:rsidRPr="00B76EEE">
        <w:rPr>
          <w:rFonts w:ascii="Calibri" w:eastAsia="Times New Roman" w:hAnsi="Calibri" w:cs="Calibri"/>
          <w:color w:val="000000"/>
          <w:sz w:val="22"/>
          <w:szCs w:val="22"/>
          <w:lang w:val="fr-CA" w:eastAsia="fr-CA"/>
        </w:rPr>
        <w:t>19</w:t>
      </w:r>
      <w:r w:rsidR="00875849">
        <w:rPr>
          <w:rFonts w:ascii="Calibri" w:eastAsia="Times New Roman" w:hAnsi="Calibri" w:cs="Calibri"/>
          <w:color w:val="000000"/>
          <w:sz w:val="22"/>
          <w:szCs w:val="22"/>
          <w:lang w:val="fr-CA" w:eastAsia="fr-CA"/>
        </w:rPr>
        <w:t xml:space="preserve"> </w:t>
      </w:r>
      <w:r w:rsidR="00B76EEE" w:rsidRPr="00B76EEE">
        <w:rPr>
          <w:rFonts w:ascii="Calibri" w:eastAsia="Times New Roman" w:hAnsi="Calibri" w:cs="Calibri"/>
          <w:color w:val="000000"/>
          <w:sz w:val="22"/>
          <w:szCs w:val="22"/>
          <w:lang w:val="fr-CA" w:eastAsia="fr-CA"/>
        </w:rPr>
        <w:t>187,43</w:t>
      </w:r>
      <w:r w:rsidR="000D6FD7">
        <w:rPr>
          <w:rFonts w:ascii="Calibri" w:eastAsia="Times New Roman" w:hAnsi="Calibri" w:cs="Calibri"/>
          <w:color w:val="000000"/>
          <w:sz w:val="22"/>
          <w:szCs w:val="22"/>
          <w:lang w:val="fr-CA" w:eastAsia="fr-CA"/>
        </w:rPr>
        <w:t xml:space="preserve"> </w:t>
      </w:r>
      <w:r w:rsidR="00B76EEE">
        <w:rPr>
          <w:rFonts w:ascii="Calibri" w:eastAsia="Times New Roman" w:hAnsi="Calibri" w:cs="Calibri"/>
          <w:color w:val="000000"/>
          <w:sz w:val="22"/>
          <w:szCs w:val="22"/>
          <w:lang w:val="fr-CA" w:eastAsia="fr-CA"/>
        </w:rPr>
        <w:t xml:space="preserve">$ (ce qui représente une augmentation de </w:t>
      </w:r>
      <w:r w:rsidR="00B76EEE" w:rsidRPr="00B76EEE">
        <w:rPr>
          <w:rFonts w:ascii="Calibri" w:eastAsia="Times New Roman" w:hAnsi="Calibri" w:cs="Calibri"/>
          <w:lang w:val="fr-CA" w:eastAsia="fr-CA"/>
        </w:rPr>
        <w:t>14,50</w:t>
      </w:r>
      <w:r w:rsidR="000D6FD7">
        <w:rPr>
          <w:rFonts w:ascii="Calibri" w:eastAsia="Times New Roman" w:hAnsi="Calibri" w:cs="Calibri"/>
          <w:lang w:val="fr-CA" w:eastAsia="fr-CA"/>
        </w:rPr>
        <w:t xml:space="preserve"> </w:t>
      </w:r>
      <w:r w:rsidR="00B76EEE" w:rsidRPr="00B76EEE">
        <w:rPr>
          <w:rFonts w:ascii="Calibri" w:eastAsia="Times New Roman" w:hAnsi="Calibri" w:cs="Calibri"/>
          <w:lang w:val="fr-CA" w:eastAsia="fr-CA"/>
        </w:rPr>
        <w:t>%</w:t>
      </w:r>
      <w:r w:rsidR="006F6766">
        <w:rPr>
          <w:rFonts w:ascii="Calibri" w:eastAsia="Times New Roman" w:hAnsi="Calibri" w:cs="Calibri"/>
          <w:lang w:val="fr-CA" w:eastAsia="fr-CA"/>
        </w:rPr>
        <w:t>, toujours en comparaison avec la rente</w:t>
      </w:r>
      <w:r w:rsidR="00B76EEE">
        <w:rPr>
          <w:rFonts w:ascii="Calibri" w:eastAsia="Times New Roman" w:hAnsi="Calibri" w:cs="Calibri"/>
          <w:color w:val="000000"/>
          <w:sz w:val="22"/>
          <w:szCs w:val="22"/>
          <w:lang w:val="fr-CA" w:eastAsia="fr-CA"/>
        </w:rPr>
        <w:t xml:space="preserve"> sans indexation).</w:t>
      </w:r>
      <w:r w:rsidR="001036F4">
        <w:rPr>
          <w:rFonts w:ascii="Calibri" w:eastAsia="Times New Roman" w:hAnsi="Calibri" w:cs="Calibri"/>
          <w:color w:val="000000"/>
          <w:sz w:val="22"/>
          <w:szCs w:val="22"/>
          <w:lang w:val="fr-CA" w:eastAsia="fr-CA"/>
        </w:rPr>
        <w:t xml:space="preserve"> </w:t>
      </w:r>
      <w:r w:rsidR="006F6766">
        <w:rPr>
          <w:rFonts w:ascii="Calibri" w:eastAsia="Times New Roman" w:hAnsi="Calibri" w:cs="Calibri"/>
          <w:color w:val="000000"/>
          <w:sz w:val="22"/>
          <w:szCs w:val="22"/>
          <w:lang w:val="fr-CA" w:eastAsia="fr-CA"/>
        </w:rPr>
        <w:t>À la lumière de ces</w:t>
      </w:r>
      <w:r w:rsidR="001036F4">
        <w:rPr>
          <w:rFonts w:ascii="Calibri" w:eastAsia="Times New Roman" w:hAnsi="Calibri" w:cs="Calibri"/>
          <w:color w:val="000000"/>
          <w:sz w:val="22"/>
          <w:szCs w:val="22"/>
          <w:lang w:val="fr-CA" w:eastAsia="fr-CA"/>
        </w:rPr>
        <w:t xml:space="preserve"> valeurs actualisées élevées, on conclut que l’utilisation d’une telle valeur d’indexation aurait des coûts considérables sur le régime de retraire et entraînerait un dépassement du budget fixé (augmentation maximale de 1</w:t>
      </w:r>
      <w:r w:rsidR="006F6766">
        <w:rPr>
          <w:rFonts w:ascii="Calibri" w:eastAsia="Times New Roman" w:hAnsi="Calibri" w:cs="Calibri"/>
          <w:color w:val="000000"/>
          <w:sz w:val="22"/>
          <w:szCs w:val="22"/>
          <w:lang w:val="fr-CA" w:eastAsia="fr-CA"/>
        </w:rPr>
        <w:t xml:space="preserve"> </w:t>
      </w:r>
      <w:r w:rsidR="001036F4">
        <w:rPr>
          <w:rFonts w:ascii="Calibri" w:eastAsia="Times New Roman" w:hAnsi="Calibri" w:cs="Calibri"/>
          <w:color w:val="000000"/>
          <w:sz w:val="22"/>
          <w:szCs w:val="22"/>
          <w:lang w:val="fr-CA" w:eastAsia="fr-CA"/>
        </w:rPr>
        <w:t>%</w:t>
      </w:r>
      <w:r w:rsidR="006F6766">
        <w:rPr>
          <w:rFonts w:ascii="Calibri" w:eastAsia="Times New Roman" w:hAnsi="Calibri" w:cs="Calibri"/>
          <w:color w:val="000000"/>
          <w:sz w:val="22"/>
          <w:szCs w:val="22"/>
          <w:lang w:val="fr-CA" w:eastAsia="fr-CA"/>
        </w:rPr>
        <w:t xml:space="preserve"> des</w:t>
      </w:r>
      <w:r w:rsidR="001036F4">
        <w:rPr>
          <w:rFonts w:ascii="Calibri" w:eastAsia="Times New Roman" w:hAnsi="Calibri" w:cs="Calibri"/>
          <w:color w:val="000000"/>
          <w:sz w:val="22"/>
          <w:szCs w:val="22"/>
          <w:lang w:val="fr-CA" w:eastAsia="fr-CA"/>
        </w:rPr>
        <w:t xml:space="preserve"> cotisation</w:t>
      </w:r>
      <w:r w:rsidR="006F6766">
        <w:rPr>
          <w:rFonts w:ascii="Calibri" w:eastAsia="Times New Roman" w:hAnsi="Calibri" w:cs="Calibri"/>
          <w:color w:val="000000"/>
          <w:sz w:val="22"/>
          <w:szCs w:val="22"/>
          <w:lang w:val="fr-CA" w:eastAsia="fr-CA"/>
        </w:rPr>
        <w:t>s</w:t>
      </w:r>
      <w:r w:rsidR="001036F4">
        <w:rPr>
          <w:rFonts w:ascii="Calibri" w:eastAsia="Times New Roman" w:hAnsi="Calibri" w:cs="Calibri"/>
          <w:color w:val="000000"/>
          <w:sz w:val="22"/>
          <w:szCs w:val="22"/>
          <w:lang w:val="fr-CA" w:eastAsia="fr-CA"/>
        </w:rPr>
        <w:t xml:space="preserve"> salariale</w:t>
      </w:r>
      <w:r w:rsidR="006F6766">
        <w:rPr>
          <w:rFonts w:ascii="Calibri" w:eastAsia="Times New Roman" w:hAnsi="Calibri" w:cs="Calibri"/>
          <w:color w:val="000000"/>
          <w:sz w:val="22"/>
          <w:szCs w:val="22"/>
          <w:lang w:val="fr-CA" w:eastAsia="fr-CA"/>
        </w:rPr>
        <w:t>s et</w:t>
      </w:r>
      <w:r w:rsidR="001036F4">
        <w:rPr>
          <w:rFonts w:ascii="Calibri" w:eastAsia="Times New Roman" w:hAnsi="Calibri" w:cs="Calibri"/>
          <w:color w:val="000000"/>
          <w:sz w:val="22"/>
          <w:szCs w:val="22"/>
          <w:lang w:val="fr-CA" w:eastAsia="fr-CA"/>
        </w:rPr>
        <w:t xml:space="preserve"> 1</w:t>
      </w:r>
      <w:r w:rsidR="006F6766">
        <w:rPr>
          <w:rFonts w:ascii="Calibri" w:eastAsia="Times New Roman" w:hAnsi="Calibri" w:cs="Calibri"/>
          <w:color w:val="000000"/>
          <w:sz w:val="22"/>
          <w:szCs w:val="22"/>
          <w:lang w:val="fr-CA" w:eastAsia="fr-CA"/>
        </w:rPr>
        <w:t> </w:t>
      </w:r>
      <w:r w:rsidR="001036F4">
        <w:rPr>
          <w:rFonts w:ascii="Calibri" w:eastAsia="Times New Roman" w:hAnsi="Calibri" w:cs="Calibri"/>
          <w:color w:val="000000"/>
          <w:sz w:val="22"/>
          <w:szCs w:val="22"/>
          <w:lang w:val="fr-CA" w:eastAsia="fr-CA"/>
        </w:rPr>
        <w:t xml:space="preserve">% </w:t>
      </w:r>
      <w:r w:rsidR="006F6766">
        <w:rPr>
          <w:rFonts w:ascii="Calibri" w:eastAsia="Times New Roman" w:hAnsi="Calibri" w:cs="Calibri"/>
          <w:color w:val="000000"/>
          <w:sz w:val="22"/>
          <w:szCs w:val="22"/>
          <w:lang w:val="fr-CA" w:eastAsia="fr-CA"/>
        </w:rPr>
        <w:t xml:space="preserve">des </w:t>
      </w:r>
      <w:r w:rsidR="001036F4">
        <w:rPr>
          <w:rFonts w:ascii="Calibri" w:eastAsia="Times New Roman" w:hAnsi="Calibri" w:cs="Calibri"/>
          <w:color w:val="000000"/>
          <w:sz w:val="22"/>
          <w:szCs w:val="22"/>
          <w:lang w:val="fr-CA" w:eastAsia="fr-CA"/>
        </w:rPr>
        <w:t>cotisation patronale).</w:t>
      </w:r>
      <w:r w:rsidR="006F6766">
        <w:rPr>
          <w:rFonts w:ascii="Calibri" w:eastAsia="Times New Roman" w:hAnsi="Calibri" w:cs="Calibri"/>
          <w:color w:val="000000"/>
          <w:sz w:val="22"/>
          <w:szCs w:val="22"/>
          <w:lang w:val="fr-CA" w:eastAsia="fr-CA"/>
        </w:rPr>
        <w:t xml:space="preserve"> </w:t>
      </w:r>
    </w:p>
    <w:p w14:paraId="5363F96E" w14:textId="3D64D3F1" w:rsidR="00B76EEE" w:rsidRDefault="00B76EEE" w:rsidP="000D6FD7">
      <w:pPr>
        <w:rPr>
          <w:rFonts w:ascii="Calibri" w:eastAsia="Times New Roman" w:hAnsi="Calibri" w:cs="Calibri"/>
          <w:color w:val="000000"/>
          <w:sz w:val="22"/>
          <w:szCs w:val="22"/>
          <w:lang w:val="fr-CA" w:eastAsia="fr-CA"/>
        </w:rPr>
      </w:pPr>
    </w:p>
    <w:p w14:paraId="4F44EF3B" w14:textId="0EB942D6" w:rsidR="001036F4" w:rsidRDefault="00B76EEE" w:rsidP="001036F4">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d’indexation </w:t>
      </w:r>
      <w:r w:rsidR="006F6766">
        <w:rPr>
          <w:rFonts w:ascii="Calibri" w:eastAsia="Times New Roman" w:hAnsi="Calibri" w:cs="Calibri"/>
          <w:color w:val="000000"/>
          <w:sz w:val="22"/>
          <w:szCs w:val="22"/>
          <w:lang w:val="fr-CA" w:eastAsia="fr-CA"/>
        </w:rPr>
        <w:t xml:space="preserve">à </w:t>
      </w:r>
      <w:r>
        <w:rPr>
          <w:rFonts w:ascii="Calibri" w:eastAsia="Times New Roman" w:hAnsi="Calibri" w:cs="Calibri"/>
          <w:color w:val="000000"/>
          <w:sz w:val="22"/>
          <w:szCs w:val="22"/>
          <w:lang w:val="fr-CA" w:eastAsia="fr-CA"/>
        </w:rPr>
        <w:t>75</w:t>
      </w:r>
      <w:r w:rsidR="000D6FD7">
        <w:rPr>
          <w:rFonts w:ascii="Calibri" w:eastAsia="Times New Roman" w:hAnsi="Calibri" w:cs="Calibri"/>
          <w:color w:val="000000"/>
          <w:sz w:val="22"/>
          <w:szCs w:val="22"/>
          <w:lang w:val="fr-CA" w:eastAsia="fr-CA"/>
        </w:rPr>
        <w:t xml:space="preserve"> </w:t>
      </w:r>
      <w:r>
        <w:rPr>
          <w:rFonts w:ascii="Calibri" w:eastAsia="Times New Roman" w:hAnsi="Calibri" w:cs="Calibri"/>
          <w:color w:val="000000"/>
          <w:sz w:val="22"/>
          <w:szCs w:val="22"/>
          <w:lang w:val="fr-CA" w:eastAsia="fr-CA"/>
        </w:rPr>
        <w:t>% de l’inflation</w:t>
      </w:r>
      <w:r w:rsidR="00437915">
        <w:rPr>
          <w:rFonts w:ascii="Calibri" w:eastAsia="Times New Roman" w:hAnsi="Calibri" w:cs="Calibri"/>
          <w:color w:val="000000"/>
          <w:sz w:val="22"/>
          <w:szCs w:val="22"/>
          <w:lang w:val="fr-CA" w:eastAsia="fr-CA"/>
        </w:rPr>
        <w:t xml:space="preserve"> en excédent de 2</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w:t>
      </w:r>
      <w:r w:rsidR="006F6766">
        <w:rPr>
          <w:rFonts w:ascii="Calibri" w:eastAsia="Times New Roman" w:hAnsi="Calibri" w:cs="Calibri"/>
          <w:color w:val="000000"/>
          <w:sz w:val="22"/>
          <w:szCs w:val="22"/>
          <w:lang w:val="fr-CA" w:eastAsia="fr-CA"/>
        </w:rPr>
        <w:t xml:space="preserve">et </w:t>
      </w:r>
      <w:r>
        <w:rPr>
          <w:rFonts w:ascii="Calibri" w:eastAsia="Times New Roman" w:hAnsi="Calibri" w:cs="Calibri"/>
          <w:color w:val="000000"/>
          <w:sz w:val="22"/>
          <w:szCs w:val="22"/>
          <w:lang w:val="fr-CA" w:eastAsia="fr-CA"/>
        </w:rPr>
        <w:t xml:space="preserve">limitée à </w:t>
      </w:r>
      <w:r w:rsidR="00437915">
        <w:rPr>
          <w:rFonts w:ascii="Calibri" w:eastAsia="Times New Roman" w:hAnsi="Calibri" w:cs="Calibri"/>
          <w:color w:val="000000"/>
          <w:sz w:val="22"/>
          <w:szCs w:val="22"/>
          <w:lang w:val="fr-CA" w:eastAsia="fr-CA"/>
        </w:rPr>
        <w:t>6</w:t>
      </w:r>
      <w:r w:rsidR="000D6FD7">
        <w:rPr>
          <w:rFonts w:ascii="Calibri" w:eastAsia="Times New Roman" w:hAnsi="Calibri" w:cs="Calibri"/>
          <w:color w:val="000000"/>
          <w:sz w:val="22"/>
          <w:szCs w:val="22"/>
          <w:lang w:val="fr-CA" w:eastAsia="fr-CA"/>
        </w:rPr>
        <w:t xml:space="preserve"> </w:t>
      </w:r>
      <w:r>
        <w:rPr>
          <w:rFonts w:ascii="Calibri" w:eastAsia="Times New Roman" w:hAnsi="Calibri" w:cs="Calibri"/>
          <w:color w:val="000000"/>
          <w:sz w:val="22"/>
          <w:szCs w:val="22"/>
          <w:lang w:val="fr-CA" w:eastAsia="fr-CA"/>
        </w:rPr>
        <w:t>%, il est possible d’observer que c’est cette formule qui entraînerait</w:t>
      </w:r>
      <w:r w:rsidR="00437915">
        <w:rPr>
          <w:rFonts w:ascii="Calibri" w:eastAsia="Times New Roman" w:hAnsi="Calibri" w:cs="Calibri"/>
          <w:color w:val="000000"/>
          <w:sz w:val="22"/>
          <w:szCs w:val="22"/>
          <w:lang w:val="fr-CA" w:eastAsia="fr-CA"/>
        </w:rPr>
        <w:t xml:space="preserve"> en moyenne les</w:t>
      </w:r>
      <w:r>
        <w:rPr>
          <w:rFonts w:ascii="Calibri" w:eastAsia="Times New Roman" w:hAnsi="Calibri" w:cs="Calibri"/>
          <w:color w:val="000000"/>
          <w:sz w:val="22"/>
          <w:szCs w:val="22"/>
          <w:lang w:val="fr-CA" w:eastAsia="fr-CA"/>
        </w:rPr>
        <w:t xml:space="preserve"> coûts </w:t>
      </w:r>
      <w:r w:rsidR="00437915">
        <w:rPr>
          <w:rFonts w:ascii="Calibri" w:eastAsia="Times New Roman" w:hAnsi="Calibri" w:cs="Calibri"/>
          <w:color w:val="000000"/>
          <w:sz w:val="22"/>
          <w:szCs w:val="22"/>
          <w:lang w:val="fr-CA" w:eastAsia="fr-CA"/>
        </w:rPr>
        <w:t xml:space="preserve">les moins élevés </w:t>
      </w:r>
      <w:r>
        <w:rPr>
          <w:rFonts w:ascii="Calibri" w:eastAsia="Times New Roman" w:hAnsi="Calibri" w:cs="Calibri"/>
          <w:color w:val="000000"/>
          <w:sz w:val="22"/>
          <w:szCs w:val="22"/>
          <w:lang w:val="fr-CA" w:eastAsia="fr-CA"/>
        </w:rPr>
        <w:t xml:space="preserve">pour le régime soit en moyenne </w:t>
      </w:r>
      <w:r w:rsidR="00437915" w:rsidRPr="00437915">
        <w:rPr>
          <w:rFonts w:ascii="Calibri" w:eastAsia="Times New Roman" w:hAnsi="Calibri" w:cs="Calibri"/>
          <w:color w:val="000000"/>
          <w:sz w:val="22"/>
          <w:szCs w:val="22"/>
          <w:lang w:val="fr-CA" w:eastAsia="fr-CA"/>
        </w:rPr>
        <w:t>15</w:t>
      </w:r>
      <w:r w:rsidR="006F6766">
        <w:rPr>
          <w:rFonts w:ascii="Calibri" w:eastAsia="Times New Roman" w:hAnsi="Calibri" w:cs="Calibri"/>
          <w:color w:val="000000"/>
          <w:sz w:val="22"/>
          <w:szCs w:val="22"/>
          <w:lang w:val="fr-CA" w:eastAsia="fr-CA"/>
        </w:rPr>
        <w:t> </w:t>
      </w:r>
      <w:r w:rsidR="00437915" w:rsidRPr="00437915">
        <w:rPr>
          <w:rFonts w:ascii="Calibri" w:eastAsia="Times New Roman" w:hAnsi="Calibri" w:cs="Calibri"/>
          <w:color w:val="000000"/>
          <w:sz w:val="22"/>
          <w:szCs w:val="22"/>
          <w:lang w:val="fr-CA" w:eastAsia="fr-CA"/>
        </w:rPr>
        <w:t>217,14</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 xml:space="preserve">$ ce qui </w:t>
      </w:r>
      <w:r w:rsidR="006F6766">
        <w:rPr>
          <w:rFonts w:ascii="Calibri" w:eastAsia="Times New Roman" w:hAnsi="Calibri" w:cs="Calibri"/>
          <w:color w:val="000000"/>
          <w:sz w:val="22"/>
          <w:szCs w:val="22"/>
          <w:lang w:val="fr-CA" w:eastAsia="fr-CA"/>
        </w:rPr>
        <w:t>représente</w:t>
      </w:r>
      <w:r w:rsidR="00437915">
        <w:rPr>
          <w:rFonts w:ascii="Calibri" w:eastAsia="Times New Roman" w:hAnsi="Calibri" w:cs="Calibri"/>
          <w:color w:val="000000"/>
          <w:sz w:val="22"/>
          <w:szCs w:val="22"/>
          <w:lang w:val="fr-CA" w:eastAsia="fr-CA"/>
        </w:rPr>
        <w:t xml:space="preserve"> une augmentation de 7,3</w:t>
      </w:r>
      <w:r w:rsidR="006F6766">
        <w:rPr>
          <w:rFonts w:ascii="Calibri" w:eastAsia="Times New Roman" w:hAnsi="Calibri" w:cs="Calibri"/>
          <w:color w:val="000000"/>
          <w:sz w:val="22"/>
          <w:szCs w:val="22"/>
          <w:lang w:val="fr-CA" w:eastAsia="fr-CA"/>
        </w:rPr>
        <w:t> </w:t>
      </w:r>
      <w:r w:rsidR="00437915">
        <w:rPr>
          <w:rFonts w:ascii="Calibri" w:eastAsia="Times New Roman" w:hAnsi="Calibri" w:cs="Calibri"/>
          <w:color w:val="000000"/>
          <w:sz w:val="22"/>
          <w:szCs w:val="22"/>
          <w:lang w:val="fr-CA" w:eastAsia="fr-CA"/>
        </w:rPr>
        <w:t>% compar</w:t>
      </w:r>
      <w:r w:rsidR="006F6766">
        <w:rPr>
          <w:rFonts w:ascii="Calibri" w:eastAsia="Times New Roman" w:hAnsi="Calibri" w:cs="Calibri"/>
          <w:color w:val="000000"/>
          <w:sz w:val="22"/>
          <w:szCs w:val="22"/>
          <w:lang w:val="fr-CA" w:eastAsia="fr-CA"/>
        </w:rPr>
        <w:t>ativement</w:t>
      </w:r>
      <w:r w:rsidR="00437915">
        <w:rPr>
          <w:rFonts w:ascii="Calibri" w:eastAsia="Times New Roman" w:hAnsi="Calibri" w:cs="Calibri"/>
          <w:color w:val="000000"/>
          <w:sz w:val="22"/>
          <w:szCs w:val="22"/>
          <w:lang w:val="fr-CA" w:eastAsia="fr-CA"/>
        </w:rPr>
        <w:t xml:space="preserve"> à la rente sans indexation. De plus, il est possible d’observer que la variance </w:t>
      </w:r>
      <w:r w:rsidR="00437915">
        <w:rPr>
          <w:rFonts w:ascii="Calibri" w:eastAsia="Times New Roman" w:hAnsi="Calibri" w:cs="Calibri"/>
          <w:color w:val="000000"/>
          <w:sz w:val="22"/>
          <w:szCs w:val="22"/>
          <w:lang w:val="fr-CA" w:eastAsia="fr-CA"/>
        </w:rPr>
        <w:lastRenderedPageBreak/>
        <w:t xml:space="preserve">des résultats obtenus pour les simulations est de </w:t>
      </w:r>
      <w:r w:rsidR="00437915" w:rsidRPr="00437915">
        <w:rPr>
          <w:rFonts w:ascii="Calibri" w:eastAsia="Times New Roman" w:hAnsi="Calibri" w:cs="Calibri"/>
          <w:color w:val="000000"/>
          <w:sz w:val="22"/>
          <w:szCs w:val="22"/>
          <w:lang w:val="fr-CA" w:eastAsia="fr-CA"/>
        </w:rPr>
        <w:t>250</w:t>
      </w:r>
      <w:r w:rsidR="006F6766">
        <w:rPr>
          <w:rFonts w:ascii="Calibri" w:eastAsia="Times New Roman" w:hAnsi="Calibri" w:cs="Calibri"/>
          <w:color w:val="000000"/>
          <w:sz w:val="22"/>
          <w:szCs w:val="22"/>
          <w:lang w:val="fr-CA" w:eastAsia="fr-CA"/>
        </w:rPr>
        <w:t xml:space="preserve"> </w:t>
      </w:r>
      <w:r w:rsidR="00437915" w:rsidRPr="00437915">
        <w:rPr>
          <w:rFonts w:ascii="Calibri" w:eastAsia="Times New Roman" w:hAnsi="Calibri" w:cs="Calibri"/>
          <w:color w:val="000000"/>
          <w:sz w:val="22"/>
          <w:szCs w:val="22"/>
          <w:lang w:val="fr-CA" w:eastAsia="fr-CA"/>
        </w:rPr>
        <w:t>148,25</w:t>
      </w:r>
      <w:r w:rsidR="00437915">
        <w:rPr>
          <w:rFonts w:ascii="Calibri" w:eastAsia="Times New Roman" w:hAnsi="Calibri" w:cs="Calibri"/>
          <w:color w:val="000000"/>
          <w:sz w:val="22"/>
          <w:szCs w:val="22"/>
          <w:lang w:val="fr-CA" w:eastAsia="fr-CA"/>
        </w:rPr>
        <w:t xml:space="preserve"> ce qui représente une volatilité diminuée de </w:t>
      </w:r>
      <w:r w:rsidR="00437915" w:rsidRPr="00437915">
        <w:rPr>
          <w:rFonts w:ascii="Calibri" w:eastAsia="Times New Roman" w:hAnsi="Calibri" w:cs="Calibri"/>
          <w:color w:val="000000"/>
          <w:sz w:val="22"/>
          <w:szCs w:val="22"/>
          <w:lang w:val="fr-CA" w:eastAsia="fr-CA"/>
        </w:rPr>
        <w:t>78,31</w:t>
      </w:r>
      <w:r w:rsidR="006F6766">
        <w:rPr>
          <w:rFonts w:ascii="Calibri" w:eastAsia="Times New Roman" w:hAnsi="Calibri" w:cs="Calibri"/>
          <w:color w:val="000000"/>
          <w:sz w:val="22"/>
          <w:szCs w:val="22"/>
          <w:lang w:val="fr-CA" w:eastAsia="fr-CA"/>
        </w:rPr>
        <w:t> </w:t>
      </w:r>
      <w:r w:rsidR="00437915" w:rsidRPr="00437915">
        <w:rPr>
          <w:rFonts w:ascii="Calibri" w:eastAsia="Times New Roman" w:hAnsi="Calibri" w:cs="Calibri"/>
          <w:color w:val="000000"/>
          <w:sz w:val="22"/>
          <w:szCs w:val="22"/>
          <w:lang w:val="fr-CA" w:eastAsia="fr-CA"/>
        </w:rPr>
        <w:t>%</w:t>
      </w:r>
      <w:r w:rsidR="00437915">
        <w:rPr>
          <w:rFonts w:ascii="Calibri" w:eastAsia="Times New Roman" w:hAnsi="Calibri" w:cs="Calibri"/>
          <w:color w:val="000000"/>
          <w:sz w:val="22"/>
          <w:szCs w:val="22"/>
          <w:lang w:val="fr-CA" w:eastAsia="fr-CA"/>
        </w:rPr>
        <w:t xml:space="preserve"> comparée à la rente de base. Donc, cette formule de rente permet de diminuer l’écart des valeurs de rentes possibles comparativement à une rente sans indexation. De plus, cette formule entraîne les valeurs extrêmes les moins élevées soit un ECU 95</w:t>
      </w:r>
      <w:r w:rsidR="000D6FD7">
        <w:rPr>
          <w:rFonts w:ascii="Calibri" w:eastAsia="Times New Roman" w:hAnsi="Calibri" w:cs="Calibri"/>
          <w:color w:val="000000"/>
          <w:sz w:val="22"/>
          <w:szCs w:val="22"/>
          <w:lang w:val="fr-CA" w:eastAsia="fr-CA"/>
        </w:rPr>
        <w:t xml:space="preserve"> </w:t>
      </w:r>
      <w:r w:rsidR="00437915">
        <w:rPr>
          <w:rFonts w:ascii="Calibri" w:eastAsia="Times New Roman" w:hAnsi="Calibri" w:cs="Calibri"/>
          <w:color w:val="000000"/>
          <w:sz w:val="22"/>
          <w:szCs w:val="22"/>
          <w:lang w:val="fr-CA" w:eastAsia="fr-CA"/>
        </w:rPr>
        <w:t xml:space="preserve">% de </w:t>
      </w:r>
      <w:r w:rsidR="00437915" w:rsidRPr="00437915">
        <w:rPr>
          <w:rFonts w:ascii="Calibri" w:eastAsia="Times New Roman" w:hAnsi="Calibri" w:cs="Calibri"/>
          <w:color w:val="000000"/>
          <w:sz w:val="22"/>
          <w:szCs w:val="22"/>
          <w:lang w:val="fr-CA" w:eastAsia="fr-CA"/>
        </w:rPr>
        <w:t>16</w:t>
      </w:r>
      <w:r w:rsidR="00CD0F08">
        <w:rPr>
          <w:rFonts w:ascii="Calibri" w:eastAsia="Times New Roman" w:hAnsi="Calibri" w:cs="Calibri"/>
          <w:color w:val="000000"/>
          <w:sz w:val="22"/>
          <w:szCs w:val="22"/>
          <w:lang w:val="fr-CA" w:eastAsia="fr-CA"/>
        </w:rPr>
        <w:t> </w:t>
      </w:r>
      <w:r w:rsidR="00437915" w:rsidRPr="00437915">
        <w:rPr>
          <w:rFonts w:ascii="Calibri" w:eastAsia="Times New Roman" w:hAnsi="Calibri" w:cs="Calibri"/>
          <w:color w:val="000000"/>
          <w:sz w:val="22"/>
          <w:szCs w:val="22"/>
          <w:lang w:val="fr-CA" w:eastAsia="fr-CA"/>
        </w:rPr>
        <w:t>473,33</w:t>
      </w:r>
      <w:r w:rsidR="000D6FD7">
        <w:rPr>
          <w:rFonts w:ascii="Calibri" w:eastAsia="Times New Roman" w:hAnsi="Calibri" w:cs="Calibri"/>
          <w:color w:val="000000"/>
          <w:sz w:val="22"/>
          <w:szCs w:val="22"/>
          <w:lang w:val="fr-CA" w:eastAsia="fr-CA"/>
        </w:rPr>
        <w:t xml:space="preserve"> </w:t>
      </w:r>
      <w:r w:rsidR="00B53816">
        <w:rPr>
          <w:rFonts w:ascii="Calibri" w:eastAsia="Times New Roman" w:hAnsi="Calibri" w:cs="Calibri"/>
          <w:color w:val="000000"/>
          <w:sz w:val="22"/>
          <w:szCs w:val="22"/>
          <w:lang w:val="fr-CA" w:eastAsia="fr-CA"/>
        </w:rPr>
        <w:t xml:space="preserve">$ qui est une légère augmentation de </w:t>
      </w:r>
      <w:r w:rsidR="00B53816" w:rsidRPr="00B53816">
        <w:rPr>
          <w:rFonts w:ascii="Calibri" w:eastAsia="Times New Roman" w:hAnsi="Calibri" w:cs="Calibri"/>
          <w:lang w:val="fr-CA" w:eastAsia="fr-CA"/>
        </w:rPr>
        <w:t>1,59</w:t>
      </w:r>
      <w:r w:rsidR="000D6FD7">
        <w:rPr>
          <w:rFonts w:ascii="Calibri" w:eastAsia="Times New Roman" w:hAnsi="Calibri" w:cs="Calibri"/>
          <w:lang w:val="fr-CA" w:eastAsia="fr-CA"/>
        </w:rPr>
        <w:t xml:space="preserve"> </w:t>
      </w:r>
      <w:r w:rsidR="00B53816" w:rsidRPr="00B53816">
        <w:rPr>
          <w:rFonts w:ascii="Calibri" w:eastAsia="Times New Roman" w:hAnsi="Calibri" w:cs="Calibri"/>
          <w:lang w:val="fr-CA" w:eastAsia="fr-CA"/>
        </w:rPr>
        <w:t>%</w:t>
      </w:r>
      <w:r w:rsidR="00B53816">
        <w:rPr>
          <w:rFonts w:ascii="Calibri" w:eastAsia="Times New Roman" w:hAnsi="Calibri" w:cs="Calibri"/>
          <w:lang w:val="fr-CA" w:eastAsia="fr-CA"/>
        </w:rPr>
        <w:t xml:space="preserve"> comparée à la rente sans indexation.</w:t>
      </w:r>
      <w:r w:rsidR="001036F4">
        <w:rPr>
          <w:rFonts w:ascii="Calibri" w:eastAsia="Times New Roman" w:hAnsi="Calibri" w:cs="Calibri"/>
          <w:lang w:val="fr-CA" w:eastAsia="fr-CA"/>
        </w:rPr>
        <w:t xml:space="preserve"> L’utilisation de cette formule d’indexation entraînerait les coûts les moins élevées pour le régime dans la plupart des cas et donc, elle permettrait de respecter le</w:t>
      </w:r>
      <w:r w:rsidR="001036F4" w:rsidRPr="001036F4">
        <w:rPr>
          <w:rFonts w:ascii="Calibri" w:eastAsia="Times New Roman" w:hAnsi="Calibri" w:cs="Calibri"/>
          <w:color w:val="000000"/>
          <w:sz w:val="22"/>
          <w:szCs w:val="22"/>
          <w:lang w:val="fr-CA" w:eastAsia="fr-CA"/>
        </w:rPr>
        <w:t xml:space="preserve"> </w:t>
      </w:r>
      <w:r w:rsidR="001036F4">
        <w:rPr>
          <w:rFonts w:ascii="Calibri" w:eastAsia="Times New Roman" w:hAnsi="Calibri" w:cs="Calibri"/>
          <w:color w:val="000000"/>
          <w:sz w:val="22"/>
          <w:szCs w:val="22"/>
          <w:lang w:val="fr-CA" w:eastAsia="fr-CA"/>
        </w:rPr>
        <w:t>budget fixé (augmentation maximale de 1</w:t>
      </w:r>
      <w:r w:rsidR="00CD0F08">
        <w:rPr>
          <w:rFonts w:ascii="Calibri" w:eastAsia="Times New Roman" w:hAnsi="Calibri" w:cs="Calibri"/>
          <w:color w:val="000000"/>
          <w:sz w:val="22"/>
          <w:szCs w:val="22"/>
          <w:lang w:val="fr-CA" w:eastAsia="fr-CA"/>
        </w:rPr>
        <w:t> </w:t>
      </w:r>
      <w:r w:rsidR="001036F4">
        <w:rPr>
          <w:rFonts w:ascii="Calibri" w:eastAsia="Times New Roman" w:hAnsi="Calibri" w:cs="Calibri"/>
          <w:color w:val="000000"/>
          <w:sz w:val="22"/>
          <w:szCs w:val="22"/>
          <w:lang w:val="fr-CA" w:eastAsia="fr-CA"/>
        </w:rPr>
        <w:t>%</w:t>
      </w:r>
      <w:r w:rsidR="00CD0F08">
        <w:rPr>
          <w:rFonts w:ascii="Calibri" w:eastAsia="Times New Roman" w:hAnsi="Calibri" w:cs="Calibri"/>
          <w:color w:val="000000"/>
          <w:sz w:val="22"/>
          <w:szCs w:val="22"/>
          <w:lang w:val="fr-CA" w:eastAsia="fr-CA"/>
        </w:rPr>
        <w:t xml:space="preserve"> des</w:t>
      </w:r>
      <w:r w:rsidR="001036F4">
        <w:rPr>
          <w:rFonts w:ascii="Calibri" w:eastAsia="Times New Roman" w:hAnsi="Calibri" w:cs="Calibri"/>
          <w:color w:val="000000"/>
          <w:sz w:val="22"/>
          <w:szCs w:val="22"/>
          <w:lang w:val="fr-CA" w:eastAsia="fr-CA"/>
        </w:rPr>
        <w:t xml:space="preserve"> cotisation</w:t>
      </w:r>
      <w:r w:rsidR="00CD0F08">
        <w:rPr>
          <w:rFonts w:ascii="Calibri" w:eastAsia="Times New Roman" w:hAnsi="Calibri" w:cs="Calibri"/>
          <w:color w:val="000000"/>
          <w:sz w:val="22"/>
          <w:szCs w:val="22"/>
          <w:lang w:val="fr-CA" w:eastAsia="fr-CA"/>
        </w:rPr>
        <w:t>s</w:t>
      </w:r>
      <w:r w:rsidR="001036F4">
        <w:rPr>
          <w:rFonts w:ascii="Calibri" w:eastAsia="Times New Roman" w:hAnsi="Calibri" w:cs="Calibri"/>
          <w:color w:val="000000"/>
          <w:sz w:val="22"/>
          <w:szCs w:val="22"/>
          <w:lang w:val="fr-CA" w:eastAsia="fr-CA"/>
        </w:rPr>
        <w:t xml:space="preserve"> salariale</w:t>
      </w:r>
      <w:r w:rsidR="00CD0F08">
        <w:rPr>
          <w:rFonts w:ascii="Calibri" w:eastAsia="Times New Roman" w:hAnsi="Calibri" w:cs="Calibri"/>
          <w:color w:val="000000"/>
          <w:sz w:val="22"/>
          <w:szCs w:val="22"/>
          <w:lang w:val="fr-CA" w:eastAsia="fr-CA"/>
        </w:rPr>
        <w:t>s</w:t>
      </w:r>
      <w:r w:rsidR="001036F4">
        <w:rPr>
          <w:rFonts w:ascii="Calibri" w:eastAsia="Times New Roman" w:hAnsi="Calibri" w:cs="Calibri"/>
          <w:color w:val="000000"/>
          <w:sz w:val="22"/>
          <w:szCs w:val="22"/>
          <w:lang w:val="fr-CA" w:eastAsia="fr-CA"/>
        </w:rPr>
        <w:t xml:space="preserve">, 1 % </w:t>
      </w:r>
      <w:r w:rsidR="00CD0F08">
        <w:rPr>
          <w:rFonts w:ascii="Calibri" w:eastAsia="Times New Roman" w:hAnsi="Calibri" w:cs="Calibri"/>
          <w:color w:val="000000"/>
          <w:sz w:val="22"/>
          <w:szCs w:val="22"/>
          <w:lang w:val="fr-CA" w:eastAsia="fr-CA"/>
        </w:rPr>
        <w:t xml:space="preserve">des </w:t>
      </w:r>
      <w:r w:rsidR="001036F4">
        <w:rPr>
          <w:rFonts w:ascii="Calibri" w:eastAsia="Times New Roman" w:hAnsi="Calibri" w:cs="Calibri"/>
          <w:color w:val="000000"/>
          <w:sz w:val="22"/>
          <w:szCs w:val="22"/>
          <w:lang w:val="fr-CA" w:eastAsia="fr-CA"/>
        </w:rPr>
        <w:t>cotisation</w:t>
      </w:r>
      <w:r w:rsidR="00CD0F08">
        <w:rPr>
          <w:rFonts w:ascii="Calibri" w:eastAsia="Times New Roman" w:hAnsi="Calibri" w:cs="Calibri"/>
          <w:color w:val="000000"/>
          <w:sz w:val="22"/>
          <w:szCs w:val="22"/>
          <w:lang w:val="fr-CA" w:eastAsia="fr-CA"/>
        </w:rPr>
        <w:t>s</w:t>
      </w:r>
      <w:r w:rsidR="001036F4">
        <w:rPr>
          <w:rFonts w:ascii="Calibri" w:eastAsia="Times New Roman" w:hAnsi="Calibri" w:cs="Calibri"/>
          <w:color w:val="000000"/>
          <w:sz w:val="22"/>
          <w:szCs w:val="22"/>
          <w:lang w:val="fr-CA" w:eastAsia="fr-CA"/>
        </w:rPr>
        <w:t xml:space="preserve"> patronale</w:t>
      </w:r>
      <w:r w:rsidR="00CD0F08">
        <w:rPr>
          <w:rFonts w:ascii="Calibri" w:eastAsia="Times New Roman" w:hAnsi="Calibri" w:cs="Calibri"/>
          <w:color w:val="000000"/>
          <w:sz w:val="22"/>
          <w:szCs w:val="22"/>
          <w:lang w:val="fr-CA" w:eastAsia="fr-CA"/>
        </w:rPr>
        <w:t>s</w:t>
      </w:r>
      <w:r w:rsidR="001036F4">
        <w:rPr>
          <w:rFonts w:ascii="Calibri" w:eastAsia="Times New Roman" w:hAnsi="Calibri" w:cs="Calibri"/>
          <w:color w:val="000000"/>
          <w:sz w:val="22"/>
          <w:szCs w:val="22"/>
          <w:lang w:val="fr-CA" w:eastAsia="fr-CA"/>
        </w:rPr>
        <w:t>).</w:t>
      </w:r>
    </w:p>
    <w:p w14:paraId="6559A0C7" w14:textId="229A8792" w:rsidR="00B53816" w:rsidRDefault="00B53816" w:rsidP="000D6FD7">
      <w:pPr>
        <w:rPr>
          <w:rFonts w:ascii="Calibri" w:eastAsia="Times New Roman" w:hAnsi="Calibri" w:cs="Calibri"/>
          <w:lang w:val="fr-CA" w:eastAsia="fr-CA"/>
        </w:rPr>
      </w:pPr>
    </w:p>
    <w:p w14:paraId="4A01DE42" w14:textId="44B85FC5" w:rsidR="000D6FD7" w:rsidRDefault="000D6FD7" w:rsidP="000D6FD7">
      <w:pPr>
        <w:rPr>
          <w:rFonts w:ascii="Calibri" w:eastAsia="Times New Roman" w:hAnsi="Calibri" w:cs="Calibri"/>
          <w:lang w:val="fr-CA" w:eastAsia="fr-CA"/>
        </w:rPr>
      </w:pPr>
    </w:p>
    <w:p w14:paraId="703EE194" w14:textId="3760E2E0" w:rsidR="000D6FD7" w:rsidRPr="00B53816" w:rsidRDefault="000D6FD7" w:rsidP="00154447">
      <w:pPr>
        <w:rPr>
          <w:rFonts w:ascii="Calibri" w:eastAsia="Times New Roman" w:hAnsi="Calibri" w:cs="Calibri"/>
          <w:lang w:val="fr-CA" w:eastAsia="fr-CA"/>
        </w:rPr>
      </w:pPr>
      <w:r>
        <w:rPr>
          <w:rFonts w:ascii="Calibri" w:eastAsia="Times New Roman" w:hAnsi="Calibri" w:cs="Calibri"/>
          <w:lang w:val="fr-CA" w:eastAsia="fr-CA"/>
        </w:rPr>
        <w:tab/>
      </w:r>
    </w:p>
    <w:p w14:paraId="39BFF0E4" w14:textId="30DE4D7F" w:rsidR="00AB4D9C" w:rsidRDefault="00B24FF9" w:rsidP="00AB4D9C">
      <w:pPr>
        <w:rPr>
          <w:rFonts w:ascii="Calibri" w:eastAsia="Times New Roman" w:hAnsi="Calibri" w:cs="Calibri"/>
          <w:color w:val="000000"/>
          <w:sz w:val="22"/>
          <w:szCs w:val="22"/>
          <w:lang w:eastAsia="fr-CA"/>
        </w:rPr>
      </w:pPr>
      <w:r w:rsidRPr="00154447">
        <w:rPr>
          <w:rFonts w:ascii="Calibri" w:eastAsia="Times New Roman" w:hAnsi="Calibri" w:cs="Calibri"/>
          <w:color w:val="000000"/>
          <w:sz w:val="22"/>
          <w:szCs w:val="22"/>
          <w:lang w:val="fr-CA" w:eastAsia="fr-CA"/>
        </w:rPr>
        <w:tab/>
        <w:t xml:space="preserve">En observant le tableau, il est facile de remarquer que la formule d’indexation qui entraîne </w:t>
      </w:r>
      <w:r w:rsidR="00154447" w:rsidRPr="00154447">
        <w:rPr>
          <w:rFonts w:ascii="Calibri" w:eastAsia="Times New Roman" w:hAnsi="Calibri" w:cs="Calibri"/>
          <w:color w:val="000000"/>
          <w:sz w:val="22"/>
          <w:szCs w:val="22"/>
          <w:lang w:val="fr-CA" w:eastAsia="fr-CA"/>
        </w:rPr>
        <w:t xml:space="preserve">la plus grande variabilité des résultats est la formule </w:t>
      </w:r>
      <w:r w:rsidR="00154447">
        <w:rPr>
          <w:rFonts w:ascii="Calibri" w:eastAsia="Times New Roman" w:hAnsi="Calibri" w:cs="Calibri"/>
          <w:color w:val="000000"/>
          <w:sz w:val="22"/>
          <w:szCs w:val="22"/>
          <w:lang w:val="fr-CA" w:eastAsia="fr-CA"/>
        </w:rPr>
        <w:t xml:space="preserve">d’indexation </w:t>
      </w:r>
      <w:r w:rsidR="00154447" w:rsidRPr="00154447">
        <w:rPr>
          <w:rFonts w:ascii="Calibri" w:eastAsia="Times New Roman" w:hAnsi="Calibri" w:cs="Calibri"/>
          <w:color w:val="000000"/>
          <w:sz w:val="22"/>
          <w:szCs w:val="22"/>
          <w:lang w:val="fr-CA" w:eastAsia="fr-CA"/>
        </w:rPr>
        <w:t>50 % d’inflation limitée à 2 %. La variance des 1000 scénarios est de 1</w:t>
      </w:r>
      <w:r w:rsidR="00CD0F08">
        <w:rPr>
          <w:rFonts w:ascii="Calibri" w:eastAsia="Times New Roman" w:hAnsi="Calibri" w:cs="Calibri"/>
          <w:color w:val="000000"/>
          <w:sz w:val="22"/>
          <w:szCs w:val="22"/>
          <w:lang w:val="fr-CA" w:eastAsia="fr-CA"/>
        </w:rPr>
        <w:t> </w:t>
      </w:r>
      <w:r w:rsidR="00154447" w:rsidRPr="00154447">
        <w:rPr>
          <w:rFonts w:ascii="Calibri" w:eastAsia="Times New Roman" w:hAnsi="Calibri" w:cs="Calibri"/>
          <w:color w:val="000000"/>
          <w:sz w:val="22"/>
          <w:szCs w:val="22"/>
          <w:lang w:val="fr-CA" w:eastAsia="fr-CA"/>
        </w:rPr>
        <w:t>265</w:t>
      </w:r>
      <w:r w:rsidR="00CD0F08">
        <w:rPr>
          <w:rFonts w:ascii="Calibri" w:eastAsia="Times New Roman" w:hAnsi="Calibri" w:cs="Calibri"/>
          <w:color w:val="000000"/>
          <w:sz w:val="22"/>
          <w:szCs w:val="22"/>
          <w:lang w:val="fr-CA" w:eastAsia="fr-CA"/>
        </w:rPr>
        <w:t> </w:t>
      </w:r>
      <w:r w:rsidR="00154447" w:rsidRPr="00154447">
        <w:rPr>
          <w:rFonts w:ascii="Calibri" w:eastAsia="Times New Roman" w:hAnsi="Calibri" w:cs="Calibri"/>
          <w:color w:val="000000"/>
          <w:sz w:val="22"/>
          <w:szCs w:val="22"/>
          <w:lang w:val="fr-CA" w:eastAsia="fr-CA"/>
        </w:rPr>
        <w:t>173,18</w:t>
      </w:r>
      <w:r w:rsidR="00154447">
        <w:rPr>
          <w:rFonts w:ascii="Calibri" w:eastAsia="Times New Roman" w:hAnsi="Calibri" w:cs="Calibri"/>
          <w:color w:val="000000"/>
          <w:sz w:val="22"/>
          <w:szCs w:val="22"/>
          <w:lang w:val="fr-CA" w:eastAsia="fr-CA"/>
        </w:rPr>
        <w:t xml:space="preserve"> ce qui est une augmentation de 9,69</w:t>
      </w:r>
      <w:r w:rsidR="00CD0F08">
        <w:rPr>
          <w:rFonts w:ascii="Calibri" w:eastAsia="Times New Roman" w:hAnsi="Calibri" w:cs="Calibri"/>
          <w:color w:val="000000"/>
          <w:sz w:val="22"/>
          <w:szCs w:val="22"/>
          <w:lang w:val="fr-CA" w:eastAsia="fr-CA"/>
        </w:rPr>
        <w:t> </w:t>
      </w:r>
      <w:r w:rsidR="00154447">
        <w:rPr>
          <w:rFonts w:ascii="Calibri" w:eastAsia="Times New Roman" w:hAnsi="Calibri" w:cs="Calibri"/>
          <w:color w:val="000000"/>
          <w:sz w:val="22"/>
          <w:szCs w:val="22"/>
          <w:lang w:val="fr-CA" w:eastAsia="fr-CA"/>
        </w:rPr>
        <w:t xml:space="preserve">% comparée à la formule de rente sans indexation. Cette variabilité implique que la formule d’indexation </w:t>
      </w:r>
      <w:r w:rsidR="00154447" w:rsidRPr="00154447">
        <w:rPr>
          <w:rFonts w:ascii="Calibri" w:eastAsia="Times New Roman" w:hAnsi="Calibri" w:cs="Calibri"/>
          <w:color w:val="000000"/>
          <w:sz w:val="22"/>
          <w:szCs w:val="22"/>
          <w:lang w:val="fr-CA" w:eastAsia="fr-CA"/>
        </w:rPr>
        <w:t>50 % d’inflation limitée à 2 %</w:t>
      </w:r>
      <w:r w:rsidR="00154447">
        <w:rPr>
          <w:rFonts w:ascii="Calibri" w:eastAsia="Times New Roman" w:hAnsi="Calibri" w:cs="Calibri"/>
          <w:color w:val="000000"/>
          <w:sz w:val="22"/>
          <w:szCs w:val="22"/>
          <w:lang w:val="fr-CA" w:eastAsia="fr-CA"/>
        </w:rPr>
        <w:t xml:space="preserve"> entraîne que les valeurs sont plus dispersées autour de la moyenne et donc, que la valeur de la rente qui serait calculée avec cette formule serait </w:t>
      </w:r>
      <w:r w:rsidR="00FE6855">
        <w:rPr>
          <w:rFonts w:ascii="Calibri" w:eastAsia="Times New Roman" w:hAnsi="Calibri" w:cs="Calibri"/>
          <w:color w:val="000000"/>
          <w:sz w:val="22"/>
          <w:szCs w:val="22"/>
          <w:lang w:val="fr-CA" w:eastAsia="fr-CA"/>
        </w:rPr>
        <w:t xml:space="preserve">plus </w:t>
      </w:r>
      <w:r w:rsidR="00154447">
        <w:rPr>
          <w:rFonts w:ascii="Calibri" w:eastAsia="Times New Roman" w:hAnsi="Calibri" w:cs="Calibri"/>
          <w:color w:val="000000"/>
          <w:sz w:val="22"/>
          <w:szCs w:val="22"/>
          <w:lang w:val="fr-CA" w:eastAsia="fr-CA"/>
        </w:rPr>
        <w:t xml:space="preserve">dépendante </w:t>
      </w:r>
      <w:r w:rsidR="00FE6855">
        <w:rPr>
          <w:rFonts w:ascii="Calibri" w:eastAsia="Times New Roman" w:hAnsi="Calibri" w:cs="Calibri"/>
          <w:color w:val="000000"/>
          <w:sz w:val="22"/>
          <w:szCs w:val="22"/>
          <w:lang w:val="fr-CA" w:eastAsia="fr-CA"/>
        </w:rPr>
        <w:t xml:space="preserve">de la valeur de l’inflation. Cette formule d’indexation est idéale pour comparer avec la valeur d’une rente calculé avec l’indexation déterministe de 2 %. Pour l’indexation déterministe à 2 %, </w:t>
      </w:r>
      <w:r w:rsidR="00CD0F08">
        <w:rPr>
          <w:rFonts w:ascii="Calibri" w:eastAsia="Times New Roman" w:hAnsi="Calibri" w:cs="Calibri"/>
          <w:color w:val="000000"/>
          <w:sz w:val="22"/>
          <w:szCs w:val="22"/>
          <w:lang w:val="fr-CA" w:eastAsia="fr-CA"/>
        </w:rPr>
        <w:t>nous calculons</w:t>
      </w:r>
      <w:r w:rsidR="00FE6855">
        <w:rPr>
          <w:rFonts w:ascii="Calibri" w:eastAsia="Times New Roman" w:hAnsi="Calibri" w:cs="Calibri"/>
          <w:color w:val="000000"/>
          <w:sz w:val="22"/>
          <w:szCs w:val="22"/>
          <w:lang w:val="fr-CA" w:eastAsia="fr-CA"/>
        </w:rPr>
        <w:t xml:space="preserve"> que la valeur actualisée d’une rente de 1 $ pour notre participant fictif serait de 18,71 $. Dans le cas de la formule </w:t>
      </w:r>
      <w:r w:rsidR="00FE6855" w:rsidRPr="00154447">
        <w:rPr>
          <w:rFonts w:ascii="Calibri" w:eastAsia="Times New Roman" w:hAnsi="Calibri" w:cs="Calibri"/>
          <w:color w:val="000000"/>
          <w:sz w:val="22"/>
          <w:szCs w:val="22"/>
          <w:lang w:val="fr-CA" w:eastAsia="fr-CA"/>
        </w:rPr>
        <w:t>50 % d’inflation limitée à 2 %</w:t>
      </w:r>
      <w:r w:rsidR="00FE6855">
        <w:rPr>
          <w:rFonts w:ascii="Calibri" w:eastAsia="Times New Roman" w:hAnsi="Calibri" w:cs="Calibri"/>
          <w:color w:val="000000"/>
          <w:sz w:val="22"/>
          <w:szCs w:val="22"/>
          <w:lang w:val="fr-CA" w:eastAsia="fr-CA"/>
        </w:rPr>
        <w:t>, à partir des 1000 scénarios, on a obtenu une moyenne</w:t>
      </w:r>
      <w:r w:rsidR="00CD0F08">
        <w:rPr>
          <w:rFonts w:ascii="Calibri" w:eastAsia="Times New Roman" w:hAnsi="Calibri" w:cs="Calibri"/>
          <w:color w:val="000000"/>
          <w:sz w:val="22"/>
          <w:szCs w:val="22"/>
          <w:lang w:val="fr-CA" w:eastAsia="fr-CA"/>
        </w:rPr>
        <w:t>,</w:t>
      </w:r>
      <w:r w:rsidR="00FE6855">
        <w:rPr>
          <w:rFonts w:ascii="Calibri" w:eastAsia="Times New Roman" w:hAnsi="Calibri" w:cs="Calibri"/>
          <w:color w:val="000000"/>
          <w:sz w:val="22"/>
          <w:szCs w:val="22"/>
          <w:lang w:val="fr-CA" w:eastAsia="fr-CA"/>
        </w:rPr>
        <w:t xml:space="preserve"> pour une rente de 1$</w:t>
      </w:r>
      <w:r w:rsidR="00CD0F08">
        <w:rPr>
          <w:rFonts w:ascii="Calibri" w:eastAsia="Times New Roman" w:hAnsi="Calibri" w:cs="Calibri"/>
          <w:color w:val="000000"/>
          <w:sz w:val="22"/>
          <w:szCs w:val="22"/>
          <w:lang w:val="fr-CA" w:eastAsia="fr-CA"/>
        </w:rPr>
        <w:t>,</w:t>
      </w:r>
      <w:r w:rsidR="00FE6855">
        <w:rPr>
          <w:rFonts w:ascii="Calibri" w:eastAsia="Times New Roman" w:hAnsi="Calibri" w:cs="Calibri"/>
          <w:color w:val="000000"/>
          <w:sz w:val="22"/>
          <w:szCs w:val="22"/>
          <w:lang w:val="fr-CA" w:eastAsia="fr-CA"/>
        </w:rPr>
        <w:t xml:space="preserve"> de </w:t>
      </w:r>
      <w:r w:rsidR="00FE6855" w:rsidRPr="00FE6855">
        <w:rPr>
          <w:rFonts w:ascii="Calibri" w:eastAsia="Times New Roman" w:hAnsi="Calibri" w:cs="Calibri"/>
          <w:color w:val="000000"/>
          <w:sz w:val="22"/>
          <w:szCs w:val="22"/>
          <w:lang w:eastAsia="fr-CA"/>
        </w:rPr>
        <w:t>15</w:t>
      </w:r>
      <w:r w:rsidR="00FE6855">
        <w:rPr>
          <w:rFonts w:ascii="Calibri" w:eastAsia="Times New Roman" w:hAnsi="Calibri" w:cs="Calibri"/>
          <w:color w:val="000000"/>
          <w:sz w:val="22"/>
          <w:szCs w:val="22"/>
          <w:lang w:eastAsia="fr-CA"/>
        </w:rPr>
        <w:t>,</w:t>
      </w:r>
      <w:r w:rsidR="00FE6855" w:rsidRPr="00FE6855">
        <w:rPr>
          <w:rFonts w:ascii="Calibri" w:eastAsia="Times New Roman" w:hAnsi="Calibri" w:cs="Calibri"/>
          <w:color w:val="000000"/>
          <w:sz w:val="22"/>
          <w:szCs w:val="22"/>
          <w:lang w:eastAsia="fr-CA"/>
        </w:rPr>
        <w:t>59</w:t>
      </w:r>
      <w:r w:rsidR="00CD0F08">
        <w:rPr>
          <w:rFonts w:ascii="Calibri" w:eastAsia="Times New Roman" w:hAnsi="Calibri" w:cs="Calibri"/>
          <w:color w:val="000000"/>
          <w:sz w:val="22"/>
          <w:szCs w:val="22"/>
          <w:lang w:eastAsia="fr-CA"/>
        </w:rPr>
        <w:t> </w:t>
      </w:r>
      <w:r w:rsidR="00FE6855">
        <w:rPr>
          <w:rFonts w:ascii="Calibri" w:eastAsia="Times New Roman" w:hAnsi="Calibri" w:cs="Calibri"/>
          <w:color w:val="000000"/>
          <w:sz w:val="22"/>
          <w:szCs w:val="22"/>
          <w:lang w:eastAsia="fr-CA"/>
        </w:rPr>
        <w:t xml:space="preserve">$ </w:t>
      </w:r>
      <w:r w:rsidR="00AB4D9C">
        <w:rPr>
          <w:rFonts w:ascii="Calibri" w:eastAsia="Times New Roman" w:hAnsi="Calibri" w:cs="Calibri"/>
          <w:color w:val="000000"/>
          <w:sz w:val="22"/>
          <w:szCs w:val="22"/>
          <w:lang w:eastAsia="fr-CA"/>
        </w:rPr>
        <w:t>et une valeur maximale</w:t>
      </w:r>
      <w:r w:rsidR="00CD0F08">
        <w:rPr>
          <w:rFonts w:ascii="Calibri" w:eastAsia="Times New Roman" w:hAnsi="Calibri" w:cs="Calibri"/>
          <w:color w:val="000000"/>
          <w:sz w:val="22"/>
          <w:szCs w:val="22"/>
          <w:lang w:eastAsia="fr-CA"/>
        </w:rPr>
        <w:t>, toujours</w:t>
      </w:r>
      <w:r w:rsidR="00AB4D9C">
        <w:rPr>
          <w:rFonts w:ascii="Calibri" w:eastAsia="Times New Roman" w:hAnsi="Calibri" w:cs="Calibri"/>
          <w:color w:val="000000"/>
          <w:sz w:val="22"/>
          <w:szCs w:val="22"/>
          <w:lang w:eastAsia="fr-CA"/>
        </w:rPr>
        <w:t xml:space="preserve"> pour une rente de 1 $</w:t>
      </w:r>
      <w:r w:rsidR="00CD0F08">
        <w:rPr>
          <w:rFonts w:ascii="Calibri" w:eastAsia="Times New Roman" w:hAnsi="Calibri" w:cs="Calibri"/>
          <w:color w:val="000000"/>
          <w:sz w:val="22"/>
          <w:szCs w:val="22"/>
          <w:lang w:eastAsia="fr-CA"/>
        </w:rPr>
        <w:t>,</w:t>
      </w:r>
      <w:r w:rsidR="00AB4D9C">
        <w:rPr>
          <w:rFonts w:ascii="Calibri" w:eastAsia="Times New Roman" w:hAnsi="Calibri" w:cs="Calibri"/>
          <w:color w:val="000000"/>
          <w:sz w:val="22"/>
          <w:szCs w:val="22"/>
          <w:lang w:eastAsia="fr-CA"/>
        </w:rPr>
        <w:t xml:space="preserve"> de </w:t>
      </w:r>
      <w:r w:rsidR="00AB4D9C" w:rsidRPr="00AB4D9C">
        <w:rPr>
          <w:rFonts w:ascii="Calibri" w:eastAsia="Times New Roman" w:hAnsi="Calibri" w:cs="Calibri"/>
          <w:color w:val="000000"/>
          <w:sz w:val="22"/>
          <w:szCs w:val="22"/>
          <w:lang w:eastAsia="fr-CA"/>
        </w:rPr>
        <w:t>17</w:t>
      </w:r>
      <w:r w:rsidR="00AB4D9C">
        <w:rPr>
          <w:rFonts w:ascii="Calibri" w:eastAsia="Times New Roman" w:hAnsi="Calibri" w:cs="Calibri"/>
          <w:color w:val="000000"/>
          <w:sz w:val="22"/>
          <w:szCs w:val="22"/>
          <w:lang w:eastAsia="fr-CA"/>
        </w:rPr>
        <w:t>,</w:t>
      </w:r>
      <w:r w:rsidR="00AB4D9C" w:rsidRPr="00AB4D9C">
        <w:rPr>
          <w:rFonts w:ascii="Calibri" w:eastAsia="Times New Roman" w:hAnsi="Calibri" w:cs="Calibri"/>
          <w:color w:val="000000"/>
          <w:sz w:val="22"/>
          <w:szCs w:val="22"/>
          <w:lang w:eastAsia="fr-CA"/>
        </w:rPr>
        <w:t>9</w:t>
      </w:r>
      <w:r w:rsidR="00AB4D9C">
        <w:rPr>
          <w:rFonts w:ascii="Calibri" w:eastAsia="Times New Roman" w:hAnsi="Calibri" w:cs="Calibri"/>
          <w:color w:val="000000"/>
          <w:sz w:val="22"/>
          <w:szCs w:val="22"/>
          <w:lang w:eastAsia="fr-CA"/>
        </w:rPr>
        <w:t>8 $. C’est donc dire que l’indexation déterministe de 2</w:t>
      </w:r>
      <w:r w:rsidR="00CD0F08">
        <w:rPr>
          <w:rFonts w:ascii="Calibri" w:eastAsia="Times New Roman" w:hAnsi="Calibri" w:cs="Calibri"/>
          <w:color w:val="000000"/>
          <w:sz w:val="22"/>
          <w:szCs w:val="22"/>
          <w:lang w:eastAsia="fr-CA"/>
        </w:rPr>
        <w:t> </w:t>
      </w:r>
      <w:r w:rsidR="00AB4D9C">
        <w:rPr>
          <w:rFonts w:ascii="Calibri" w:eastAsia="Times New Roman" w:hAnsi="Calibri" w:cs="Calibri"/>
          <w:color w:val="000000"/>
          <w:sz w:val="22"/>
          <w:szCs w:val="22"/>
          <w:lang w:eastAsia="fr-CA"/>
        </w:rPr>
        <w:t xml:space="preserve">% coûterait plus cher que cette formule d’indexation puisque la valeur actualisée de la rente calculée est plus grande que les valeurs actualisées de rente qui ont été calculés avec la formule et les 1000 scénarios d’inflation. </w:t>
      </w:r>
    </w:p>
    <w:p w14:paraId="5ED45A5C" w14:textId="139B5351" w:rsidR="00AB4D9C" w:rsidRDefault="00AB4D9C" w:rsidP="00AB4D9C">
      <w:pPr>
        <w:rPr>
          <w:rFonts w:ascii="Calibri" w:eastAsia="Times New Roman" w:hAnsi="Calibri" w:cs="Calibri"/>
          <w:color w:val="000000"/>
          <w:sz w:val="22"/>
          <w:szCs w:val="22"/>
          <w:lang w:eastAsia="fr-CA"/>
        </w:rPr>
      </w:pPr>
    </w:p>
    <w:p w14:paraId="48D80060" w14:textId="21933453" w:rsidR="00AB4D9C" w:rsidRPr="00AB4D9C" w:rsidRDefault="00AB4D9C" w:rsidP="00AB4D9C">
      <w:pPr>
        <w:rPr>
          <w:rFonts w:ascii="Calibri" w:eastAsia="Times New Roman" w:hAnsi="Calibri" w:cs="Calibri"/>
          <w:color w:val="000000"/>
          <w:sz w:val="22"/>
          <w:szCs w:val="22"/>
          <w:lang w:eastAsia="fr-CA"/>
        </w:rPr>
      </w:pPr>
      <w:r>
        <w:rPr>
          <w:rFonts w:ascii="Calibri" w:eastAsia="Times New Roman" w:hAnsi="Calibri" w:cs="Calibri"/>
          <w:color w:val="000000"/>
          <w:sz w:val="22"/>
          <w:szCs w:val="22"/>
          <w:lang w:eastAsia="fr-CA"/>
        </w:rPr>
        <w:tab/>
      </w:r>
    </w:p>
    <w:p w14:paraId="71CEE6CA" w14:textId="5EE3E8AD" w:rsidR="00C41568" w:rsidRDefault="00AB4D9C" w:rsidP="00C41568">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eastAsia="fr-CA"/>
        </w:rPr>
        <w:tab/>
      </w:r>
      <w:r w:rsidRPr="00C41568">
        <w:rPr>
          <w:rFonts w:ascii="Calibri" w:eastAsia="Times New Roman" w:hAnsi="Calibri" w:cs="Calibri"/>
          <w:color w:val="000000"/>
          <w:sz w:val="22"/>
          <w:szCs w:val="22"/>
          <w:lang w:eastAsia="fr-CA"/>
        </w:rPr>
        <w:t>Pour la formule 75 % de l’inflation limitée à 6 %, on remarque qu’elle entraîne des valeurs actualisées de rente plutôt élevées. En effet, cette formule d’indexation entraîne la 2</w:t>
      </w:r>
      <w:r w:rsidRPr="00C41568">
        <w:rPr>
          <w:rFonts w:ascii="Calibri" w:eastAsia="Times New Roman" w:hAnsi="Calibri" w:cs="Calibri"/>
          <w:color w:val="000000"/>
          <w:sz w:val="22"/>
          <w:szCs w:val="22"/>
          <w:vertAlign w:val="superscript"/>
          <w:lang w:eastAsia="fr-CA"/>
        </w:rPr>
        <w:t>ème</w:t>
      </w:r>
      <w:r w:rsidRPr="00C41568">
        <w:rPr>
          <w:rFonts w:ascii="Calibri" w:eastAsia="Times New Roman" w:hAnsi="Calibri" w:cs="Calibri"/>
          <w:color w:val="000000"/>
          <w:sz w:val="22"/>
          <w:szCs w:val="22"/>
          <w:lang w:eastAsia="fr-CA"/>
        </w:rPr>
        <w:t xml:space="preserve"> moyenne la plus élevée soit une</w:t>
      </w:r>
      <w:r w:rsidR="001C3F0D" w:rsidRPr="00C41568">
        <w:rPr>
          <w:rFonts w:ascii="Calibri" w:eastAsia="Times New Roman" w:hAnsi="Calibri" w:cs="Calibri"/>
          <w:color w:val="000000"/>
          <w:sz w:val="22"/>
          <w:szCs w:val="22"/>
          <w:lang w:eastAsia="fr-CA"/>
        </w:rPr>
        <w:t xml:space="preserve"> </w:t>
      </w:r>
      <w:r w:rsidRPr="00C41568">
        <w:rPr>
          <w:rFonts w:ascii="Calibri" w:eastAsia="Times New Roman" w:hAnsi="Calibri" w:cs="Calibri"/>
          <w:color w:val="000000"/>
          <w:sz w:val="22"/>
          <w:szCs w:val="22"/>
          <w:lang w:eastAsia="fr-CA"/>
        </w:rPr>
        <w:t>moyenne de 176</w:t>
      </w:r>
      <w:r w:rsidR="00CD0F08">
        <w:rPr>
          <w:rFonts w:ascii="Calibri" w:eastAsia="Times New Roman" w:hAnsi="Calibri" w:cs="Calibri"/>
          <w:color w:val="000000"/>
          <w:sz w:val="22"/>
          <w:szCs w:val="22"/>
          <w:lang w:eastAsia="fr-CA"/>
        </w:rPr>
        <w:t> </w:t>
      </w:r>
      <w:r w:rsidRPr="00C41568">
        <w:rPr>
          <w:rFonts w:ascii="Calibri" w:eastAsia="Times New Roman" w:hAnsi="Calibri" w:cs="Calibri"/>
          <w:color w:val="000000"/>
          <w:sz w:val="22"/>
          <w:szCs w:val="22"/>
          <w:lang w:eastAsia="fr-CA"/>
        </w:rPr>
        <w:t>33,02 $</w:t>
      </w:r>
      <w:r w:rsidR="00CD0F08">
        <w:rPr>
          <w:rFonts w:ascii="Calibri" w:eastAsia="Times New Roman" w:hAnsi="Calibri" w:cs="Calibri"/>
          <w:color w:val="000000"/>
          <w:sz w:val="22"/>
          <w:szCs w:val="22"/>
          <w:lang w:eastAsia="fr-CA"/>
        </w:rPr>
        <w:t>,</w:t>
      </w:r>
      <w:r w:rsidRPr="00C41568">
        <w:rPr>
          <w:rFonts w:ascii="Calibri" w:eastAsia="Times New Roman" w:hAnsi="Calibri" w:cs="Calibri"/>
          <w:color w:val="000000"/>
          <w:sz w:val="22"/>
          <w:szCs w:val="22"/>
          <w:lang w:eastAsia="fr-CA"/>
        </w:rPr>
        <w:t xml:space="preserve"> ce qui </w:t>
      </w:r>
      <w:r w:rsidR="00CD0F08">
        <w:rPr>
          <w:rFonts w:ascii="Calibri" w:eastAsia="Times New Roman" w:hAnsi="Calibri" w:cs="Calibri"/>
          <w:color w:val="000000"/>
          <w:sz w:val="22"/>
          <w:szCs w:val="22"/>
          <w:lang w:eastAsia="fr-CA"/>
        </w:rPr>
        <w:t>représente</w:t>
      </w:r>
      <w:r w:rsidRPr="00C41568">
        <w:rPr>
          <w:rFonts w:ascii="Calibri" w:eastAsia="Times New Roman" w:hAnsi="Calibri" w:cs="Calibri"/>
          <w:color w:val="000000"/>
          <w:sz w:val="22"/>
          <w:szCs w:val="22"/>
          <w:lang w:eastAsia="fr-CA"/>
        </w:rPr>
        <w:t xml:space="preserve"> une augmentation de 24,33 % </w:t>
      </w:r>
      <w:r w:rsidRPr="00C41568">
        <w:rPr>
          <w:rFonts w:ascii="Calibri" w:eastAsia="Times New Roman" w:hAnsi="Calibri" w:cs="Calibri"/>
          <w:color w:val="000000"/>
          <w:sz w:val="22"/>
          <w:szCs w:val="22"/>
          <w:lang w:eastAsia="fr-CA"/>
        </w:rPr>
        <w:lastRenderedPageBreak/>
        <w:t>comparée à la formule sans indexation.</w:t>
      </w:r>
      <w:r w:rsidR="001C3F0D" w:rsidRPr="00C41568">
        <w:rPr>
          <w:rFonts w:ascii="Calibri" w:eastAsia="Times New Roman" w:hAnsi="Calibri" w:cs="Calibri"/>
          <w:color w:val="000000"/>
          <w:sz w:val="22"/>
          <w:szCs w:val="22"/>
          <w:lang w:eastAsia="fr-CA"/>
        </w:rPr>
        <w:t xml:space="preserve"> De plus, cette formule entraîne des valeurs extrêmes </w:t>
      </w:r>
      <w:r w:rsidR="00C41568" w:rsidRPr="00C41568">
        <w:rPr>
          <w:rFonts w:ascii="Calibri" w:eastAsia="Times New Roman" w:hAnsi="Calibri" w:cs="Calibri"/>
          <w:color w:val="000000"/>
          <w:sz w:val="22"/>
          <w:szCs w:val="22"/>
          <w:lang w:eastAsia="fr-CA"/>
        </w:rPr>
        <w:t xml:space="preserve">élevées soit une ECU à 95 % de </w:t>
      </w:r>
      <w:r w:rsidR="00C41568" w:rsidRPr="00C41568">
        <w:rPr>
          <w:rFonts w:ascii="Calibri" w:eastAsia="Times New Roman" w:hAnsi="Calibri" w:cs="Calibri"/>
          <w:color w:val="000000"/>
          <w:sz w:val="22"/>
          <w:szCs w:val="22"/>
          <w:lang w:val="fr-CA" w:eastAsia="fr-CA"/>
        </w:rPr>
        <w:t>18</w:t>
      </w:r>
      <w:r w:rsidR="00CD0F08">
        <w:rPr>
          <w:rFonts w:ascii="Calibri" w:eastAsia="Times New Roman" w:hAnsi="Calibri" w:cs="Calibri"/>
          <w:color w:val="000000"/>
          <w:sz w:val="22"/>
          <w:szCs w:val="22"/>
          <w:lang w:val="fr-CA" w:eastAsia="fr-CA"/>
        </w:rPr>
        <w:t> </w:t>
      </w:r>
      <w:r w:rsidR="00C41568" w:rsidRPr="00C41568">
        <w:rPr>
          <w:rFonts w:ascii="Calibri" w:eastAsia="Times New Roman" w:hAnsi="Calibri" w:cs="Calibri"/>
          <w:color w:val="000000"/>
          <w:sz w:val="22"/>
          <w:szCs w:val="22"/>
          <w:lang w:val="fr-CA" w:eastAsia="fr-CA"/>
        </w:rPr>
        <w:t>272,25</w:t>
      </w:r>
      <w:r w:rsidR="001036F4">
        <w:rPr>
          <w:rFonts w:ascii="Calibri" w:eastAsia="Times New Roman" w:hAnsi="Calibri" w:cs="Calibri"/>
          <w:color w:val="000000"/>
          <w:sz w:val="22"/>
          <w:szCs w:val="22"/>
          <w:lang w:val="fr-CA" w:eastAsia="fr-CA"/>
        </w:rPr>
        <w:t xml:space="preserve"> $ ce qui est une augmentation de </w:t>
      </w:r>
      <w:r w:rsidR="001036F4" w:rsidRPr="001036F4">
        <w:rPr>
          <w:rFonts w:ascii="Calibri" w:eastAsia="Times New Roman" w:hAnsi="Calibri" w:cs="Calibri"/>
          <w:color w:val="000000"/>
          <w:sz w:val="22"/>
          <w:szCs w:val="22"/>
          <w:lang w:val="fr-CA" w:eastAsia="fr-CA"/>
        </w:rPr>
        <w:t>12,68</w:t>
      </w:r>
      <w:r w:rsidR="001036F4">
        <w:rPr>
          <w:rFonts w:ascii="Calibri" w:eastAsia="Times New Roman" w:hAnsi="Calibri" w:cs="Calibri"/>
          <w:color w:val="000000"/>
          <w:sz w:val="22"/>
          <w:szCs w:val="22"/>
          <w:lang w:val="fr-CA" w:eastAsia="fr-CA"/>
        </w:rPr>
        <w:t xml:space="preserve"> </w:t>
      </w:r>
      <w:r w:rsidR="001036F4" w:rsidRPr="001036F4">
        <w:rPr>
          <w:rFonts w:ascii="Calibri" w:eastAsia="Times New Roman" w:hAnsi="Calibri" w:cs="Calibri"/>
          <w:color w:val="000000"/>
          <w:sz w:val="22"/>
          <w:szCs w:val="22"/>
          <w:lang w:val="fr-CA" w:eastAsia="fr-CA"/>
        </w:rPr>
        <w:t>%</w:t>
      </w:r>
      <w:r w:rsidR="001036F4">
        <w:rPr>
          <w:rFonts w:ascii="Calibri" w:eastAsia="Times New Roman" w:hAnsi="Calibri" w:cs="Calibri"/>
          <w:color w:val="000000"/>
          <w:sz w:val="22"/>
          <w:szCs w:val="22"/>
          <w:lang w:val="fr-CA" w:eastAsia="fr-CA"/>
        </w:rPr>
        <w:t xml:space="preserve"> par rapport à la formule sans indexation. Sachant que cette formule entraîne des valeurs élevées, on conclut que les coûts </w:t>
      </w:r>
      <w:r w:rsidR="00B06A41">
        <w:rPr>
          <w:rFonts w:ascii="Calibri" w:eastAsia="Times New Roman" w:hAnsi="Calibri" w:cs="Calibri"/>
          <w:color w:val="000000"/>
          <w:sz w:val="22"/>
          <w:szCs w:val="22"/>
          <w:lang w:val="fr-CA" w:eastAsia="fr-CA"/>
        </w:rPr>
        <w:t xml:space="preserve">sur le régime </w:t>
      </w:r>
      <w:r w:rsidR="001036F4">
        <w:rPr>
          <w:rFonts w:ascii="Calibri" w:eastAsia="Times New Roman" w:hAnsi="Calibri" w:cs="Calibri"/>
          <w:color w:val="000000"/>
          <w:sz w:val="22"/>
          <w:szCs w:val="22"/>
          <w:lang w:val="fr-CA" w:eastAsia="fr-CA"/>
        </w:rPr>
        <w:t>d’utiliser une telle formule</w:t>
      </w:r>
      <w:r w:rsidR="00B06A41">
        <w:rPr>
          <w:rFonts w:ascii="Calibri" w:eastAsia="Times New Roman" w:hAnsi="Calibri" w:cs="Calibri"/>
          <w:color w:val="000000"/>
          <w:sz w:val="22"/>
          <w:szCs w:val="22"/>
          <w:lang w:val="fr-CA" w:eastAsia="fr-CA"/>
        </w:rPr>
        <w:t xml:space="preserve"> d’indexation </w:t>
      </w:r>
      <w:r w:rsidR="001036F4">
        <w:rPr>
          <w:rFonts w:ascii="Calibri" w:eastAsia="Times New Roman" w:hAnsi="Calibri" w:cs="Calibri"/>
          <w:color w:val="000000"/>
          <w:sz w:val="22"/>
          <w:szCs w:val="22"/>
          <w:lang w:val="fr-CA" w:eastAsia="fr-CA"/>
        </w:rPr>
        <w:t>sont plutôt élevé</w:t>
      </w:r>
      <w:r w:rsidR="00B06A41">
        <w:rPr>
          <w:rFonts w:ascii="Calibri" w:eastAsia="Times New Roman" w:hAnsi="Calibri" w:cs="Calibri"/>
          <w:color w:val="000000"/>
          <w:sz w:val="22"/>
          <w:szCs w:val="22"/>
          <w:lang w:val="fr-CA" w:eastAsia="fr-CA"/>
        </w:rPr>
        <w:t>s et entraînerait</w:t>
      </w:r>
      <w:r w:rsidR="00CD0F08">
        <w:rPr>
          <w:rFonts w:ascii="Calibri" w:eastAsia="Times New Roman" w:hAnsi="Calibri" w:cs="Calibri"/>
          <w:color w:val="000000"/>
          <w:sz w:val="22"/>
          <w:szCs w:val="22"/>
          <w:lang w:val="fr-CA" w:eastAsia="fr-CA"/>
        </w:rPr>
        <w:t>,</w:t>
      </w:r>
      <w:r w:rsidR="00B06A41">
        <w:rPr>
          <w:rFonts w:ascii="Calibri" w:eastAsia="Times New Roman" w:hAnsi="Calibri" w:cs="Calibri"/>
          <w:color w:val="000000"/>
          <w:sz w:val="22"/>
          <w:szCs w:val="22"/>
          <w:lang w:val="fr-CA" w:eastAsia="fr-CA"/>
        </w:rPr>
        <w:t xml:space="preserve"> dans la plupart des cas</w:t>
      </w:r>
      <w:r w:rsidR="00CD0F08">
        <w:rPr>
          <w:rFonts w:ascii="Calibri" w:eastAsia="Times New Roman" w:hAnsi="Calibri" w:cs="Calibri"/>
          <w:color w:val="000000"/>
          <w:sz w:val="22"/>
          <w:szCs w:val="22"/>
          <w:lang w:val="fr-CA" w:eastAsia="fr-CA"/>
        </w:rPr>
        <w:t>,</w:t>
      </w:r>
      <w:r w:rsidR="00B06A41">
        <w:rPr>
          <w:rFonts w:ascii="Calibri" w:eastAsia="Times New Roman" w:hAnsi="Calibri" w:cs="Calibri"/>
          <w:color w:val="000000"/>
          <w:sz w:val="22"/>
          <w:szCs w:val="22"/>
          <w:lang w:val="fr-CA" w:eastAsia="fr-CA"/>
        </w:rPr>
        <w:t xml:space="preserve"> un dépassement du budget fixé (augmentation maximale de 1%</w:t>
      </w:r>
      <w:r w:rsidR="00CD0F08">
        <w:rPr>
          <w:rFonts w:ascii="Calibri" w:eastAsia="Times New Roman" w:hAnsi="Calibri" w:cs="Calibri"/>
          <w:color w:val="000000"/>
          <w:sz w:val="22"/>
          <w:szCs w:val="22"/>
          <w:lang w:val="fr-CA" w:eastAsia="fr-CA"/>
        </w:rPr>
        <w:t xml:space="preserve"> des</w:t>
      </w:r>
      <w:r w:rsidR="00B06A41">
        <w:rPr>
          <w:rFonts w:ascii="Calibri" w:eastAsia="Times New Roman" w:hAnsi="Calibri" w:cs="Calibri"/>
          <w:color w:val="000000"/>
          <w:sz w:val="22"/>
          <w:szCs w:val="22"/>
          <w:lang w:val="fr-CA" w:eastAsia="fr-CA"/>
        </w:rPr>
        <w:t xml:space="preserve"> cotisation</w:t>
      </w:r>
      <w:r w:rsidR="00CD0F08">
        <w:rPr>
          <w:rFonts w:ascii="Calibri" w:eastAsia="Times New Roman" w:hAnsi="Calibri" w:cs="Calibri"/>
          <w:color w:val="000000"/>
          <w:sz w:val="22"/>
          <w:szCs w:val="22"/>
          <w:lang w:val="fr-CA" w:eastAsia="fr-CA"/>
        </w:rPr>
        <w:t>s</w:t>
      </w:r>
      <w:r w:rsidR="00B06A41">
        <w:rPr>
          <w:rFonts w:ascii="Calibri" w:eastAsia="Times New Roman" w:hAnsi="Calibri" w:cs="Calibri"/>
          <w:color w:val="000000"/>
          <w:sz w:val="22"/>
          <w:szCs w:val="22"/>
          <w:lang w:val="fr-CA" w:eastAsia="fr-CA"/>
        </w:rPr>
        <w:t xml:space="preserve"> salariale</w:t>
      </w:r>
      <w:r w:rsidR="00CD0F08">
        <w:rPr>
          <w:rFonts w:ascii="Calibri" w:eastAsia="Times New Roman" w:hAnsi="Calibri" w:cs="Calibri"/>
          <w:color w:val="000000"/>
          <w:sz w:val="22"/>
          <w:szCs w:val="22"/>
          <w:lang w:val="fr-CA" w:eastAsia="fr-CA"/>
        </w:rPr>
        <w:t>s</w:t>
      </w:r>
      <w:r w:rsidR="00B06A41">
        <w:rPr>
          <w:rFonts w:ascii="Calibri" w:eastAsia="Times New Roman" w:hAnsi="Calibri" w:cs="Calibri"/>
          <w:color w:val="000000"/>
          <w:sz w:val="22"/>
          <w:szCs w:val="22"/>
          <w:lang w:val="fr-CA" w:eastAsia="fr-CA"/>
        </w:rPr>
        <w:t xml:space="preserve">, 1 % </w:t>
      </w:r>
      <w:r w:rsidR="00CD0F08">
        <w:rPr>
          <w:rFonts w:ascii="Calibri" w:eastAsia="Times New Roman" w:hAnsi="Calibri" w:cs="Calibri"/>
          <w:color w:val="000000"/>
          <w:sz w:val="22"/>
          <w:szCs w:val="22"/>
          <w:lang w:val="fr-CA" w:eastAsia="fr-CA"/>
        </w:rPr>
        <w:t xml:space="preserve">des </w:t>
      </w:r>
      <w:r w:rsidR="00B06A41">
        <w:rPr>
          <w:rFonts w:ascii="Calibri" w:eastAsia="Times New Roman" w:hAnsi="Calibri" w:cs="Calibri"/>
          <w:color w:val="000000"/>
          <w:sz w:val="22"/>
          <w:szCs w:val="22"/>
          <w:lang w:val="fr-CA" w:eastAsia="fr-CA"/>
        </w:rPr>
        <w:t>cotisation</w:t>
      </w:r>
      <w:r w:rsidR="00CD0F08">
        <w:rPr>
          <w:rFonts w:ascii="Calibri" w:eastAsia="Times New Roman" w:hAnsi="Calibri" w:cs="Calibri"/>
          <w:color w:val="000000"/>
          <w:sz w:val="22"/>
          <w:szCs w:val="22"/>
          <w:lang w:val="fr-CA" w:eastAsia="fr-CA"/>
        </w:rPr>
        <w:t>s</w:t>
      </w:r>
      <w:r w:rsidR="00B06A41">
        <w:rPr>
          <w:rFonts w:ascii="Calibri" w:eastAsia="Times New Roman" w:hAnsi="Calibri" w:cs="Calibri"/>
          <w:color w:val="000000"/>
          <w:sz w:val="22"/>
          <w:szCs w:val="22"/>
          <w:lang w:val="fr-CA" w:eastAsia="fr-CA"/>
        </w:rPr>
        <w:t xml:space="preserve"> patronale</w:t>
      </w:r>
      <w:r w:rsidR="00CD0F08">
        <w:rPr>
          <w:rFonts w:ascii="Calibri" w:eastAsia="Times New Roman" w:hAnsi="Calibri" w:cs="Calibri"/>
          <w:color w:val="000000"/>
          <w:sz w:val="22"/>
          <w:szCs w:val="22"/>
          <w:lang w:val="fr-CA" w:eastAsia="fr-CA"/>
        </w:rPr>
        <w:t>s</w:t>
      </w:r>
      <w:r w:rsidR="00B06A41">
        <w:rPr>
          <w:rFonts w:ascii="Calibri" w:eastAsia="Times New Roman" w:hAnsi="Calibri" w:cs="Calibri"/>
          <w:color w:val="000000"/>
          <w:sz w:val="22"/>
          <w:szCs w:val="22"/>
          <w:lang w:val="fr-CA" w:eastAsia="fr-CA"/>
        </w:rPr>
        <w:t>).</w:t>
      </w:r>
    </w:p>
    <w:p w14:paraId="12328C49" w14:textId="383C8923" w:rsidR="00B06A41" w:rsidRDefault="00B06A41" w:rsidP="00C41568">
      <w:pPr>
        <w:rPr>
          <w:rFonts w:ascii="Calibri" w:eastAsia="Times New Roman" w:hAnsi="Calibri" w:cs="Calibri"/>
          <w:color w:val="000000"/>
          <w:sz w:val="22"/>
          <w:szCs w:val="22"/>
          <w:lang w:val="fr-CA" w:eastAsia="fr-CA"/>
        </w:rPr>
      </w:pPr>
    </w:p>
    <w:p w14:paraId="535131AE" w14:textId="2137DEEE" w:rsidR="006750E2" w:rsidRDefault="00B06A41" w:rsidP="006750E2">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B06A41">
        <w:rPr>
          <w:rFonts w:ascii="Calibri" w:eastAsia="Times New Roman" w:hAnsi="Calibri" w:cs="Calibri"/>
          <w:color w:val="000000"/>
          <w:sz w:val="22"/>
          <w:szCs w:val="22"/>
          <w:lang w:val="fr-CA" w:eastAsia="fr-CA"/>
        </w:rPr>
        <w:t>50 % de l’inflation limitée à 2 %, plus 75 % de l’inflation en excédent de 2 %</w:t>
      </w:r>
      <w:r>
        <w:rPr>
          <w:rFonts w:ascii="Calibri" w:eastAsia="Times New Roman" w:hAnsi="Calibri" w:cs="Calibri"/>
          <w:color w:val="000000"/>
          <w:sz w:val="22"/>
          <w:szCs w:val="22"/>
          <w:lang w:val="fr-CA" w:eastAsia="fr-CA"/>
        </w:rPr>
        <w:t xml:space="preserve"> et inflation </w:t>
      </w:r>
      <w:r w:rsidRPr="00B06A41">
        <w:rPr>
          <w:rFonts w:ascii="Calibri" w:eastAsia="Times New Roman" w:hAnsi="Calibri" w:cs="Calibri"/>
          <w:color w:val="000000"/>
          <w:sz w:val="22"/>
          <w:szCs w:val="22"/>
          <w:lang w:val="fr-CA" w:eastAsia="fr-CA"/>
        </w:rPr>
        <w:t>limitée à 6 %</w:t>
      </w:r>
      <w:r>
        <w:rPr>
          <w:rFonts w:ascii="Calibri" w:eastAsia="Times New Roman" w:hAnsi="Calibri" w:cs="Calibri"/>
          <w:color w:val="000000"/>
          <w:sz w:val="22"/>
          <w:szCs w:val="22"/>
          <w:lang w:val="fr-CA" w:eastAsia="fr-CA"/>
        </w:rPr>
        <w:t>, on observe des valeurs actualisées qui sont élevé</w:t>
      </w:r>
      <w:r w:rsidR="00CD0F08">
        <w:rPr>
          <w:rFonts w:ascii="Calibri" w:eastAsia="Times New Roman" w:hAnsi="Calibri" w:cs="Calibri"/>
          <w:color w:val="000000"/>
          <w:sz w:val="22"/>
          <w:szCs w:val="22"/>
          <w:lang w:val="fr-CA" w:eastAsia="fr-CA"/>
        </w:rPr>
        <w:t>e</w:t>
      </w:r>
      <w:r>
        <w:rPr>
          <w:rFonts w:ascii="Calibri" w:eastAsia="Times New Roman" w:hAnsi="Calibri" w:cs="Calibri"/>
          <w:color w:val="000000"/>
          <w:sz w:val="22"/>
          <w:szCs w:val="22"/>
          <w:lang w:val="fr-CA" w:eastAsia="fr-CA"/>
        </w:rPr>
        <w:t>s et ce surtout dans des valeurs extrêmes</w:t>
      </w:r>
      <w:r w:rsidR="00CD0F08">
        <w:rPr>
          <w:rFonts w:ascii="Calibri" w:eastAsia="Times New Roman" w:hAnsi="Calibri" w:cs="Calibri"/>
          <w:color w:val="000000"/>
          <w:sz w:val="22"/>
          <w:szCs w:val="22"/>
          <w:lang w:val="fr-CA" w:eastAsia="fr-CA"/>
        </w:rPr>
        <w:t xml:space="preserve"> (une telle protection est utile dans les scénarios de grande inflation)</w:t>
      </w:r>
      <w:r>
        <w:rPr>
          <w:rFonts w:ascii="Calibri" w:eastAsia="Times New Roman" w:hAnsi="Calibri" w:cs="Calibri"/>
          <w:color w:val="000000"/>
          <w:sz w:val="22"/>
          <w:szCs w:val="22"/>
          <w:lang w:val="fr-CA" w:eastAsia="fr-CA"/>
        </w:rPr>
        <w:t xml:space="preserve"> où cette formule entraîne la troisième plus grande valeur maximale des 7 formules d’indexation dû à la protection qu’elle offre de 75 % lorsque les valeurs dépassent 2 % d’inflation.  Cette formule d’indexation entraîne une valeur moyenne de rente actualisée de </w:t>
      </w:r>
      <w:r w:rsidRPr="00B06A41">
        <w:rPr>
          <w:rFonts w:ascii="Calibri" w:eastAsia="Times New Roman" w:hAnsi="Calibri" w:cs="Calibri"/>
          <w:color w:val="000000"/>
          <w:sz w:val="22"/>
          <w:szCs w:val="22"/>
          <w:lang w:val="fr-CA" w:eastAsia="fr-CA"/>
        </w:rPr>
        <w:t>16</w:t>
      </w:r>
      <w:r w:rsidR="00CD0F08">
        <w:rPr>
          <w:rFonts w:ascii="Calibri" w:eastAsia="Times New Roman" w:hAnsi="Calibri" w:cs="Calibri"/>
          <w:color w:val="000000"/>
          <w:sz w:val="22"/>
          <w:szCs w:val="22"/>
          <w:lang w:val="fr-CA" w:eastAsia="fr-CA"/>
        </w:rPr>
        <w:t xml:space="preserve"> </w:t>
      </w:r>
      <w:r w:rsidRPr="00B06A41">
        <w:rPr>
          <w:rFonts w:ascii="Calibri" w:eastAsia="Times New Roman" w:hAnsi="Calibri" w:cs="Calibri"/>
          <w:color w:val="000000"/>
          <w:sz w:val="22"/>
          <w:szCs w:val="22"/>
          <w:lang w:val="fr-CA" w:eastAsia="fr-CA"/>
        </w:rPr>
        <w:t>767,65</w:t>
      </w:r>
      <w:r>
        <w:rPr>
          <w:rFonts w:ascii="Calibri" w:eastAsia="Times New Roman" w:hAnsi="Calibri" w:cs="Calibri"/>
          <w:color w:val="000000"/>
          <w:sz w:val="22"/>
          <w:szCs w:val="22"/>
          <w:lang w:val="fr-CA" w:eastAsia="fr-CA"/>
        </w:rPr>
        <w:t xml:space="preserve"> $ ce qui est une augmentation </w:t>
      </w:r>
      <w:r w:rsidRPr="00B06A41">
        <w:rPr>
          <w:rFonts w:ascii="Calibri" w:eastAsia="Times New Roman" w:hAnsi="Calibri" w:cs="Calibri"/>
          <w:color w:val="000000"/>
          <w:sz w:val="22"/>
          <w:szCs w:val="22"/>
          <w:lang w:val="fr-CA" w:eastAsia="fr-CA"/>
        </w:rPr>
        <w:t>18,23</w:t>
      </w:r>
      <w:r>
        <w:rPr>
          <w:rFonts w:ascii="Calibri" w:eastAsia="Times New Roman" w:hAnsi="Calibri" w:cs="Calibri"/>
          <w:color w:val="000000"/>
          <w:sz w:val="22"/>
          <w:szCs w:val="22"/>
          <w:lang w:val="fr-CA" w:eastAsia="fr-CA"/>
        </w:rPr>
        <w:t xml:space="preserve"> </w:t>
      </w:r>
      <w:r w:rsidRPr="00B06A41">
        <w:rPr>
          <w:rFonts w:ascii="Calibri" w:eastAsia="Times New Roman" w:hAnsi="Calibri" w:cs="Calibri"/>
          <w:color w:val="000000"/>
          <w:sz w:val="22"/>
          <w:szCs w:val="22"/>
          <w:lang w:val="fr-CA" w:eastAsia="fr-CA"/>
        </w:rPr>
        <w:t>%</w:t>
      </w:r>
      <w:r w:rsidR="006750E2">
        <w:rPr>
          <w:rFonts w:ascii="Calibri" w:eastAsia="Times New Roman" w:hAnsi="Calibri" w:cs="Calibri"/>
          <w:color w:val="000000"/>
          <w:sz w:val="22"/>
          <w:szCs w:val="22"/>
          <w:lang w:val="fr-CA" w:eastAsia="fr-CA"/>
        </w:rPr>
        <w:t xml:space="preserve"> comparée à la formule sans indexation. De plus, on observe une valeur maximale de </w:t>
      </w:r>
      <w:r w:rsidR="006750E2" w:rsidRPr="006750E2">
        <w:rPr>
          <w:rFonts w:ascii="Calibri" w:eastAsia="Times New Roman" w:hAnsi="Calibri" w:cs="Calibri"/>
          <w:color w:val="000000"/>
          <w:sz w:val="22"/>
          <w:szCs w:val="22"/>
          <w:lang w:val="fr-CA" w:eastAsia="fr-CA"/>
        </w:rPr>
        <w:t>18</w:t>
      </w:r>
      <w:r w:rsidR="00CD0F08">
        <w:rPr>
          <w:rFonts w:ascii="Calibri" w:eastAsia="Times New Roman" w:hAnsi="Calibri" w:cs="Calibri"/>
          <w:color w:val="000000"/>
          <w:sz w:val="22"/>
          <w:szCs w:val="22"/>
          <w:lang w:val="fr-CA" w:eastAsia="fr-CA"/>
        </w:rPr>
        <w:t> </w:t>
      </w:r>
      <w:r w:rsidR="006750E2" w:rsidRPr="006750E2">
        <w:rPr>
          <w:rFonts w:ascii="Calibri" w:eastAsia="Times New Roman" w:hAnsi="Calibri" w:cs="Calibri"/>
          <w:color w:val="000000"/>
          <w:sz w:val="22"/>
          <w:szCs w:val="22"/>
          <w:lang w:val="fr-CA" w:eastAsia="fr-CA"/>
        </w:rPr>
        <w:t>092,38</w:t>
      </w:r>
      <w:r w:rsidR="006750E2">
        <w:rPr>
          <w:rFonts w:ascii="Calibri" w:eastAsia="Times New Roman" w:hAnsi="Calibri" w:cs="Calibri"/>
          <w:color w:val="000000"/>
          <w:sz w:val="22"/>
          <w:szCs w:val="22"/>
          <w:lang w:val="fr-CA" w:eastAsia="fr-CA"/>
        </w:rPr>
        <w:t xml:space="preserve"> $ ainsi qu’une ECU à 99% de </w:t>
      </w:r>
      <w:r w:rsidR="006750E2" w:rsidRPr="006750E2">
        <w:rPr>
          <w:rFonts w:ascii="Calibri" w:eastAsia="Times New Roman" w:hAnsi="Calibri" w:cs="Calibri"/>
          <w:color w:val="000000"/>
          <w:sz w:val="22"/>
          <w:szCs w:val="22"/>
          <w:lang w:val="fr-CA" w:eastAsia="fr-CA"/>
        </w:rPr>
        <w:t>17</w:t>
      </w:r>
      <w:r w:rsidR="00CD0F08">
        <w:rPr>
          <w:rFonts w:ascii="Calibri" w:eastAsia="Times New Roman" w:hAnsi="Calibri" w:cs="Calibri"/>
          <w:color w:val="000000"/>
          <w:sz w:val="22"/>
          <w:szCs w:val="22"/>
          <w:lang w:val="fr-CA" w:eastAsia="fr-CA"/>
        </w:rPr>
        <w:t> </w:t>
      </w:r>
      <w:r w:rsidR="006750E2" w:rsidRPr="006750E2">
        <w:rPr>
          <w:rFonts w:ascii="Calibri" w:eastAsia="Times New Roman" w:hAnsi="Calibri" w:cs="Calibri"/>
          <w:color w:val="000000"/>
          <w:sz w:val="22"/>
          <w:szCs w:val="22"/>
          <w:lang w:val="fr-CA" w:eastAsia="fr-CA"/>
        </w:rPr>
        <w:t>875,84</w:t>
      </w:r>
      <w:r w:rsidR="006750E2">
        <w:rPr>
          <w:rFonts w:ascii="Calibri" w:eastAsia="Times New Roman" w:hAnsi="Calibri" w:cs="Calibri"/>
          <w:color w:val="000000"/>
          <w:sz w:val="22"/>
          <w:szCs w:val="22"/>
          <w:lang w:val="fr-CA" w:eastAsia="fr-CA"/>
        </w:rPr>
        <w:t xml:space="preserve"> $. Ces valeurs étant plutôt élevées et atteintes lorsque l’inflation est élevée, on conclut que dans le cas de haute inflation le budget fixé (augmentation maximale de 1% </w:t>
      </w:r>
      <w:r w:rsidR="00D356CB">
        <w:rPr>
          <w:rFonts w:ascii="Calibri" w:eastAsia="Times New Roman" w:hAnsi="Calibri" w:cs="Calibri"/>
          <w:color w:val="000000"/>
          <w:sz w:val="22"/>
          <w:szCs w:val="22"/>
          <w:lang w:val="fr-CA" w:eastAsia="fr-CA"/>
        </w:rPr>
        <w:t xml:space="preserve">des </w:t>
      </w:r>
      <w:r w:rsidR="006750E2">
        <w:rPr>
          <w:rFonts w:ascii="Calibri" w:eastAsia="Times New Roman" w:hAnsi="Calibri" w:cs="Calibri"/>
          <w:color w:val="000000"/>
          <w:sz w:val="22"/>
          <w:szCs w:val="22"/>
          <w:lang w:val="fr-CA" w:eastAsia="fr-CA"/>
        </w:rPr>
        <w:t>cotisation</w:t>
      </w:r>
      <w:r w:rsidR="00D356CB">
        <w:rPr>
          <w:rFonts w:ascii="Calibri" w:eastAsia="Times New Roman" w:hAnsi="Calibri" w:cs="Calibri"/>
          <w:color w:val="000000"/>
          <w:sz w:val="22"/>
          <w:szCs w:val="22"/>
          <w:lang w:val="fr-CA" w:eastAsia="fr-CA"/>
        </w:rPr>
        <w:t>s</w:t>
      </w:r>
      <w:r w:rsidR="006750E2">
        <w:rPr>
          <w:rFonts w:ascii="Calibri" w:eastAsia="Times New Roman" w:hAnsi="Calibri" w:cs="Calibri"/>
          <w:color w:val="000000"/>
          <w:sz w:val="22"/>
          <w:szCs w:val="22"/>
          <w:lang w:val="fr-CA" w:eastAsia="fr-CA"/>
        </w:rPr>
        <w:t xml:space="preserve"> salariale</w:t>
      </w:r>
      <w:r w:rsidR="00D356CB">
        <w:rPr>
          <w:rFonts w:ascii="Calibri" w:eastAsia="Times New Roman" w:hAnsi="Calibri" w:cs="Calibri"/>
          <w:color w:val="000000"/>
          <w:sz w:val="22"/>
          <w:szCs w:val="22"/>
          <w:lang w:val="fr-CA" w:eastAsia="fr-CA"/>
        </w:rPr>
        <w:t>s</w:t>
      </w:r>
      <w:r w:rsidR="006750E2">
        <w:rPr>
          <w:rFonts w:ascii="Calibri" w:eastAsia="Times New Roman" w:hAnsi="Calibri" w:cs="Calibri"/>
          <w:color w:val="000000"/>
          <w:sz w:val="22"/>
          <w:szCs w:val="22"/>
          <w:lang w:val="fr-CA" w:eastAsia="fr-CA"/>
        </w:rPr>
        <w:t xml:space="preserve">, 1 % </w:t>
      </w:r>
      <w:r w:rsidR="00D356CB">
        <w:rPr>
          <w:rFonts w:ascii="Calibri" w:eastAsia="Times New Roman" w:hAnsi="Calibri" w:cs="Calibri"/>
          <w:color w:val="000000"/>
          <w:sz w:val="22"/>
          <w:szCs w:val="22"/>
          <w:lang w:val="fr-CA" w:eastAsia="fr-CA"/>
        </w:rPr>
        <w:t xml:space="preserve">des </w:t>
      </w:r>
      <w:r w:rsidR="006750E2">
        <w:rPr>
          <w:rFonts w:ascii="Calibri" w:eastAsia="Times New Roman" w:hAnsi="Calibri" w:cs="Calibri"/>
          <w:color w:val="000000"/>
          <w:sz w:val="22"/>
          <w:szCs w:val="22"/>
          <w:lang w:val="fr-CA" w:eastAsia="fr-CA"/>
        </w:rPr>
        <w:t>cotisation</w:t>
      </w:r>
      <w:r w:rsidR="00D356CB">
        <w:rPr>
          <w:rFonts w:ascii="Calibri" w:eastAsia="Times New Roman" w:hAnsi="Calibri" w:cs="Calibri"/>
          <w:color w:val="000000"/>
          <w:sz w:val="22"/>
          <w:szCs w:val="22"/>
          <w:lang w:val="fr-CA" w:eastAsia="fr-CA"/>
        </w:rPr>
        <w:t>s</w:t>
      </w:r>
      <w:r w:rsidR="006750E2">
        <w:rPr>
          <w:rFonts w:ascii="Calibri" w:eastAsia="Times New Roman" w:hAnsi="Calibri" w:cs="Calibri"/>
          <w:color w:val="000000"/>
          <w:sz w:val="22"/>
          <w:szCs w:val="22"/>
          <w:lang w:val="fr-CA" w:eastAsia="fr-CA"/>
        </w:rPr>
        <w:t xml:space="preserve"> patronale</w:t>
      </w:r>
      <w:r w:rsidR="00D356CB">
        <w:rPr>
          <w:rFonts w:ascii="Calibri" w:eastAsia="Times New Roman" w:hAnsi="Calibri" w:cs="Calibri"/>
          <w:color w:val="000000"/>
          <w:sz w:val="22"/>
          <w:szCs w:val="22"/>
          <w:lang w:val="fr-CA" w:eastAsia="fr-CA"/>
        </w:rPr>
        <w:t>s</w:t>
      </w:r>
      <w:r w:rsidR="006750E2">
        <w:rPr>
          <w:rFonts w:ascii="Calibri" w:eastAsia="Times New Roman" w:hAnsi="Calibri" w:cs="Calibri"/>
          <w:color w:val="000000"/>
          <w:sz w:val="22"/>
          <w:szCs w:val="22"/>
          <w:lang w:val="fr-CA" w:eastAsia="fr-CA"/>
        </w:rPr>
        <w:t>) ne serait pas suffisant pour offrir cette formule d’indexation.</w:t>
      </w:r>
    </w:p>
    <w:p w14:paraId="2E025BBC" w14:textId="2B860268" w:rsidR="006750E2" w:rsidRDefault="006750E2" w:rsidP="006750E2">
      <w:pPr>
        <w:rPr>
          <w:rFonts w:ascii="Calibri" w:eastAsia="Times New Roman" w:hAnsi="Calibri" w:cs="Calibri"/>
          <w:color w:val="000000"/>
          <w:sz w:val="22"/>
          <w:szCs w:val="22"/>
          <w:lang w:val="fr-CA" w:eastAsia="fr-CA"/>
        </w:rPr>
      </w:pPr>
    </w:p>
    <w:p w14:paraId="4F1711B8" w14:textId="77777777" w:rsidR="006750E2" w:rsidRDefault="006750E2" w:rsidP="006750E2">
      <w:pPr>
        <w:rPr>
          <w:rFonts w:ascii="Calibri" w:eastAsia="Times New Roman" w:hAnsi="Calibri" w:cs="Calibri"/>
          <w:color w:val="000000"/>
          <w:sz w:val="22"/>
          <w:szCs w:val="22"/>
          <w:lang w:val="fr-CA" w:eastAsia="fr-CA"/>
        </w:rPr>
      </w:pPr>
    </w:p>
    <w:p w14:paraId="0565DB89" w14:textId="31CCE3E3" w:rsidR="00B06A41" w:rsidRDefault="006750E2" w:rsidP="00C41568">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6750E2">
        <w:rPr>
          <w:rFonts w:ascii="Calibri" w:eastAsia="Times New Roman" w:hAnsi="Calibri" w:cs="Calibri"/>
          <w:color w:val="000000"/>
          <w:sz w:val="22"/>
          <w:szCs w:val="22"/>
          <w:lang w:val="fr-CA" w:eastAsia="fr-CA"/>
        </w:rPr>
        <w:t>50 % de l’inflation limitée à 6 %</w:t>
      </w:r>
      <w:r>
        <w:rPr>
          <w:rFonts w:ascii="Calibri" w:eastAsia="Times New Roman" w:hAnsi="Calibri" w:cs="Calibri"/>
          <w:color w:val="000000"/>
          <w:sz w:val="22"/>
          <w:szCs w:val="22"/>
          <w:lang w:val="fr-CA" w:eastAsia="fr-CA"/>
        </w:rPr>
        <w:t>, on peut en venir à des conclusions semblables que pour la formule 75</w:t>
      </w:r>
      <w:r w:rsidRPr="006750E2">
        <w:rPr>
          <w:rFonts w:ascii="Calibri" w:eastAsia="Times New Roman" w:hAnsi="Calibri" w:cs="Calibri"/>
          <w:color w:val="000000"/>
          <w:sz w:val="22"/>
          <w:szCs w:val="22"/>
          <w:lang w:val="fr-CA" w:eastAsia="fr-CA"/>
        </w:rPr>
        <w:t xml:space="preserve"> % de l’inflation limitée à 6 %</w:t>
      </w:r>
      <w:r>
        <w:rPr>
          <w:rFonts w:ascii="Calibri" w:eastAsia="Times New Roman" w:hAnsi="Calibri" w:cs="Calibri"/>
          <w:color w:val="000000"/>
          <w:sz w:val="22"/>
          <w:szCs w:val="22"/>
          <w:lang w:val="fr-CA" w:eastAsia="fr-CA"/>
        </w:rPr>
        <w:t xml:space="preserve">, car </w:t>
      </w:r>
      <w:r w:rsidR="0053496B">
        <w:rPr>
          <w:rFonts w:ascii="Calibri" w:eastAsia="Times New Roman" w:hAnsi="Calibri" w:cs="Calibri"/>
          <w:color w:val="000000"/>
          <w:sz w:val="22"/>
          <w:szCs w:val="22"/>
          <w:lang w:val="fr-CA" w:eastAsia="fr-CA"/>
        </w:rPr>
        <w:t>c</w:t>
      </w:r>
      <w:r>
        <w:rPr>
          <w:rFonts w:ascii="Calibri" w:eastAsia="Times New Roman" w:hAnsi="Calibri" w:cs="Calibri"/>
          <w:color w:val="000000"/>
          <w:sz w:val="22"/>
          <w:szCs w:val="22"/>
          <w:lang w:val="fr-CA" w:eastAsia="fr-CA"/>
        </w:rPr>
        <w:t xml:space="preserve">e sont deux </w:t>
      </w:r>
      <w:r w:rsidR="0053496B">
        <w:rPr>
          <w:rFonts w:ascii="Calibri" w:eastAsia="Times New Roman" w:hAnsi="Calibri" w:cs="Calibri"/>
          <w:color w:val="000000"/>
          <w:sz w:val="22"/>
          <w:szCs w:val="22"/>
          <w:lang w:val="fr-CA" w:eastAsia="fr-CA"/>
        </w:rPr>
        <w:t xml:space="preserve">formules </w:t>
      </w:r>
      <w:r>
        <w:rPr>
          <w:rFonts w:ascii="Calibri" w:eastAsia="Times New Roman" w:hAnsi="Calibri" w:cs="Calibri"/>
          <w:color w:val="000000"/>
          <w:sz w:val="22"/>
          <w:szCs w:val="22"/>
          <w:lang w:val="fr-CA" w:eastAsia="fr-CA"/>
        </w:rPr>
        <w:t>qui appliquent un pourcentage sur tout</w:t>
      </w:r>
      <w:r w:rsidR="00D356CB">
        <w:rPr>
          <w:rFonts w:ascii="Calibri" w:eastAsia="Times New Roman" w:hAnsi="Calibri" w:cs="Calibri"/>
          <w:color w:val="000000"/>
          <w:sz w:val="22"/>
          <w:szCs w:val="22"/>
          <w:lang w:val="fr-CA" w:eastAsia="fr-CA"/>
        </w:rPr>
        <w:t>e</w:t>
      </w:r>
      <w:r>
        <w:rPr>
          <w:rFonts w:ascii="Calibri" w:eastAsia="Times New Roman" w:hAnsi="Calibri" w:cs="Calibri"/>
          <w:color w:val="000000"/>
          <w:sz w:val="22"/>
          <w:szCs w:val="22"/>
          <w:lang w:val="fr-CA" w:eastAsia="fr-CA"/>
        </w:rPr>
        <w:t xml:space="preserve"> l’inflation en dessous de 6 %. </w:t>
      </w:r>
      <w:r w:rsidR="006E7CC0">
        <w:rPr>
          <w:rFonts w:ascii="Calibri" w:eastAsia="Times New Roman" w:hAnsi="Calibri" w:cs="Calibri"/>
          <w:color w:val="000000"/>
          <w:sz w:val="22"/>
          <w:szCs w:val="22"/>
          <w:lang w:val="fr-CA" w:eastAsia="fr-CA"/>
        </w:rPr>
        <w:t>Cependant</w:t>
      </w:r>
      <w:r>
        <w:rPr>
          <w:rFonts w:ascii="Calibri" w:eastAsia="Times New Roman" w:hAnsi="Calibri" w:cs="Calibri"/>
          <w:color w:val="000000"/>
          <w:sz w:val="22"/>
          <w:szCs w:val="22"/>
          <w:lang w:val="fr-CA" w:eastAsia="fr-CA"/>
        </w:rPr>
        <w:t>, les valeurs actualisées de rente calculées par cette formule sont plus petites</w:t>
      </w:r>
      <w:r w:rsidR="00D356CB">
        <w:rPr>
          <w:rFonts w:ascii="Calibri" w:eastAsia="Times New Roman" w:hAnsi="Calibri" w:cs="Calibri"/>
          <w:color w:val="000000"/>
          <w:sz w:val="22"/>
          <w:szCs w:val="22"/>
          <w:lang w:val="fr-CA" w:eastAsia="fr-CA"/>
        </w:rPr>
        <w:t>,</w:t>
      </w:r>
      <w:r>
        <w:rPr>
          <w:rFonts w:ascii="Calibri" w:eastAsia="Times New Roman" w:hAnsi="Calibri" w:cs="Calibri"/>
          <w:color w:val="000000"/>
          <w:sz w:val="22"/>
          <w:szCs w:val="22"/>
          <w:lang w:val="fr-CA" w:eastAsia="fr-CA"/>
        </w:rPr>
        <w:t xml:space="preserve"> soient</w:t>
      </w:r>
      <w:r w:rsidR="006E7CC0">
        <w:rPr>
          <w:rFonts w:ascii="Calibri" w:eastAsia="Times New Roman" w:hAnsi="Calibri" w:cs="Calibri"/>
          <w:color w:val="000000"/>
          <w:sz w:val="22"/>
          <w:szCs w:val="22"/>
          <w:lang w:val="fr-CA" w:eastAsia="fr-CA"/>
        </w:rPr>
        <w:t xml:space="preserve"> une valeur moyenne de </w:t>
      </w:r>
      <w:r w:rsidR="006E7CC0" w:rsidRPr="006E7CC0">
        <w:rPr>
          <w:rFonts w:ascii="Calibri" w:eastAsia="Times New Roman" w:hAnsi="Calibri" w:cs="Calibri"/>
          <w:color w:val="000000"/>
          <w:sz w:val="22"/>
          <w:szCs w:val="22"/>
          <w:lang w:val="fr-CA" w:eastAsia="fr-CA"/>
        </w:rPr>
        <w:t>18</w:t>
      </w:r>
      <w:r w:rsidR="00D356CB">
        <w:rPr>
          <w:rFonts w:ascii="Calibri" w:eastAsia="Times New Roman" w:hAnsi="Calibri" w:cs="Calibri"/>
          <w:color w:val="000000"/>
          <w:sz w:val="22"/>
          <w:szCs w:val="22"/>
          <w:lang w:val="fr-CA" w:eastAsia="fr-CA"/>
        </w:rPr>
        <w:t> </w:t>
      </w:r>
      <w:r w:rsidR="006E7CC0" w:rsidRPr="006E7CC0">
        <w:rPr>
          <w:rFonts w:ascii="Calibri" w:eastAsia="Times New Roman" w:hAnsi="Calibri" w:cs="Calibri"/>
          <w:color w:val="000000"/>
          <w:sz w:val="22"/>
          <w:szCs w:val="22"/>
          <w:lang w:val="fr-CA" w:eastAsia="fr-CA"/>
        </w:rPr>
        <w:t>054,36</w:t>
      </w:r>
      <w:r w:rsidR="006E7CC0">
        <w:rPr>
          <w:rFonts w:ascii="Calibri" w:eastAsia="Times New Roman" w:hAnsi="Calibri" w:cs="Calibri"/>
          <w:color w:val="000000"/>
          <w:sz w:val="22"/>
          <w:szCs w:val="22"/>
          <w:lang w:val="fr-CA" w:eastAsia="fr-CA"/>
        </w:rPr>
        <w:t xml:space="preserve"> $ (augmentation de </w:t>
      </w:r>
      <w:r w:rsidR="006E7CC0" w:rsidRPr="006E7CC0">
        <w:rPr>
          <w:rFonts w:ascii="Calibri" w:eastAsia="Times New Roman" w:hAnsi="Calibri" w:cs="Calibri"/>
          <w:color w:val="000000"/>
          <w:sz w:val="22"/>
          <w:szCs w:val="22"/>
          <w:lang w:val="fr-CA" w:eastAsia="fr-CA"/>
        </w:rPr>
        <w:t>15,35</w:t>
      </w:r>
      <w:r w:rsidR="006E7CC0">
        <w:rPr>
          <w:rFonts w:ascii="Calibri" w:eastAsia="Times New Roman" w:hAnsi="Calibri" w:cs="Calibri"/>
          <w:color w:val="000000"/>
          <w:sz w:val="22"/>
          <w:szCs w:val="22"/>
          <w:lang w:val="fr-CA" w:eastAsia="fr-CA"/>
        </w:rPr>
        <w:t xml:space="preserve"> % comparativement à la rente sans indexation). De plus, les valeurs d’ECU sont élevées, mais demeurent moins élevées que celles calculées par la formule 75</w:t>
      </w:r>
      <w:r w:rsidR="00D356CB">
        <w:rPr>
          <w:rFonts w:ascii="Calibri" w:eastAsia="Times New Roman" w:hAnsi="Calibri" w:cs="Calibri"/>
          <w:color w:val="000000"/>
          <w:sz w:val="22"/>
          <w:szCs w:val="22"/>
          <w:lang w:val="fr-CA" w:eastAsia="fr-CA"/>
        </w:rPr>
        <w:t> </w:t>
      </w:r>
      <w:r w:rsidR="006E7CC0" w:rsidRPr="006750E2">
        <w:rPr>
          <w:rFonts w:ascii="Calibri" w:eastAsia="Times New Roman" w:hAnsi="Calibri" w:cs="Calibri"/>
          <w:color w:val="000000"/>
          <w:sz w:val="22"/>
          <w:szCs w:val="22"/>
          <w:lang w:val="fr-CA" w:eastAsia="fr-CA"/>
        </w:rPr>
        <w:t>% de l’inflation limitée à 6 %</w:t>
      </w:r>
      <w:r w:rsidR="006E7CC0">
        <w:rPr>
          <w:rFonts w:ascii="Calibri" w:eastAsia="Times New Roman" w:hAnsi="Calibri" w:cs="Calibri"/>
          <w:color w:val="000000"/>
          <w:sz w:val="22"/>
          <w:szCs w:val="22"/>
          <w:lang w:val="fr-CA" w:eastAsia="fr-CA"/>
        </w:rPr>
        <w:t xml:space="preserve">. Pour ce qui est des coûts que cette formule </w:t>
      </w:r>
      <w:r w:rsidR="00D356CB">
        <w:rPr>
          <w:rFonts w:ascii="Calibri" w:eastAsia="Times New Roman" w:hAnsi="Calibri" w:cs="Calibri"/>
          <w:color w:val="000000"/>
          <w:sz w:val="22"/>
          <w:szCs w:val="22"/>
          <w:lang w:val="fr-CA" w:eastAsia="fr-CA"/>
        </w:rPr>
        <w:t>entraînerait</w:t>
      </w:r>
      <w:r w:rsidR="006E7CC0">
        <w:rPr>
          <w:rFonts w:ascii="Calibri" w:eastAsia="Times New Roman" w:hAnsi="Calibri" w:cs="Calibri"/>
          <w:color w:val="000000"/>
          <w:sz w:val="22"/>
          <w:szCs w:val="22"/>
          <w:lang w:val="fr-CA" w:eastAsia="fr-CA"/>
        </w:rPr>
        <w:t xml:space="preserve"> sur le régime de retraite, </w:t>
      </w:r>
      <w:r w:rsidR="006E7CC0" w:rsidRPr="00D356CB">
        <w:rPr>
          <w:rFonts w:ascii="Calibri" w:eastAsia="Times New Roman" w:hAnsi="Calibri" w:cs="Calibri"/>
          <w:color w:val="000000"/>
          <w:sz w:val="22"/>
          <w:szCs w:val="22"/>
          <w:highlight w:val="yellow"/>
          <w:lang w:val="fr-CA" w:eastAsia="fr-CA"/>
        </w:rPr>
        <w:t xml:space="preserve">ils seraient </w:t>
      </w:r>
      <w:commentRangeStart w:id="9"/>
      <w:r w:rsidR="006E7CC0" w:rsidRPr="00D356CB">
        <w:rPr>
          <w:rFonts w:ascii="Calibri" w:eastAsia="Times New Roman" w:hAnsi="Calibri" w:cs="Calibri"/>
          <w:color w:val="000000"/>
          <w:sz w:val="22"/>
          <w:szCs w:val="22"/>
          <w:highlight w:val="yellow"/>
          <w:lang w:val="fr-CA" w:eastAsia="fr-CA"/>
        </w:rPr>
        <w:t>probablement</w:t>
      </w:r>
      <w:commentRangeEnd w:id="9"/>
      <w:r w:rsidR="00D356CB">
        <w:rPr>
          <w:rStyle w:val="Marquedecommentaire"/>
        </w:rPr>
        <w:commentReference w:id="9"/>
      </w:r>
      <w:r w:rsidR="006E7CC0">
        <w:rPr>
          <w:rFonts w:ascii="Calibri" w:eastAsia="Times New Roman" w:hAnsi="Calibri" w:cs="Calibri"/>
          <w:color w:val="000000"/>
          <w:sz w:val="22"/>
          <w:szCs w:val="22"/>
          <w:lang w:val="fr-CA" w:eastAsia="fr-CA"/>
        </w:rPr>
        <w:t xml:space="preserve"> plus élevés que ce que le budget fixé (augmentation maximale de 1% cotisation salariale, 1 % cotisation patronale) permettrait.</w:t>
      </w:r>
    </w:p>
    <w:p w14:paraId="208C8D4A" w14:textId="4B151B56" w:rsidR="006E7CC0" w:rsidRDefault="006E7CC0" w:rsidP="00C41568">
      <w:pPr>
        <w:rPr>
          <w:rFonts w:ascii="Calibri" w:eastAsia="Times New Roman" w:hAnsi="Calibri" w:cs="Calibri"/>
          <w:color w:val="000000"/>
          <w:sz w:val="22"/>
          <w:szCs w:val="22"/>
          <w:lang w:val="fr-CA" w:eastAsia="fr-CA"/>
        </w:rPr>
      </w:pPr>
    </w:p>
    <w:p w14:paraId="03C688B7" w14:textId="77777777" w:rsidR="006E7CC0" w:rsidRPr="00C41568" w:rsidRDefault="006E7CC0" w:rsidP="00C41568">
      <w:pPr>
        <w:rPr>
          <w:rFonts w:ascii="Calibri" w:eastAsia="Times New Roman" w:hAnsi="Calibri" w:cs="Calibri"/>
          <w:color w:val="000000"/>
          <w:sz w:val="22"/>
          <w:szCs w:val="22"/>
          <w:lang w:val="fr-CA" w:eastAsia="fr-CA"/>
        </w:rPr>
      </w:pPr>
    </w:p>
    <w:p w14:paraId="342217CE" w14:textId="7277791E" w:rsidR="00FE6855" w:rsidRDefault="00FE6855" w:rsidP="00FE6855">
      <w:pPr>
        <w:rPr>
          <w:rFonts w:ascii="Calibri" w:eastAsia="Times New Roman" w:hAnsi="Calibri" w:cs="Calibri"/>
          <w:color w:val="000000"/>
          <w:sz w:val="22"/>
          <w:szCs w:val="22"/>
          <w:lang w:val="fr-CA" w:eastAsia="fr-CA"/>
        </w:rPr>
      </w:pPr>
    </w:p>
    <w:p w14:paraId="6C6E6D48" w14:textId="636346E2" w:rsidR="006E7CC0" w:rsidRDefault="006E7CC0" w:rsidP="00FE6855">
      <w:pPr>
        <w:rPr>
          <w:rFonts w:ascii="Calibri" w:eastAsia="Times New Roman" w:hAnsi="Calibri" w:cs="Calibri"/>
          <w:color w:val="000000"/>
          <w:sz w:val="22"/>
          <w:szCs w:val="22"/>
          <w:lang w:val="fr-CA" w:eastAsia="fr-CA"/>
        </w:rPr>
      </w:pPr>
    </w:p>
    <w:p w14:paraId="72A3434F" w14:textId="7C5A2D86" w:rsidR="006E7CC0" w:rsidRDefault="006E7CC0" w:rsidP="00FE6855">
      <w:pPr>
        <w:rPr>
          <w:rFonts w:ascii="Calibri" w:eastAsia="Times New Roman" w:hAnsi="Calibri" w:cs="Calibri"/>
          <w:color w:val="000000"/>
          <w:sz w:val="22"/>
          <w:szCs w:val="22"/>
          <w:lang w:val="fr-CA" w:eastAsia="fr-CA"/>
        </w:rPr>
      </w:pPr>
    </w:p>
    <w:p w14:paraId="2A916963" w14:textId="2784D09C" w:rsidR="006E7CC0" w:rsidRDefault="006E7CC0" w:rsidP="00FE6855">
      <w:pPr>
        <w:rPr>
          <w:rFonts w:ascii="Calibri" w:eastAsia="Times New Roman" w:hAnsi="Calibri" w:cs="Calibri"/>
          <w:color w:val="000000"/>
          <w:sz w:val="22"/>
          <w:szCs w:val="22"/>
          <w:lang w:val="fr-CA" w:eastAsia="fr-CA"/>
        </w:rPr>
      </w:pPr>
    </w:p>
    <w:p w14:paraId="585C6716" w14:textId="4444408E" w:rsidR="0053496B" w:rsidRDefault="006E7CC0" w:rsidP="0053496B">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t xml:space="preserve">Pour la formule </w:t>
      </w:r>
      <w:r w:rsidRPr="006E7CC0">
        <w:rPr>
          <w:rFonts w:ascii="Calibri" w:eastAsia="Times New Roman" w:hAnsi="Calibri" w:cs="Calibri"/>
          <w:color w:val="000000"/>
          <w:sz w:val="22"/>
          <w:szCs w:val="22"/>
          <w:lang w:val="fr-CA" w:eastAsia="fr-CA"/>
        </w:rPr>
        <w:t>50 % de l’inflation limitée à 3 %</w:t>
      </w:r>
      <w:r>
        <w:rPr>
          <w:rFonts w:ascii="Calibri" w:eastAsia="Times New Roman" w:hAnsi="Calibri" w:cs="Calibri"/>
          <w:color w:val="000000"/>
          <w:sz w:val="22"/>
          <w:szCs w:val="22"/>
          <w:lang w:val="fr-CA" w:eastAsia="fr-CA"/>
        </w:rPr>
        <w:t xml:space="preserve">, </w:t>
      </w:r>
      <w:r w:rsidR="0053496B">
        <w:rPr>
          <w:rFonts w:ascii="Calibri" w:eastAsia="Times New Roman" w:hAnsi="Calibri" w:cs="Calibri"/>
          <w:color w:val="000000"/>
          <w:sz w:val="22"/>
          <w:szCs w:val="22"/>
          <w:lang w:val="fr-CA" w:eastAsia="fr-CA"/>
        </w:rPr>
        <w:t xml:space="preserve">on peut en venir à des conclusions semblables que pour la formule </w:t>
      </w:r>
      <w:r w:rsidR="0053496B" w:rsidRPr="006E7CC0">
        <w:rPr>
          <w:rFonts w:ascii="Calibri" w:eastAsia="Times New Roman" w:hAnsi="Calibri" w:cs="Calibri"/>
          <w:color w:val="000000"/>
          <w:sz w:val="22"/>
          <w:szCs w:val="22"/>
          <w:lang w:val="fr-CA" w:eastAsia="fr-CA"/>
        </w:rPr>
        <w:t xml:space="preserve">50 % de l’inflation limitée à </w:t>
      </w:r>
      <w:r w:rsidR="0053496B">
        <w:rPr>
          <w:rFonts w:ascii="Calibri" w:eastAsia="Times New Roman" w:hAnsi="Calibri" w:cs="Calibri"/>
          <w:color w:val="000000"/>
          <w:sz w:val="22"/>
          <w:szCs w:val="22"/>
          <w:lang w:val="fr-CA" w:eastAsia="fr-CA"/>
        </w:rPr>
        <w:t>2</w:t>
      </w:r>
      <w:r w:rsidR="0053496B" w:rsidRPr="006E7CC0">
        <w:rPr>
          <w:rFonts w:ascii="Calibri" w:eastAsia="Times New Roman" w:hAnsi="Calibri" w:cs="Calibri"/>
          <w:color w:val="000000"/>
          <w:sz w:val="22"/>
          <w:szCs w:val="22"/>
          <w:lang w:val="fr-CA" w:eastAsia="fr-CA"/>
        </w:rPr>
        <w:t xml:space="preserve"> %</w:t>
      </w:r>
      <w:r w:rsidR="0053496B">
        <w:rPr>
          <w:rFonts w:ascii="Calibri" w:eastAsia="Times New Roman" w:hAnsi="Calibri" w:cs="Calibri"/>
          <w:color w:val="000000"/>
          <w:sz w:val="22"/>
          <w:szCs w:val="22"/>
          <w:lang w:val="fr-CA" w:eastAsia="fr-CA"/>
        </w:rPr>
        <w:t xml:space="preserve">.  Cependant, la formule </w:t>
      </w:r>
      <w:r w:rsidR="0053496B" w:rsidRPr="006E7CC0">
        <w:rPr>
          <w:rFonts w:ascii="Calibri" w:eastAsia="Times New Roman" w:hAnsi="Calibri" w:cs="Calibri"/>
          <w:color w:val="000000"/>
          <w:sz w:val="22"/>
          <w:szCs w:val="22"/>
          <w:lang w:val="fr-CA" w:eastAsia="fr-CA"/>
        </w:rPr>
        <w:t>50 % de l’inflation limitée à 3 %</w:t>
      </w:r>
      <w:r w:rsidR="0053496B">
        <w:rPr>
          <w:rFonts w:ascii="Calibri" w:eastAsia="Times New Roman" w:hAnsi="Calibri" w:cs="Calibri"/>
          <w:color w:val="000000"/>
          <w:sz w:val="22"/>
          <w:szCs w:val="22"/>
          <w:lang w:val="fr-CA" w:eastAsia="fr-CA"/>
        </w:rPr>
        <w:t xml:space="preserve"> entraîne des valeurs plus élevées que celle qui est limitée à 2 %.</w:t>
      </w:r>
      <w:r w:rsidR="00D356CB">
        <w:rPr>
          <w:rFonts w:ascii="Calibri" w:eastAsia="Times New Roman" w:hAnsi="Calibri" w:cs="Calibri"/>
          <w:color w:val="000000"/>
          <w:sz w:val="22"/>
          <w:szCs w:val="22"/>
          <w:lang w:val="fr-CA" w:eastAsia="fr-CA"/>
        </w:rPr>
        <w:t xml:space="preserve"> C’est logique, car la protection est plus grande.</w:t>
      </w:r>
      <w:r w:rsidR="0053496B">
        <w:rPr>
          <w:rFonts w:ascii="Calibri" w:eastAsia="Times New Roman" w:hAnsi="Calibri" w:cs="Calibri"/>
          <w:color w:val="000000"/>
          <w:sz w:val="22"/>
          <w:szCs w:val="22"/>
          <w:lang w:val="fr-CA" w:eastAsia="fr-CA"/>
        </w:rPr>
        <w:t xml:space="preserve"> La valeur actualisée de rente moyenne calculée avec la formule </w:t>
      </w:r>
      <w:r w:rsidR="0053496B" w:rsidRPr="006E7CC0">
        <w:rPr>
          <w:rFonts w:ascii="Calibri" w:eastAsia="Times New Roman" w:hAnsi="Calibri" w:cs="Calibri"/>
          <w:color w:val="000000"/>
          <w:sz w:val="22"/>
          <w:szCs w:val="22"/>
          <w:lang w:val="fr-CA" w:eastAsia="fr-CA"/>
        </w:rPr>
        <w:t>50 % de l’inflation limitée à 3 %</w:t>
      </w:r>
      <w:r w:rsidR="0053496B">
        <w:rPr>
          <w:rFonts w:ascii="Calibri" w:eastAsia="Times New Roman" w:hAnsi="Calibri" w:cs="Calibri"/>
          <w:color w:val="000000"/>
          <w:sz w:val="22"/>
          <w:szCs w:val="22"/>
          <w:lang w:val="fr-CA" w:eastAsia="fr-CA"/>
        </w:rPr>
        <w:t xml:space="preserve"> est de </w:t>
      </w:r>
      <w:r w:rsidR="0053496B" w:rsidRPr="0053496B">
        <w:rPr>
          <w:rFonts w:ascii="Calibri" w:eastAsia="Times New Roman" w:hAnsi="Calibri" w:cs="Calibri"/>
          <w:color w:val="000000"/>
          <w:sz w:val="22"/>
          <w:szCs w:val="22"/>
          <w:lang w:val="fr-CA" w:eastAsia="fr-CA"/>
        </w:rPr>
        <w:t>15</w:t>
      </w:r>
      <w:r w:rsidR="00D356CB">
        <w:rPr>
          <w:rFonts w:ascii="Calibri" w:eastAsia="Times New Roman" w:hAnsi="Calibri" w:cs="Calibri"/>
          <w:color w:val="000000"/>
          <w:sz w:val="22"/>
          <w:szCs w:val="22"/>
          <w:lang w:val="fr-CA" w:eastAsia="fr-CA"/>
        </w:rPr>
        <w:t> </w:t>
      </w:r>
      <w:r w:rsidR="0053496B" w:rsidRPr="0053496B">
        <w:rPr>
          <w:rFonts w:ascii="Calibri" w:eastAsia="Times New Roman" w:hAnsi="Calibri" w:cs="Calibri"/>
          <w:color w:val="000000"/>
          <w:sz w:val="22"/>
          <w:szCs w:val="22"/>
          <w:lang w:val="fr-CA" w:eastAsia="fr-CA"/>
        </w:rPr>
        <w:t>891,46</w:t>
      </w:r>
      <w:r w:rsidR="0053496B">
        <w:rPr>
          <w:rFonts w:ascii="Calibri" w:eastAsia="Times New Roman" w:hAnsi="Calibri" w:cs="Calibri"/>
          <w:color w:val="000000"/>
          <w:sz w:val="22"/>
          <w:szCs w:val="22"/>
          <w:lang w:val="fr-CA" w:eastAsia="fr-CA"/>
        </w:rPr>
        <w:t xml:space="preserve"> $ et elle a une ECU 95 % de </w:t>
      </w:r>
      <w:r w:rsidR="0053496B" w:rsidRPr="0053496B">
        <w:rPr>
          <w:rFonts w:ascii="Calibri" w:eastAsia="Times New Roman" w:hAnsi="Calibri" w:cs="Calibri"/>
          <w:color w:val="000000"/>
          <w:sz w:val="22"/>
          <w:szCs w:val="22"/>
          <w:lang w:val="fr-CA" w:eastAsia="fr-CA"/>
        </w:rPr>
        <w:t>17</w:t>
      </w:r>
      <w:r w:rsidR="00D356CB">
        <w:rPr>
          <w:rFonts w:ascii="Calibri" w:eastAsia="Times New Roman" w:hAnsi="Calibri" w:cs="Calibri"/>
          <w:color w:val="000000"/>
          <w:sz w:val="22"/>
          <w:szCs w:val="22"/>
          <w:lang w:val="fr-CA" w:eastAsia="fr-CA"/>
        </w:rPr>
        <w:t> </w:t>
      </w:r>
      <w:r w:rsidR="0053496B" w:rsidRPr="0053496B">
        <w:rPr>
          <w:rFonts w:ascii="Calibri" w:eastAsia="Times New Roman" w:hAnsi="Calibri" w:cs="Calibri"/>
          <w:color w:val="000000"/>
          <w:sz w:val="22"/>
          <w:szCs w:val="22"/>
          <w:lang w:val="fr-CA" w:eastAsia="fr-CA"/>
        </w:rPr>
        <w:t>505,64</w:t>
      </w:r>
      <w:r w:rsidR="00D356CB">
        <w:rPr>
          <w:rFonts w:ascii="Calibri" w:eastAsia="Times New Roman" w:hAnsi="Calibri" w:cs="Calibri"/>
          <w:color w:val="000000"/>
          <w:sz w:val="22"/>
          <w:szCs w:val="22"/>
          <w:lang w:val="fr-CA" w:eastAsia="fr-CA"/>
        </w:rPr>
        <w:t> </w:t>
      </w:r>
      <w:r w:rsidR="0053496B">
        <w:rPr>
          <w:rFonts w:ascii="Calibri" w:eastAsia="Times New Roman" w:hAnsi="Calibri" w:cs="Calibri"/>
          <w:color w:val="000000"/>
          <w:sz w:val="22"/>
          <w:szCs w:val="22"/>
          <w:lang w:val="fr-CA" w:eastAsia="fr-CA"/>
        </w:rPr>
        <w:t>$. La valeur de la ECU 95 % est plutôt élevée et donc, on conclut que pour certaines valeurs élevées le budget fixé ne serait pas respecté.</w:t>
      </w:r>
    </w:p>
    <w:p w14:paraId="4D519334" w14:textId="4D891DA3" w:rsidR="0053496B" w:rsidRDefault="0053496B" w:rsidP="0053496B">
      <w:pPr>
        <w:rPr>
          <w:rFonts w:ascii="Calibri" w:eastAsia="Times New Roman" w:hAnsi="Calibri" w:cs="Calibri"/>
          <w:color w:val="000000"/>
          <w:sz w:val="22"/>
          <w:szCs w:val="22"/>
          <w:lang w:val="fr-CA" w:eastAsia="fr-CA"/>
        </w:rPr>
      </w:pPr>
    </w:p>
    <w:p w14:paraId="2042D7B3" w14:textId="08840BA3" w:rsidR="0053496B" w:rsidRDefault="0053496B" w:rsidP="0053496B">
      <w:pPr>
        <w:rPr>
          <w:rFonts w:ascii="Calibri" w:eastAsia="Times New Roman" w:hAnsi="Calibri" w:cs="Calibri"/>
          <w:color w:val="000000"/>
          <w:sz w:val="22"/>
          <w:szCs w:val="22"/>
          <w:lang w:val="fr-CA" w:eastAsia="fr-CA"/>
        </w:rPr>
      </w:pPr>
      <w:r>
        <w:rPr>
          <w:rFonts w:ascii="Calibri" w:eastAsia="Times New Roman" w:hAnsi="Calibri" w:cs="Calibri"/>
          <w:color w:val="000000"/>
          <w:sz w:val="22"/>
          <w:szCs w:val="22"/>
          <w:lang w:val="fr-CA" w:eastAsia="fr-CA"/>
        </w:rPr>
        <w:tab/>
      </w:r>
      <w:r w:rsidR="00D356CB">
        <w:rPr>
          <w:rFonts w:ascii="Calibri" w:eastAsia="Times New Roman" w:hAnsi="Calibri" w:cs="Calibri"/>
          <w:color w:val="000000"/>
          <w:sz w:val="22"/>
          <w:szCs w:val="22"/>
          <w:lang w:val="fr-CA" w:eastAsia="fr-CA"/>
        </w:rPr>
        <w:t>À la lumière des commentaires,</w:t>
      </w:r>
      <w:r>
        <w:rPr>
          <w:rFonts w:ascii="Calibri" w:eastAsia="Times New Roman" w:hAnsi="Calibri" w:cs="Calibri"/>
          <w:color w:val="000000"/>
          <w:sz w:val="22"/>
          <w:szCs w:val="22"/>
          <w:lang w:val="fr-CA" w:eastAsia="fr-CA"/>
        </w:rPr>
        <w:t xml:space="preserve"> </w:t>
      </w:r>
      <w:r w:rsidR="00D356CB">
        <w:rPr>
          <w:rFonts w:ascii="Calibri" w:eastAsia="Times New Roman" w:hAnsi="Calibri" w:cs="Calibri"/>
          <w:color w:val="000000"/>
          <w:sz w:val="22"/>
          <w:szCs w:val="22"/>
          <w:lang w:val="fr-CA" w:eastAsia="fr-CA"/>
        </w:rPr>
        <w:t>nous</w:t>
      </w:r>
      <w:r w:rsidR="00DE40C5">
        <w:rPr>
          <w:rFonts w:ascii="Calibri" w:eastAsia="Times New Roman" w:hAnsi="Calibri" w:cs="Calibri"/>
          <w:color w:val="000000"/>
          <w:sz w:val="22"/>
          <w:szCs w:val="22"/>
          <w:lang w:val="fr-CA" w:eastAsia="fr-CA"/>
        </w:rPr>
        <w:t xml:space="preserve"> p</w:t>
      </w:r>
      <w:r w:rsidR="00D356CB">
        <w:rPr>
          <w:rFonts w:ascii="Calibri" w:eastAsia="Times New Roman" w:hAnsi="Calibri" w:cs="Calibri"/>
          <w:color w:val="000000"/>
          <w:sz w:val="22"/>
          <w:szCs w:val="22"/>
          <w:lang w:val="fr-CA" w:eastAsia="fr-CA"/>
        </w:rPr>
        <w:t>ouvons</w:t>
      </w:r>
      <w:r w:rsidR="00DE40C5">
        <w:rPr>
          <w:rFonts w:ascii="Calibri" w:eastAsia="Times New Roman" w:hAnsi="Calibri" w:cs="Calibri"/>
          <w:color w:val="000000"/>
          <w:sz w:val="22"/>
          <w:szCs w:val="22"/>
          <w:lang w:val="fr-CA" w:eastAsia="fr-CA"/>
        </w:rPr>
        <w:t xml:space="preserve"> statuer sur la formule d’indexation qui pourrait être utilisé 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 de dire que c’est la formule qui entraînerait les coûts les moins élevés pour le régime de retraite.</w:t>
      </w:r>
      <w:r w:rsidR="00DC48BD">
        <w:rPr>
          <w:rFonts w:ascii="Calibri" w:eastAsia="Times New Roman" w:hAnsi="Calibri" w:cs="Calibri"/>
          <w:color w:val="000000"/>
          <w:sz w:val="22"/>
          <w:szCs w:val="22"/>
          <w:lang w:val="fr-CA" w:eastAsia="fr-CA"/>
        </w:rPr>
        <w:t xml:space="preserve"> Comme c’est cette formule qui entraînerait les coûts les moins élevés, cette formule</w:t>
      </w:r>
      <w:r w:rsidR="004E3089">
        <w:rPr>
          <w:rFonts w:ascii="Calibri" w:eastAsia="Times New Roman" w:hAnsi="Calibri" w:cs="Calibri"/>
          <w:color w:val="000000"/>
          <w:sz w:val="22"/>
          <w:szCs w:val="22"/>
          <w:lang w:val="fr-CA" w:eastAsia="fr-CA"/>
        </w:rPr>
        <w:t xml:space="preserve"> est celle qui est le plus en mesure de respecter le budget fixé (augmentation maximale de 1%</w:t>
      </w:r>
      <w:r w:rsidR="00D356CB">
        <w:rPr>
          <w:rFonts w:ascii="Calibri" w:eastAsia="Times New Roman" w:hAnsi="Calibri" w:cs="Calibri"/>
          <w:color w:val="000000"/>
          <w:sz w:val="22"/>
          <w:szCs w:val="22"/>
          <w:lang w:val="fr-CA" w:eastAsia="fr-CA"/>
        </w:rPr>
        <w:t xml:space="preserve"> des</w:t>
      </w:r>
      <w:r w:rsidR="004E3089">
        <w:rPr>
          <w:rFonts w:ascii="Calibri" w:eastAsia="Times New Roman" w:hAnsi="Calibri" w:cs="Calibri"/>
          <w:color w:val="000000"/>
          <w:sz w:val="22"/>
          <w:szCs w:val="22"/>
          <w:lang w:val="fr-CA" w:eastAsia="fr-CA"/>
        </w:rPr>
        <w:t xml:space="preserve"> cotisation</w:t>
      </w:r>
      <w:r w:rsidR="00D356CB">
        <w:rPr>
          <w:rFonts w:ascii="Calibri" w:eastAsia="Times New Roman" w:hAnsi="Calibri" w:cs="Calibri"/>
          <w:color w:val="000000"/>
          <w:sz w:val="22"/>
          <w:szCs w:val="22"/>
          <w:lang w:val="fr-CA" w:eastAsia="fr-CA"/>
        </w:rPr>
        <w:t>s</w:t>
      </w:r>
      <w:r w:rsidR="004E3089">
        <w:rPr>
          <w:rFonts w:ascii="Calibri" w:eastAsia="Times New Roman" w:hAnsi="Calibri" w:cs="Calibri"/>
          <w:color w:val="000000"/>
          <w:sz w:val="22"/>
          <w:szCs w:val="22"/>
          <w:lang w:val="fr-CA" w:eastAsia="fr-CA"/>
        </w:rPr>
        <w:t xml:space="preserve"> salariale</w:t>
      </w:r>
      <w:r w:rsidR="00D356CB">
        <w:rPr>
          <w:rFonts w:ascii="Calibri" w:eastAsia="Times New Roman" w:hAnsi="Calibri" w:cs="Calibri"/>
          <w:color w:val="000000"/>
          <w:sz w:val="22"/>
          <w:szCs w:val="22"/>
          <w:lang w:val="fr-CA" w:eastAsia="fr-CA"/>
        </w:rPr>
        <w:t>s</w:t>
      </w:r>
      <w:r w:rsidR="004E3089">
        <w:rPr>
          <w:rFonts w:ascii="Calibri" w:eastAsia="Times New Roman" w:hAnsi="Calibri" w:cs="Calibri"/>
          <w:color w:val="000000"/>
          <w:sz w:val="22"/>
          <w:szCs w:val="22"/>
          <w:lang w:val="fr-CA" w:eastAsia="fr-CA"/>
        </w:rPr>
        <w:t xml:space="preserve">, 1 % </w:t>
      </w:r>
      <w:r w:rsidR="00D356CB">
        <w:rPr>
          <w:rFonts w:ascii="Calibri" w:eastAsia="Times New Roman" w:hAnsi="Calibri" w:cs="Calibri"/>
          <w:color w:val="000000"/>
          <w:sz w:val="22"/>
          <w:szCs w:val="22"/>
          <w:lang w:val="fr-CA" w:eastAsia="fr-CA"/>
        </w:rPr>
        <w:t xml:space="preserve">des </w:t>
      </w:r>
      <w:r w:rsidR="004E3089">
        <w:rPr>
          <w:rFonts w:ascii="Calibri" w:eastAsia="Times New Roman" w:hAnsi="Calibri" w:cs="Calibri"/>
          <w:color w:val="000000"/>
          <w:sz w:val="22"/>
          <w:szCs w:val="22"/>
          <w:lang w:val="fr-CA" w:eastAsia="fr-CA"/>
        </w:rPr>
        <w:t>cotisation</w:t>
      </w:r>
      <w:r w:rsidR="00D356CB">
        <w:rPr>
          <w:rFonts w:ascii="Calibri" w:eastAsia="Times New Roman" w:hAnsi="Calibri" w:cs="Calibri"/>
          <w:color w:val="000000"/>
          <w:sz w:val="22"/>
          <w:szCs w:val="22"/>
          <w:lang w:val="fr-CA" w:eastAsia="fr-CA"/>
        </w:rPr>
        <w:t>s</w:t>
      </w:r>
      <w:r w:rsidR="004E3089">
        <w:rPr>
          <w:rFonts w:ascii="Calibri" w:eastAsia="Times New Roman" w:hAnsi="Calibri" w:cs="Calibri"/>
          <w:color w:val="000000"/>
          <w:sz w:val="22"/>
          <w:szCs w:val="22"/>
          <w:lang w:val="fr-CA" w:eastAsia="fr-CA"/>
        </w:rPr>
        <w:t xml:space="preserve"> patronale</w:t>
      </w:r>
      <w:r w:rsidR="00D356CB">
        <w:rPr>
          <w:rFonts w:ascii="Calibri" w:eastAsia="Times New Roman" w:hAnsi="Calibri" w:cs="Calibri"/>
          <w:color w:val="000000"/>
          <w:sz w:val="22"/>
          <w:szCs w:val="22"/>
          <w:lang w:val="fr-CA" w:eastAsia="fr-CA"/>
        </w:rPr>
        <w:t>s</w:t>
      </w:r>
      <w:r w:rsidR="004E3089">
        <w:rPr>
          <w:rFonts w:ascii="Calibri" w:eastAsia="Times New Roman" w:hAnsi="Calibri" w:cs="Calibri"/>
          <w:color w:val="000000"/>
          <w:sz w:val="22"/>
          <w:szCs w:val="22"/>
          <w:lang w:val="fr-CA" w:eastAsia="fr-CA"/>
        </w:rPr>
        <w:t xml:space="preserve"> </w:t>
      </w:r>
      <w:r w:rsidR="00D356CB">
        <w:rPr>
          <w:rFonts w:ascii="Calibri" w:eastAsia="Times New Roman" w:hAnsi="Calibri" w:cs="Calibri"/>
          <w:color w:val="000000"/>
          <w:sz w:val="22"/>
          <w:szCs w:val="22"/>
          <w:lang w:val="fr-CA" w:eastAsia="fr-CA"/>
        </w:rPr>
        <w:t>ainsi qu’un</w:t>
      </w:r>
      <w:r w:rsidR="004E3089">
        <w:rPr>
          <w:rFonts w:ascii="Calibri" w:eastAsia="Times New Roman" w:hAnsi="Calibri" w:cs="Calibri"/>
          <w:color w:val="000000"/>
          <w:sz w:val="22"/>
          <w:szCs w:val="22"/>
          <w:lang w:val="fr-CA" w:eastAsia="fr-CA"/>
        </w:rPr>
        <w:t xml:space="preserve"> maxim</w:t>
      </w:r>
      <w:r w:rsidR="00D356CB">
        <w:rPr>
          <w:rFonts w:ascii="Calibri" w:eastAsia="Times New Roman" w:hAnsi="Calibri" w:cs="Calibri"/>
          <w:color w:val="000000"/>
          <w:sz w:val="22"/>
          <w:szCs w:val="22"/>
          <w:lang w:val="fr-CA" w:eastAsia="fr-CA"/>
        </w:rPr>
        <w:t>um</w:t>
      </w:r>
      <w:r w:rsidR="004E3089">
        <w:rPr>
          <w:rFonts w:ascii="Calibri" w:eastAsia="Times New Roman" w:hAnsi="Calibri" w:cs="Calibri"/>
          <w:color w:val="000000"/>
          <w:sz w:val="22"/>
          <w:szCs w:val="22"/>
          <w:lang w:val="fr-CA" w:eastAsia="fr-CA"/>
        </w:rPr>
        <w:t xml:space="preserve"> de 70</w:t>
      </w:r>
      <w:r w:rsidR="00D356CB">
        <w:rPr>
          <w:rFonts w:ascii="Calibri" w:eastAsia="Times New Roman" w:hAnsi="Calibri" w:cs="Calibri"/>
          <w:color w:val="000000"/>
          <w:sz w:val="22"/>
          <w:szCs w:val="22"/>
          <w:lang w:val="fr-CA" w:eastAsia="fr-CA"/>
        </w:rPr>
        <w:t> </w:t>
      </w:r>
      <w:r w:rsidR="004E3089">
        <w:rPr>
          <w:rFonts w:ascii="Calibri" w:eastAsia="Times New Roman" w:hAnsi="Calibri" w:cs="Calibri"/>
          <w:color w:val="000000"/>
          <w:sz w:val="22"/>
          <w:szCs w:val="22"/>
          <w:lang w:val="fr-CA" w:eastAsia="fr-CA"/>
        </w:rPr>
        <w:t>% financ</w:t>
      </w:r>
      <w:r w:rsidR="00D356CB">
        <w:rPr>
          <w:rFonts w:ascii="Calibri" w:eastAsia="Times New Roman" w:hAnsi="Calibri" w:cs="Calibri"/>
          <w:color w:val="000000"/>
          <w:sz w:val="22"/>
          <w:szCs w:val="22"/>
          <w:lang w:val="fr-CA" w:eastAsia="fr-CA"/>
        </w:rPr>
        <w:t>é</w:t>
      </w:r>
      <w:r w:rsidR="004E3089">
        <w:rPr>
          <w:rFonts w:ascii="Calibri" w:eastAsia="Times New Roman" w:hAnsi="Calibri" w:cs="Calibri"/>
          <w:color w:val="000000"/>
          <w:sz w:val="22"/>
          <w:szCs w:val="22"/>
          <w:lang w:val="fr-CA" w:eastAsia="fr-CA"/>
        </w:rPr>
        <w:t xml:space="preserve"> par les cotisations patronales</w:t>
      </w:r>
      <w:r w:rsidR="00D356CB">
        <w:rPr>
          <w:rFonts w:ascii="Calibri" w:eastAsia="Times New Roman" w:hAnsi="Calibri" w:cs="Calibri"/>
          <w:color w:val="000000"/>
          <w:sz w:val="22"/>
          <w:szCs w:val="22"/>
          <w:lang w:val="fr-CA" w:eastAsia="fr-CA"/>
        </w:rPr>
        <w:t>)</w:t>
      </w:r>
      <w:r w:rsidR="004E3089">
        <w:rPr>
          <w:rFonts w:ascii="Calibri" w:eastAsia="Times New Roman" w:hAnsi="Calibri" w:cs="Calibri"/>
          <w:color w:val="000000"/>
          <w:sz w:val="22"/>
          <w:szCs w:val="22"/>
          <w:lang w:val="fr-CA" w:eastAsia="fr-CA"/>
        </w:rPr>
        <w:t>.</w:t>
      </w:r>
    </w:p>
    <w:p w14:paraId="460617C9" w14:textId="72CB6311" w:rsidR="0053496B" w:rsidRDefault="0053496B" w:rsidP="0053496B">
      <w:pPr>
        <w:rPr>
          <w:rFonts w:ascii="Calibri" w:eastAsia="Times New Roman" w:hAnsi="Calibri" w:cs="Calibri"/>
          <w:color w:val="000000"/>
          <w:sz w:val="22"/>
          <w:szCs w:val="22"/>
          <w:lang w:val="fr-CA" w:eastAsia="fr-CA"/>
        </w:rPr>
      </w:pPr>
    </w:p>
    <w:p w14:paraId="7FA47656" w14:textId="635CC87C" w:rsidR="0053496B" w:rsidRDefault="0053496B" w:rsidP="0053496B">
      <w:pPr>
        <w:rPr>
          <w:rFonts w:ascii="Calibri" w:eastAsia="Times New Roman" w:hAnsi="Calibri" w:cs="Calibri"/>
          <w:color w:val="000000"/>
          <w:sz w:val="22"/>
          <w:szCs w:val="22"/>
          <w:lang w:val="fr-CA" w:eastAsia="fr-CA"/>
        </w:rPr>
      </w:pPr>
    </w:p>
    <w:p w14:paraId="79843800" w14:textId="77777777" w:rsidR="0053496B" w:rsidRDefault="0053496B" w:rsidP="0053496B">
      <w:pPr>
        <w:rPr>
          <w:rFonts w:ascii="Calibri" w:eastAsia="Times New Roman" w:hAnsi="Calibri" w:cs="Calibri"/>
          <w:color w:val="000000"/>
          <w:sz w:val="22"/>
          <w:szCs w:val="22"/>
          <w:lang w:val="fr-CA" w:eastAsia="fr-CA"/>
        </w:rPr>
      </w:pPr>
    </w:p>
    <w:p w14:paraId="2D43BBC0" w14:textId="6BEB928D" w:rsidR="006E7CC0" w:rsidRPr="00AB4D9C" w:rsidRDefault="006E7CC0" w:rsidP="00FE6855">
      <w:pPr>
        <w:rPr>
          <w:rFonts w:ascii="Calibri" w:eastAsia="Times New Roman" w:hAnsi="Calibri" w:cs="Calibri"/>
          <w:color w:val="000000"/>
          <w:sz w:val="22"/>
          <w:szCs w:val="22"/>
          <w:lang w:val="fr-CA" w:eastAsia="fr-CA"/>
        </w:rPr>
      </w:pPr>
    </w:p>
    <w:p w14:paraId="2B22C7E8" w14:textId="3B842918" w:rsidR="00154447" w:rsidRPr="00154447" w:rsidRDefault="00154447" w:rsidP="00154447">
      <w:pPr>
        <w:rPr>
          <w:rFonts w:ascii="Calibri" w:eastAsia="Times New Roman" w:hAnsi="Calibri" w:cs="Calibri"/>
          <w:color w:val="000000"/>
          <w:sz w:val="22"/>
          <w:szCs w:val="22"/>
          <w:lang w:val="fr-CA" w:eastAsia="fr-CA"/>
        </w:rPr>
      </w:pPr>
    </w:p>
    <w:p w14:paraId="4974BCB7" w14:textId="6E52A111" w:rsidR="00437915" w:rsidRPr="00437915" w:rsidRDefault="00437915" w:rsidP="000D6FD7">
      <w:pPr>
        <w:rPr>
          <w:rFonts w:ascii="Calibri" w:eastAsia="Times New Roman" w:hAnsi="Calibri" w:cs="Calibri"/>
          <w:color w:val="000000"/>
          <w:sz w:val="22"/>
          <w:szCs w:val="22"/>
          <w:lang w:val="fr-CA" w:eastAsia="fr-CA"/>
        </w:rPr>
      </w:pPr>
    </w:p>
    <w:p w14:paraId="3952BFE4" w14:textId="5A732942" w:rsidR="00437915" w:rsidRPr="00437915" w:rsidRDefault="00437915" w:rsidP="00437915">
      <w:pPr>
        <w:spacing w:line="240" w:lineRule="auto"/>
        <w:rPr>
          <w:rFonts w:ascii="Calibri" w:eastAsia="Times New Roman" w:hAnsi="Calibri" w:cs="Calibri"/>
          <w:color w:val="000000"/>
          <w:sz w:val="22"/>
          <w:szCs w:val="22"/>
          <w:lang w:val="fr-CA" w:eastAsia="fr-CA"/>
        </w:rPr>
      </w:pPr>
    </w:p>
    <w:p w14:paraId="182C9C3C" w14:textId="755BBCC5" w:rsidR="00437915" w:rsidRPr="00437915" w:rsidRDefault="00437915" w:rsidP="00437915">
      <w:pPr>
        <w:spacing w:line="240" w:lineRule="auto"/>
        <w:rPr>
          <w:rFonts w:ascii="Calibri" w:eastAsia="Times New Roman" w:hAnsi="Calibri" w:cs="Calibri"/>
          <w:color w:val="000000"/>
          <w:sz w:val="22"/>
          <w:szCs w:val="22"/>
          <w:lang w:val="fr-CA" w:eastAsia="fr-CA"/>
        </w:rPr>
      </w:pPr>
    </w:p>
    <w:p w14:paraId="26B5E2F5" w14:textId="30E15178" w:rsidR="00437915" w:rsidRPr="00437915" w:rsidRDefault="00437915" w:rsidP="00437915">
      <w:pPr>
        <w:spacing w:line="240" w:lineRule="auto"/>
        <w:rPr>
          <w:rFonts w:ascii="Calibri" w:eastAsia="Times New Roman" w:hAnsi="Calibri" w:cs="Calibri"/>
          <w:color w:val="000000"/>
          <w:sz w:val="22"/>
          <w:szCs w:val="22"/>
          <w:lang w:val="fr-CA" w:eastAsia="fr-CA"/>
        </w:rPr>
      </w:pPr>
    </w:p>
    <w:p w14:paraId="60239C5D" w14:textId="6B2EED16" w:rsidR="00B76EEE" w:rsidRPr="00B76EEE" w:rsidRDefault="00B76EEE" w:rsidP="00B76EEE">
      <w:pPr>
        <w:spacing w:line="240" w:lineRule="auto"/>
        <w:rPr>
          <w:rFonts w:ascii="Calibri" w:eastAsia="Times New Roman" w:hAnsi="Calibri" w:cs="Calibri"/>
          <w:lang w:val="fr-CA" w:eastAsia="fr-CA"/>
        </w:rPr>
      </w:pPr>
    </w:p>
    <w:p w14:paraId="592F0B84" w14:textId="5D40556C" w:rsidR="00B76EEE" w:rsidRPr="00B76EEE" w:rsidRDefault="00B76EEE" w:rsidP="00B76EEE">
      <w:pPr>
        <w:spacing w:line="240" w:lineRule="auto"/>
        <w:rPr>
          <w:rFonts w:ascii="Calibri" w:eastAsia="Times New Roman" w:hAnsi="Calibri" w:cs="Calibri"/>
          <w:color w:val="000000"/>
          <w:sz w:val="22"/>
          <w:szCs w:val="22"/>
          <w:lang w:val="fr-CA" w:eastAsia="fr-CA"/>
        </w:rPr>
      </w:pPr>
    </w:p>
    <w:p w14:paraId="224CB31D" w14:textId="1917D576" w:rsidR="00B76EEE" w:rsidRPr="00B76EEE" w:rsidRDefault="00B76EEE" w:rsidP="00B76EEE">
      <w:pPr>
        <w:spacing w:line="240" w:lineRule="auto"/>
        <w:rPr>
          <w:rFonts w:ascii="Calibri" w:eastAsia="Times New Roman" w:hAnsi="Calibri" w:cs="Calibri"/>
          <w:color w:val="000000"/>
          <w:sz w:val="22"/>
          <w:szCs w:val="22"/>
          <w:lang w:val="fr-CA" w:eastAsia="fr-CA"/>
        </w:rPr>
      </w:pPr>
    </w:p>
    <w:p w14:paraId="67EB84C0" w14:textId="51EB4660" w:rsidR="002618FD" w:rsidRPr="002618FD" w:rsidRDefault="002618FD" w:rsidP="002618FD"/>
    <w:sectPr w:rsidR="002618FD" w:rsidRPr="002618FD"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Thomas Paré-Bourque" w:date="2021-11-23T22:17:00Z" w:initials="TP">
    <w:p w14:paraId="09A61FD7" w14:textId="00BB8E28" w:rsidR="00D356CB" w:rsidRDefault="00D356CB">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A61F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A61FD7"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861370" w14:textId="77777777" w:rsidR="003E5356" w:rsidRDefault="003E5356" w:rsidP="007308BB">
      <w:r>
        <w:separator/>
      </w:r>
    </w:p>
  </w:endnote>
  <w:endnote w:type="continuationSeparator" w:id="0">
    <w:p w14:paraId="41A9E14A" w14:textId="77777777" w:rsidR="003E5356" w:rsidRDefault="003E5356"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BD155" w14:textId="77777777" w:rsidR="00875849" w:rsidRDefault="0087584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875849" w:rsidRDefault="00875849">
        <w:pPr>
          <w:pStyle w:val="Pieddepage"/>
          <w:jc w:val="right"/>
        </w:pPr>
        <w:r>
          <w:fldChar w:fldCharType="begin"/>
        </w:r>
        <w:r>
          <w:instrText>PAGE   \* MERGEFORMAT</w:instrText>
        </w:r>
        <w:r>
          <w:fldChar w:fldCharType="separate"/>
        </w:r>
        <w:r>
          <w:t>2</w:t>
        </w:r>
        <w:r>
          <w:fldChar w:fldCharType="end"/>
        </w:r>
      </w:p>
    </w:sdtContent>
  </w:sdt>
  <w:p w14:paraId="21988D0E" w14:textId="77777777" w:rsidR="00875849" w:rsidRDefault="0087584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823539"/>
      <w:docPartObj>
        <w:docPartGallery w:val="Page Numbers (Bottom of Page)"/>
        <w:docPartUnique/>
      </w:docPartObj>
    </w:sdtPr>
    <w:sdtContent>
      <w:p w14:paraId="01EA6E5A" w14:textId="7CEE7C51" w:rsidR="00875849" w:rsidRDefault="00875849">
        <w:pPr>
          <w:pStyle w:val="Pieddepage"/>
          <w:jc w:val="right"/>
        </w:pPr>
        <w:r>
          <w:fldChar w:fldCharType="begin"/>
        </w:r>
        <w:r>
          <w:instrText>PAGE   \* MERGEFORMAT</w:instrText>
        </w:r>
        <w:r>
          <w:fldChar w:fldCharType="separate"/>
        </w:r>
        <w:r>
          <w:t>2</w:t>
        </w:r>
        <w:r>
          <w:fldChar w:fldCharType="end"/>
        </w:r>
      </w:p>
    </w:sdtContent>
  </w:sdt>
  <w:p w14:paraId="3E48459D" w14:textId="77777777" w:rsidR="00875849" w:rsidRDefault="0087584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F38E2" w14:textId="77777777" w:rsidR="003E5356" w:rsidRDefault="003E5356" w:rsidP="007308BB">
      <w:r>
        <w:separator/>
      </w:r>
    </w:p>
  </w:footnote>
  <w:footnote w:type="continuationSeparator" w:id="0">
    <w:p w14:paraId="6AEB4C70" w14:textId="77777777" w:rsidR="003E5356" w:rsidRDefault="003E5356" w:rsidP="007308BB">
      <w:r>
        <w:continuationSeparator/>
      </w:r>
    </w:p>
  </w:footnote>
  <w:footnote w:id="1">
    <w:p w14:paraId="54E12E35" w14:textId="4CAD2431" w:rsidR="00875849" w:rsidRPr="00694EF6" w:rsidRDefault="00875849">
      <w:pPr>
        <w:pStyle w:val="Notedebasdepage"/>
        <w:rPr>
          <w:lang w:val="fr-CA"/>
        </w:rPr>
      </w:pPr>
      <w:r>
        <w:rPr>
          <w:rStyle w:val="Appelnotedebasdep"/>
        </w:rPr>
        <w:footnoteRef/>
      </w:r>
      <w:r>
        <w:t xml:space="preserve"> Les sources des différentes tables et échelles sont disponibles dans la bibliographie du rapport.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240D" w14:textId="77777777" w:rsidR="00875849" w:rsidRDefault="008758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C312" w14:textId="77777777" w:rsidR="00875849" w:rsidRDefault="008758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2D360" w14:textId="77777777" w:rsidR="00875849" w:rsidRDefault="0087584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D6FD7"/>
    <w:rsid w:val="000E08F2"/>
    <w:rsid w:val="000E6B89"/>
    <w:rsid w:val="000F0AEF"/>
    <w:rsid w:val="000F25C2"/>
    <w:rsid w:val="001036F4"/>
    <w:rsid w:val="001167DE"/>
    <w:rsid w:val="00133463"/>
    <w:rsid w:val="00141C40"/>
    <w:rsid w:val="00153899"/>
    <w:rsid w:val="00154447"/>
    <w:rsid w:val="001B2BB6"/>
    <w:rsid w:val="001C3F0D"/>
    <w:rsid w:val="001D115D"/>
    <w:rsid w:val="001D56FF"/>
    <w:rsid w:val="001F2E95"/>
    <w:rsid w:val="002115D6"/>
    <w:rsid w:val="002136D0"/>
    <w:rsid w:val="00214441"/>
    <w:rsid w:val="002200B5"/>
    <w:rsid w:val="00222FB4"/>
    <w:rsid w:val="00242485"/>
    <w:rsid w:val="002618FD"/>
    <w:rsid w:val="0026492F"/>
    <w:rsid w:val="00273989"/>
    <w:rsid w:val="00291A4A"/>
    <w:rsid w:val="002D66FA"/>
    <w:rsid w:val="002E1981"/>
    <w:rsid w:val="002E6182"/>
    <w:rsid w:val="002F6AF6"/>
    <w:rsid w:val="00312AFB"/>
    <w:rsid w:val="00314FD5"/>
    <w:rsid w:val="003505B6"/>
    <w:rsid w:val="00363CFF"/>
    <w:rsid w:val="00367903"/>
    <w:rsid w:val="003E5356"/>
    <w:rsid w:val="003F46FB"/>
    <w:rsid w:val="0041760A"/>
    <w:rsid w:val="00437915"/>
    <w:rsid w:val="00450B1A"/>
    <w:rsid w:val="00477798"/>
    <w:rsid w:val="00497543"/>
    <w:rsid w:val="00497F68"/>
    <w:rsid w:val="004C0F72"/>
    <w:rsid w:val="004E3089"/>
    <w:rsid w:val="004F4532"/>
    <w:rsid w:val="0053496B"/>
    <w:rsid w:val="005417A1"/>
    <w:rsid w:val="00546F6F"/>
    <w:rsid w:val="00575737"/>
    <w:rsid w:val="005778E9"/>
    <w:rsid w:val="00591562"/>
    <w:rsid w:val="005A0D74"/>
    <w:rsid w:val="005B2BE2"/>
    <w:rsid w:val="005D6539"/>
    <w:rsid w:val="005E0006"/>
    <w:rsid w:val="005F03D1"/>
    <w:rsid w:val="005F0A7F"/>
    <w:rsid w:val="005F1BD7"/>
    <w:rsid w:val="005F788A"/>
    <w:rsid w:val="00602BA5"/>
    <w:rsid w:val="00616458"/>
    <w:rsid w:val="00650193"/>
    <w:rsid w:val="00657018"/>
    <w:rsid w:val="0067124C"/>
    <w:rsid w:val="00671749"/>
    <w:rsid w:val="006750E2"/>
    <w:rsid w:val="00694EF6"/>
    <w:rsid w:val="006A1A80"/>
    <w:rsid w:val="006A5674"/>
    <w:rsid w:val="006E7CC0"/>
    <w:rsid w:val="006F6766"/>
    <w:rsid w:val="007075BA"/>
    <w:rsid w:val="007137FF"/>
    <w:rsid w:val="00726147"/>
    <w:rsid w:val="007308BB"/>
    <w:rsid w:val="00753DE8"/>
    <w:rsid w:val="007604A3"/>
    <w:rsid w:val="007654AB"/>
    <w:rsid w:val="0077271D"/>
    <w:rsid w:val="007758DB"/>
    <w:rsid w:val="007855B2"/>
    <w:rsid w:val="007951FB"/>
    <w:rsid w:val="007A49B3"/>
    <w:rsid w:val="007A5C52"/>
    <w:rsid w:val="007A7531"/>
    <w:rsid w:val="00823A3B"/>
    <w:rsid w:val="00826151"/>
    <w:rsid w:val="00833DAF"/>
    <w:rsid w:val="00834E38"/>
    <w:rsid w:val="008513D3"/>
    <w:rsid w:val="00867ABA"/>
    <w:rsid w:val="00875849"/>
    <w:rsid w:val="00886D75"/>
    <w:rsid w:val="008A04FB"/>
    <w:rsid w:val="008A2676"/>
    <w:rsid w:val="008B0E3C"/>
    <w:rsid w:val="008E03EC"/>
    <w:rsid w:val="008F318E"/>
    <w:rsid w:val="0091297E"/>
    <w:rsid w:val="009139CD"/>
    <w:rsid w:val="00935D34"/>
    <w:rsid w:val="00947267"/>
    <w:rsid w:val="0096664F"/>
    <w:rsid w:val="00976002"/>
    <w:rsid w:val="00977B7F"/>
    <w:rsid w:val="009853CF"/>
    <w:rsid w:val="009A2E4C"/>
    <w:rsid w:val="009B1828"/>
    <w:rsid w:val="009B21B0"/>
    <w:rsid w:val="009B2356"/>
    <w:rsid w:val="009E1A17"/>
    <w:rsid w:val="00A00B7F"/>
    <w:rsid w:val="00A0237C"/>
    <w:rsid w:val="00A34632"/>
    <w:rsid w:val="00A43BA6"/>
    <w:rsid w:val="00A45CE9"/>
    <w:rsid w:val="00A62787"/>
    <w:rsid w:val="00A6490B"/>
    <w:rsid w:val="00A65D48"/>
    <w:rsid w:val="00A8086A"/>
    <w:rsid w:val="00A81226"/>
    <w:rsid w:val="00A94309"/>
    <w:rsid w:val="00A958C2"/>
    <w:rsid w:val="00AB21CC"/>
    <w:rsid w:val="00AB4D9C"/>
    <w:rsid w:val="00AC6082"/>
    <w:rsid w:val="00AC7966"/>
    <w:rsid w:val="00AD2B27"/>
    <w:rsid w:val="00AE3E47"/>
    <w:rsid w:val="00AF6289"/>
    <w:rsid w:val="00B06A41"/>
    <w:rsid w:val="00B1404A"/>
    <w:rsid w:val="00B24FF9"/>
    <w:rsid w:val="00B441AB"/>
    <w:rsid w:val="00B53816"/>
    <w:rsid w:val="00B60D97"/>
    <w:rsid w:val="00B76EEE"/>
    <w:rsid w:val="00B902CD"/>
    <w:rsid w:val="00B93207"/>
    <w:rsid w:val="00B94FBF"/>
    <w:rsid w:val="00BA3054"/>
    <w:rsid w:val="00BB08EC"/>
    <w:rsid w:val="00BB7736"/>
    <w:rsid w:val="00BE0B22"/>
    <w:rsid w:val="00BE2FC2"/>
    <w:rsid w:val="00C046B1"/>
    <w:rsid w:val="00C05249"/>
    <w:rsid w:val="00C3794A"/>
    <w:rsid w:val="00C41568"/>
    <w:rsid w:val="00C763E0"/>
    <w:rsid w:val="00C80639"/>
    <w:rsid w:val="00C82661"/>
    <w:rsid w:val="00C9471A"/>
    <w:rsid w:val="00CA1504"/>
    <w:rsid w:val="00CA3FD6"/>
    <w:rsid w:val="00CB29A7"/>
    <w:rsid w:val="00CD0F08"/>
    <w:rsid w:val="00CD2327"/>
    <w:rsid w:val="00CD77B7"/>
    <w:rsid w:val="00CE0193"/>
    <w:rsid w:val="00CE2F94"/>
    <w:rsid w:val="00CF4750"/>
    <w:rsid w:val="00D10653"/>
    <w:rsid w:val="00D10F9E"/>
    <w:rsid w:val="00D274A3"/>
    <w:rsid w:val="00D349F0"/>
    <w:rsid w:val="00D356CB"/>
    <w:rsid w:val="00D77894"/>
    <w:rsid w:val="00DA3182"/>
    <w:rsid w:val="00DB18AA"/>
    <w:rsid w:val="00DC0A7D"/>
    <w:rsid w:val="00DC2606"/>
    <w:rsid w:val="00DC48BD"/>
    <w:rsid w:val="00DD2A44"/>
    <w:rsid w:val="00DE40C5"/>
    <w:rsid w:val="00DE511E"/>
    <w:rsid w:val="00DF57F1"/>
    <w:rsid w:val="00E60144"/>
    <w:rsid w:val="00E61FA7"/>
    <w:rsid w:val="00E661CF"/>
    <w:rsid w:val="00E736C8"/>
    <w:rsid w:val="00E743A4"/>
    <w:rsid w:val="00EA0488"/>
    <w:rsid w:val="00EA18AD"/>
    <w:rsid w:val="00EA66F1"/>
    <w:rsid w:val="00EE6FB4"/>
    <w:rsid w:val="00F052FE"/>
    <w:rsid w:val="00F25FE0"/>
    <w:rsid w:val="00F567DA"/>
    <w:rsid w:val="00F75688"/>
    <w:rsid w:val="00F92A21"/>
    <w:rsid w:val="00FB4105"/>
    <w:rsid w:val="00FB73D1"/>
    <w:rsid w:val="00FD6E93"/>
    <w:rsid w:val="00FE68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40791869">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130753748">
      <w:bodyDiv w:val="1"/>
      <w:marLeft w:val="0"/>
      <w:marRight w:val="0"/>
      <w:marTop w:val="0"/>
      <w:marBottom w:val="0"/>
      <w:divBdr>
        <w:top w:val="none" w:sz="0" w:space="0" w:color="auto"/>
        <w:left w:val="none" w:sz="0" w:space="0" w:color="auto"/>
        <w:bottom w:val="none" w:sz="0" w:space="0" w:color="auto"/>
        <w:right w:val="none" w:sz="0" w:space="0" w:color="auto"/>
      </w:divBdr>
    </w:div>
    <w:div w:id="141586649">
      <w:bodyDiv w:val="1"/>
      <w:marLeft w:val="0"/>
      <w:marRight w:val="0"/>
      <w:marTop w:val="0"/>
      <w:marBottom w:val="0"/>
      <w:divBdr>
        <w:top w:val="none" w:sz="0" w:space="0" w:color="auto"/>
        <w:left w:val="none" w:sz="0" w:space="0" w:color="auto"/>
        <w:bottom w:val="none" w:sz="0" w:space="0" w:color="auto"/>
        <w:right w:val="none" w:sz="0" w:space="0" w:color="auto"/>
      </w:divBdr>
    </w:div>
    <w:div w:id="211118092">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276569568">
      <w:bodyDiv w:val="1"/>
      <w:marLeft w:val="0"/>
      <w:marRight w:val="0"/>
      <w:marTop w:val="0"/>
      <w:marBottom w:val="0"/>
      <w:divBdr>
        <w:top w:val="none" w:sz="0" w:space="0" w:color="auto"/>
        <w:left w:val="none" w:sz="0" w:space="0" w:color="auto"/>
        <w:bottom w:val="none" w:sz="0" w:space="0" w:color="auto"/>
        <w:right w:val="none" w:sz="0" w:space="0" w:color="auto"/>
      </w:divBdr>
    </w:div>
    <w:div w:id="435557914">
      <w:bodyDiv w:val="1"/>
      <w:marLeft w:val="0"/>
      <w:marRight w:val="0"/>
      <w:marTop w:val="0"/>
      <w:marBottom w:val="0"/>
      <w:divBdr>
        <w:top w:val="none" w:sz="0" w:space="0" w:color="auto"/>
        <w:left w:val="none" w:sz="0" w:space="0" w:color="auto"/>
        <w:bottom w:val="none" w:sz="0" w:space="0" w:color="auto"/>
        <w:right w:val="none" w:sz="0" w:space="0" w:color="auto"/>
      </w:divBdr>
    </w:div>
    <w:div w:id="549734888">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827750046">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36949883">
      <w:bodyDiv w:val="1"/>
      <w:marLeft w:val="0"/>
      <w:marRight w:val="0"/>
      <w:marTop w:val="0"/>
      <w:marBottom w:val="0"/>
      <w:divBdr>
        <w:top w:val="none" w:sz="0" w:space="0" w:color="auto"/>
        <w:left w:val="none" w:sz="0" w:space="0" w:color="auto"/>
        <w:bottom w:val="none" w:sz="0" w:space="0" w:color="auto"/>
        <w:right w:val="none" w:sz="0" w:space="0" w:color="auto"/>
      </w:divBdr>
    </w:div>
    <w:div w:id="1137799248">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46248724">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0381720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685327569">
      <w:bodyDiv w:val="1"/>
      <w:marLeft w:val="0"/>
      <w:marRight w:val="0"/>
      <w:marTop w:val="0"/>
      <w:marBottom w:val="0"/>
      <w:divBdr>
        <w:top w:val="none" w:sz="0" w:space="0" w:color="auto"/>
        <w:left w:val="none" w:sz="0" w:space="0" w:color="auto"/>
        <w:bottom w:val="none" w:sz="0" w:space="0" w:color="auto"/>
        <w:right w:val="none" w:sz="0" w:space="0" w:color="auto"/>
      </w:divBdr>
    </w:div>
    <w:div w:id="1767194656">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828325688">
      <w:bodyDiv w:val="1"/>
      <w:marLeft w:val="0"/>
      <w:marRight w:val="0"/>
      <w:marTop w:val="0"/>
      <w:marBottom w:val="0"/>
      <w:divBdr>
        <w:top w:val="none" w:sz="0" w:space="0" w:color="auto"/>
        <w:left w:val="none" w:sz="0" w:space="0" w:color="auto"/>
        <w:bottom w:val="none" w:sz="0" w:space="0" w:color="auto"/>
        <w:right w:val="none" w:sz="0" w:space="0" w:color="auto"/>
      </w:divBdr>
    </w:div>
    <w:div w:id="1835799630">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1964533967">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2257">
      <w:bodyDiv w:val="1"/>
      <w:marLeft w:val="0"/>
      <w:marRight w:val="0"/>
      <w:marTop w:val="0"/>
      <w:marBottom w:val="0"/>
      <w:divBdr>
        <w:top w:val="none" w:sz="0" w:space="0" w:color="auto"/>
        <w:left w:val="none" w:sz="0" w:space="0" w:color="auto"/>
        <w:bottom w:val="none" w:sz="0" w:space="0" w:color="auto"/>
        <w:right w:val="none" w:sz="0" w:space="0" w:color="auto"/>
      </w:divBdr>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comments" Target="comments.xml"/><Relationship Id="rId10" Type="http://schemas.openxmlformats.org/officeDocument/2006/relationships/header" Target="header2.xml"/><Relationship Id="rId19" Type="http://schemas.openxmlformats.org/officeDocument/2006/relationships/image" Target="media/image6.emf"/><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microsoft.com/office/2016/09/relationships/commentsIds" Target="commentsId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64</Pages>
  <Words>15466</Words>
  <Characters>85063</Characters>
  <Application>Microsoft Office Word</Application>
  <DocSecurity>0</DocSecurity>
  <Lines>708</Lines>
  <Paragraphs>200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4</cp:revision>
  <dcterms:created xsi:type="dcterms:W3CDTF">2021-11-24T01:23:00Z</dcterms:created>
  <dcterms:modified xsi:type="dcterms:W3CDTF">2021-11-24T03:20:00Z</dcterms:modified>
</cp:coreProperties>
</file>