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F95504">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F95504">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F95504">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F95504">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F95504">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F95504">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F95504">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F95504">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445DC04D" w14:textId="3E3E9EAF" w:rsidR="00CF4750" w:rsidRDefault="00CF4750" w:rsidP="00CF4750">
      <w:r>
        <w:t>Maximum 2 pages</w:t>
      </w:r>
    </w:p>
    <w:p w14:paraId="035A6C61" w14:textId="3EFC7FAF" w:rsidR="00CF4750" w:rsidRDefault="00CF4750" w:rsidP="00CF4750"/>
    <w:p w14:paraId="77BB2A1F" w14:textId="3E32AA51" w:rsidR="00CF4750" w:rsidRDefault="00CF4750">
      <w:pPr>
        <w:spacing w:line="240" w:lineRule="auto"/>
      </w:pPr>
    </w:p>
    <w:p w14:paraId="3D6C9515" w14:textId="77777777" w:rsidR="007137FF" w:rsidRDefault="007137FF" w:rsidP="00CF4750">
      <w:pPr>
        <w:pStyle w:val="Titre1"/>
        <w:sectPr w:rsidR="007137FF" w:rsidSect="007137FF">
          <w:pgSz w:w="12240" w:h="15840"/>
          <w:pgMar w:top="1440" w:right="1800" w:bottom="1440" w:left="1800" w:header="708" w:footer="708" w:gutter="0"/>
          <w:pgNumType w:fmt="lowerRoman" w:start="3"/>
          <w:cols w:space="708"/>
          <w:titlePg/>
          <w:docGrid w:linePitch="360"/>
        </w:sectPr>
      </w:pP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684BF4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44FC9AA8" w14:textId="70AA9518"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 xml:space="preserve">En plus d’avoir un écart de 0%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266C6B5"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7411D241" w14:textId="34B69246"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698F2933"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EE78403"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D19C04B"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37BD3BF0"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52B0390B"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5CC6453D"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71861129"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p>
    <w:p w14:paraId="001E5CD3" w14:textId="17E38DB6"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70AEAC05"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5F282C52"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du réversion à 60%.</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6715133C"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242657CA" w14:textId="1A2A0796"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 qu’une garantie 15 ans à 100%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4C4F530C"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4AD15244"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14E6B516"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5 ans à 100%.</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18D53185"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170194C5" w14:textId="442E7272"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629621A1"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092F3FDD"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2D2928E8"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15 ans à 60%.</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15623AA6"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401BD217" w14:textId="6FC1AC07"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15 ans à 60% fait augmenter </w:t>
      </w:r>
      <w:r w:rsidR="007A5C52">
        <w:t>la valeur actualisée</w:t>
      </w:r>
      <w:r w:rsidR="008E03EC">
        <w:t xml:space="preserve"> de la rente</w:t>
      </w:r>
      <w:r w:rsidR="00AC6082">
        <w:t xml:space="preserve"> (en comparant avec le test 1)</w:t>
      </w:r>
      <w:r w:rsidR="008E03EC">
        <w:t xml:space="preserve">. </w:t>
      </w:r>
      <w:r w:rsidR="00AC6082">
        <w:t xml:space="preserve">On constate également que l’ajout de la garantie 15 ans à 60%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77777777"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3442F943"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Pr="00A94309">
        <w:rPr>
          <w:b/>
          <w:bCs/>
        </w:rPr>
        <w:t xml:space="preserve">% </w:t>
      </w:r>
      <w:r w:rsidR="00A94309" w:rsidRPr="00A94309">
        <w:rPr>
          <w:b/>
          <w:bCs/>
        </w:rPr>
        <w:t xml:space="preserve">les 5 premières années, 4,6% </w:t>
      </w:r>
      <w:r w:rsidR="002F6AF6">
        <w:rPr>
          <w:b/>
          <w:bCs/>
        </w:rPr>
        <w:t>les 10 années suivantes</w:t>
      </w:r>
      <w:r w:rsidR="00A94309" w:rsidRPr="00A94309">
        <w:rPr>
          <w:b/>
          <w:bCs/>
        </w:rPr>
        <w:t xml:space="preserve"> et 3,6%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7A8855E5"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 par un t</w:t>
      </w:r>
      <w:r w:rsidR="00A94309" w:rsidRPr="00A94309">
        <w:t xml:space="preserve">aux à 5,1% les 5 premières années, 4,6% </w:t>
      </w:r>
      <w:r w:rsidR="002F6AF6">
        <w:t>les 10 années suivantes</w:t>
      </w:r>
      <w:r w:rsidR="00A94309" w:rsidRPr="00A94309">
        <w:t xml:space="preserve"> et 3,6%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5C98C0A3"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7F3DE396"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4D3C1118" w:rsidR="00A94309" w:rsidRDefault="00A94309" w:rsidP="00A94309">
      <w:pPr>
        <w:pStyle w:val="Paragraphedeliste"/>
        <w:numPr>
          <w:ilvl w:val="1"/>
          <w:numId w:val="1"/>
        </w:numPr>
      </w:pPr>
      <w:r w:rsidRPr="005F788A">
        <w:rPr>
          <w:i/>
          <w:iCs/>
        </w:rPr>
        <w:t>Taux d’actualisation</w:t>
      </w:r>
      <w:r>
        <w:t> : Constant à 5,1%</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783C2EC9"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7777777"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29C274E0"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 xml:space="preserve">Taux à 5,1% les 5 premières années, 4,6% </w:t>
      </w:r>
      <w:r w:rsidR="005F1BD7">
        <w:rPr>
          <w:b/>
          <w:bCs/>
        </w:rPr>
        <w:t>les 10 années suivantes</w:t>
      </w:r>
      <w:r w:rsidR="005F1BD7" w:rsidRPr="00A94309">
        <w:rPr>
          <w:b/>
          <w:bCs/>
        </w:rPr>
        <w:t xml:space="preserve"> et 3,6%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5AC31724"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6FADB19"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 xml:space="preserve">réversion au conjoint à 60%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01A3136" w:rsidR="00A94309" w:rsidRDefault="00A94309" w:rsidP="00A94309">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6ECC7B" w14:textId="1DB4C865" w:rsidR="00A94309" w:rsidRDefault="00A94309" w:rsidP="00A94309">
      <w:pPr>
        <w:pStyle w:val="Paragraphedeliste"/>
        <w:numPr>
          <w:ilvl w:val="1"/>
          <w:numId w:val="1"/>
        </w:numPr>
      </w:pPr>
      <w:r>
        <w:rPr>
          <w:i/>
          <w:iCs/>
        </w:rPr>
        <w:t>Indexation </w:t>
      </w:r>
      <w:r w:rsidRPr="00A94309">
        <w:t>:</w:t>
      </w:r>
      <w:r>
        <w:t xml:space="preserve"> </w:t>
      </w:r>
      <w:r w:rsidRPr="00A94309">
        <w:rPr>
          <w:b/>
          <w:bCs/>
        </w:rPr>
        <w:t>2%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F264549"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454936AE"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4D9CC5F0" w14:textId="77777777" w:rsidR="00A00B7F" w:rsidRDefault="00A00B7F" w:rsidP="00A00B7F">
      <w:pPr>
        <w:pStyle w:val="Paragraphedeliste"/>
        <w:numPr>
          <w:ilvl w:val="1"/>
          <w:numId w:val="1"/>
        </w:numPr>
      </w:pPr>
      <w:r>
        <w:rPr>
          <w:i/>
          <w:iCs/>
        </w:rPr>
        <w:t>Indexation </w:t>
      </w:r>
      <w:r w:rsidRPr="00A94309">
        <w:t>:</w:t>
      </w:r>
      <w:r>
        <w:t xml:space="preserve"> </w:t>
      </w:r>
      <w:r w:rsidRPr="00A94309">
        <w:rPr>
          <w:b/>
          <w:bCs/>
        </w:rPr>
        <w:t>2% par année</w:t>
      </w:r>
    </w:p>
    <w:p w14:paraId="126272F7" w14:textId="61C51E73"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616C65F5"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0C2C6D12"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7AE2D89A"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1419DF9E"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77777777"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6D74B9AC" w:rsidR="00F75688" w:rsidRDefault="00F75688" w:rsidP="00F75688">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6BCCBBEE"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5D1DA938"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6F13018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F75688" w:rsidRPr="00F75688">
        <w:rPr>
          <w:b/>
          <w:bCs/>
        </w:rPr>
        <w:t xml:space="preserve"> et à 60%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511E7159"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 les 5 premières années, 4,6% les 10 années suivantes et 3,6%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6D6E0F7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 et à 60%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3EE7FD22"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 à 100%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77777777"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 et à 60%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3DC7806B" w:rsidR="00497543" w:rsidRDefault="00497543" w:rsidP="00497543">
      <w:pPr>
        <w:pStyle w:val="Paragraphedeliste"/>
        <w:numPr>
          <w:ilvl w:val="1"/>
          <w:numId w:val="1"/>
        </w:numPr>
      </w:pPr>
      <w:r w:rsidRPr="005F788A">
        <w:rPr>
          <w:i/>
          <w:iCs/>
        </w:rPr>
        <w:t>Taux d’actualisation</w:t>
      </w:r>
      <w:r>
        <w:t xml:space="preserve"> : </w:t>
      </w:r>
      <w:r w:rsidR="007075BA" w:rsidRPr="007075BA">
        <w:t>Taux à 5,1% les 5 premières années, 4,6% les 10 années suivantes et 3,6% par la suite.</w:t>
      </w:r>
    </w:p>
    <w:p w14:paraId="15B18C86" w14:textId="62476768" w:rsidR="00497543" w:rsidRDefault="00497543" w:rsidP="00497543">
      <w:pPr>
        <w:pStyle w:val="Paragraphedeliste"/>
        <w:numPr>
          <w:ilvl w:val="1"/>
          <w:numId w:val="1"/>
        </w:numPr>
      </w:pPr>
      <w:r>
        <w:rPr>
          <w:i/>
          <w:iCs/>
        </w:rPr>
        <w:lastRenderedPageBreak/>
        <w:t>Indexation </w:t>
      </w:r>
      <w:r w:rsidRPr="00A94309">
        <w:t>:</w:t>
      </w:r>
      <w:r>
        <w:t xml:space="preserve"> </w:t>
      </w:r>
      <w:r w:rsidRPr="00497543">
        <w:rPr>
          <w:b/>
          <w:bCs/>
        </w:rPr>
        <w:t>2% par année</w:t>
      </w:r>
    </w:p>
    <w:p w14:paraId="57689ADD" w14:textId="51CBA737"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 et à 60% de 6 à 15 ans</w:t>
      </w:r>
      <w:r>
        <w:t xml:space="preserve"> et une indexation de 2%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4C9650CB" w:rsidR="00141C40" w:rsidRDefault="00141C40" w:rsidP="00AE3E47">
      <w:pPr>
        <w:pStyle w:val="Paragraphedeliste"/>
        <w:numPr>
          <w:ilvl w:val="0"/>
          <w:numId w:val="8"/>
        </w:numPr>
      </w:pPr>
      <w:r>
        <w:t>La table de mortalité utilisée, l’échelle d’amélioration de mortalité utilisée et l’application de facteurs multiplicatifs des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3D5D8A5" w14:textId="32E2DCDA" w:rsidR="005A0D74" w:rsidRDefault="005A0D74" w:rsidP="005A0D74">
      <w:pPr>
        <w:pStyle w:val="Paragraphedeliste"/>
        <w:numPr>
          <w:ilvl w:val="0"/>
          <w:numId w:val="3"/>
        </w:numPr>
      </w:pPr>
      <w:r>
        <w:t>la cotisation salariale de l’année</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5A567FC4" w14:textId="2CDF89BA" w:rsidR="005A0D74" w:rsidRDefault="005A0D74" w:rsidP="005A0D74">
      <w:pPr>
        <w:pStyle w:val="Paragraphedeliste"/>
        <w:numPr>
          <w:ilvl w:val="0"/>
          <w:numId w:val="3"/>
        </w:numPr>
      </w:pPr>
      <w:r>
        <w:t>la cotisation patronale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311272E1" w:rsidR="00A958C2" w:rsidRDefault="005A0D74" w:rsidP="005A0D74">
      <w:pPr>
        <w:ind w:left="60"/>
      </w:pPr>
      <w:r>
        <w:t>le solde accumulé avec intérêts des cotisations totales à la fin de l’année</w:t>
      </w:r>
    </w:p>
    <w:p w14:paraId="053B1D4D" w14:textId="4264274B" w:rsidR="005A0D74" w:rsidRDefault="005A0D74" w:rsidP="005A0D74">
      <w:pPr>
        <w:ind w:left="60"/>
      </w:pPr>
    </w:p>
    <w:p w14:paraId="15AD2ECC" w14:textId="5160F144"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w:t>
      </w:r>
      <w:r>
        <w:lastRenderedPageBreak/>
        <w:t xml:space="preserve">nous augmentons la 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440698EB" w:rsidR="00DB18AA" w:rsidRPr="00A0237C" w:rsidRDefault="002D66FA" w:rsidP="00A0237C">
            <w:pPr>
              <w:jc w:val="center"/>
              <w:rPr>
                <w:sz w:val="18"/>
                <w:szCs w:val="18"/>
              </w:rPr>
            </w:pPr>
            <w:r>
              <w:rPr>
                <w:sz w:val="18"/>
                <w:szCs w:val="18"/>
              </w:rPr>
              <w:t>Solde totale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 xml:space="preserve">Version </w:t>
      </w:r>
      <w:r>
        <w:t>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FB36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FB36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FB36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FB36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FB36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FB36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FB36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FB36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FB36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FB36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FB36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FB36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FB36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FB363B">
            <w:pPr>
              <w:jc w:val="center"/>
              <w:rPr>
                <w:sz w:val="18"/>
                <w:szCs w:val="18"/>
              </w:rPr>
            </w:pPr>
            <w:r>
              <w:rPr>
                <w:sz w:val="18"/>
                <w:szCs w:val="18"/>
              </w:rPr>
              <w:t>Solde accumulé des CP</w:t>
            </w:r>
          </w:p>
        </w:tc>
        <w:tc>
          <w:tcPr>
            <w:tcW w:w="1143" w:type="dxa"/>
            <w:tcBorders>
              <w:bottom w:val="single" w:sz="4" w:space="0" w:color="auto"/>
            </w:tcBorders>
          </w:tcPr>
          <w:p w14:paraId="62E5E13B" w14:textId="77777777" w:rsidR="002D66FA" w:rsidRPr="00A0237C" w:rsidRDefault="002D66FA" w:rsidP="00FB363B">
            <w:pPr>
              <w:jc w:val="center"/>
              <w:rPr>
                <w:sz w:val="18"/>
                <w:szCs w:val="18"/>
              </w:rPr>
            </w:pPr>
            <w:r>
              <w:rPr>
                <w:sz w:val="18"/>
                <w:szCs w:val="18"/>
              </w:rPr>
              <w:t>Solde totale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 xml:space="preserve">Version </w:t>
      </w:r>
      <w:r>
        <w:t>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FB363B">
        <w:trPr>
          <w:trHeight w:val="711"/>
        </w:trPr>
        <w:tc>
          <w:tcPr>
            <w:tcW w:w="837" w:type="dxa"/>
            <w:tcBorders>
              <w:bottom w:val="single" w:sz="4" w:space="0" w:color="auto"/>
            </w:tcBorders>
          </w:tcPr>
          <w:p w14:paraId="34E38C9B" w14:textId="77777777" w:rsidR="00222FB4" w:rsidRPr="00A0237C" w:rsidRDefault="00222FB4" w:rsidP="00FB36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FB36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FB36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FB36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FB36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FB36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FB36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FB36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FB36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FB36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FB36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FB36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FB36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FB363B">
            <w:pPr>
              <w:jc w:val="center"/>
              <w:rPr>
                <w:sz w:val="18"/>
                <w:szCs w:val="18"/>
              </w:rPr>
            </w:pPr>
            <w:r>
              <w:rPr>
                <w:sz w:val="18"/>
                <w:szCs w:val="18"/>
              </w:rPr>
              <w:t>Solde accumulé des CP</w:t>
            </w:r>
          </w:p>
        </w:tc>
        <w:tc>
          <w:tcPr>
            <w:tcW w:w="1143" w:type="dxa"/>
            <w:tcBorders>
              <w:bottom w:val="single" w:sz="4" w:space="0" w:color="auto"/>
            </w:tcBorders>
          </w:tcPr>
          <w:p w14:paraId="37CBDA1A" w14:textId="77777777" w:rsidR="00222FB4" w:rsidRPr="00A0237C" w:rsidRDefault="00222FB4" w:rsidP="00FB363B">
            <w:pPr>
              <w:jc w:val="center"/>
              <w:rPr>
                <w:sz w:val="18"/>
                <w:szCs w:val="18"/>
              </w:rPr>
            </w:pPr>
            <w:r>
              <w:rPr>
                <w:sz w:val="18"/>
                <w:szCs w:val="18"/>
              </w:rPr>
              <w:t>Solde totale accumulé</w:t>
            </w:r>
          </w:p>
        </w:tc>
      </w:tr>
      <w:tr w:rsidR="00E61FA7" w:rsidRPr="00616458" w14:paraId="68AB7DCC" w14:textId="77777777" w:rsidTr="00FB36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FB36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FB36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FB36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FB36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FB36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FB36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FB36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FB36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FB36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FB36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FB36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FB36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FB36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FB36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FB36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FB36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FB36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FB36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FB36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FB36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FB36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FB36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FB36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FB36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FB36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FB36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FB36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FB36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FB36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FB36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FB36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FB36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FB36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FB36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FB36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FB36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FB36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FB36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FB36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62E7F94E" w14:textId="11AD7154" w:rsidR="001D56FF" w:rsidRDefault="001D56FF" w:rsidP="001D56FF">
      <w:pPr>
        <w:ind w:firstLine="420"/>
      </w:pPr>
      <w:r>
        <w:lastRenderedPageBreak/>
        <w:t xml:space="preserve">Le </w:t>
      </w:r>
      <w:r>
        <w:t>modèle que nous avons développé dans le cadre de cette section est efficace et permettra d’obtenir</w:t>
      </w:r>
      <w:r>
        <w:t xml:space="preserve">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297CDAE5" w:rsidR="008A04FB" w:rsidRDefault="008A04FB" w:rsidP="008A04FB">
      <w:pPr>
        <w:pStyle w:val="Titre1"/>
      </w:pPr>
      <w:bookmarkStart w:id="6" w:name="_Toc88056536"/>
      <w:r>
        <w:lastRenderedPageBreak/>
        <w:t>Section 3 – Établissement des paiements espérés pour le participant fictif</w:t>
      </w:r>
      <w:bookmarkEnd w:id="6"/>
    </w:p>
    <w:p w14:paraId="2EC2D776" w14:textId="13DD4F24" w:rsidR="008A04FB" w:rsidRDefault="005A0D74" w:rsidP="008A04FB">
      <w:r>
        <w:tab/>
        <w:t xml:space="preserve">La troisième </w:t>
      </w:r>
      <w:r w:rsidR="00CB29A7">
        <w:t>met en valeur la rente d’un participant fictif, en détaillant sa valeur actualisée et en explicitant le paiement espéré attendu à chaque année de la retraite. Divers tableaux sont présentés pour mettre en évidences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461B0A27" w:rsidR="00CB29A7" w:rsidRDefault="00CB29A7" w:rsidP="00CB29A7">
      <w:pPr>
        <w:pStyle w:val="Paragraphedeliste"/>
        <w:numPr>
          <w:ilvl w:val="0"/>
          <w:numId w:val="3"/>
        </w:numPr>
      </w:pPr>
      <w:r>
        <w:t>la pondérations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20462DC8" w:rsidR="00CB29A7" w:rsidRDefault="00CB29A7" w:rsidP="00CB29A7">
      <w:pPr>
        <w:pStyle w:val="Paragraphedeliste"/>
        <w:numPr>
          <w:ilvl w:val="0"/>
          <w:numId w:val="3"/>
        </w:numPr>
      </w:pPr>
      <w:r>
        <w:t>la survie pour chaque année du paiement espéré attendu de l’année</w:t>
      </w:r>
    </w:p>
    <w:p w14:paraId="0648BC97" w14:textId="369A6C24" w:rsidR="009B2356" w:rsidRDefault="009B2356" w:rsidP="009B2356"/>
    <w:p w14:paraId="73E37507" w14:textId="62E93E3A" w:rsidR="009B2356" w:rsidRDefault="009B2356" w:rsidP="009B2356">
      <w:pPr>
        <w:ind w:left="60" w:firstLine="360"/>
      </w:pPr>
      <w:r>
        <w:t>Pour cette section, les sont séparés en 4 scénarios différents. Le premier est une rente sans indexation où l’on peut distinguer les différentes caractéristiques des participants avec leurs proportion. Les autres scénarios sont construits de la même façon, mais le type de rente varie. Le deuxième tableau est une rente avec pleine indexation à 2%, le troisième suggère une rente avec 50% de l’indexation, soit 1% et le dernier est sans indexation, sans actualisation et avec un seul paiement par année. Tous les tableaux donne la valeur actualisée d’une rente de 1$ par année. Voici les différents résultats obtenus :</w:t>
      </w:r>
    </w:p>
    <w:p w14:paraId="2905254B" w14:textId="45746924" w:rsidR="009B2356" w:rsidRDefault="009B2356">
      <w:pPr>
        <w:spacing w:line="240" w:lineRule="auto"/>
        <w:jc w:val="left"/>
      </w:pPr>
      <w:r>
        <w:br w:type="page"/>
      </w:r>
    </w:p>
    <w:p w14:paraId="1DF25B14" w14:textId="59AA85E9" w:rsidR="009B2356" w:rsidRDefault="009B2356" w:rsidP="009B2356">
      <w:pPr>
        <w:ind w:left="60" w:firstLine="360"/>
      </w:pPr>
      <w:r w:rsidRPr="009B2356">
        <w:rPr>
          <w:noProof/>
        </w:rPr>
        <w:lastRenderedPageBreak/>
        <w:drawing>
          <wp:anchor distT="0" distB="0" distL="114300" distR="114300" simplePos="0" relativeHeight="251665408" behindDoc="0" locked="0" layoutInCell="1" allowOverlap="1" wp14:anchorId="0E14EC93" wp14:editId="48A97857">
            <wp:simplePos x="0" y="0"/>
            <wp:positionH relativeFrom="column">
              <wp:posOffset>65264</wp:posOffset>
            </wp:positionH>
            <wp:positionV relativeFrom="paragraph">
              <wp:posOffset>282</wp:posOffset>
            </wp:positionV>
            <wp:extent cx="5214280" cy="8770549"/>
            <wp:effectExtent l="0" t="0" r="571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14280" cy="8770549"/>
                    </a:xfrm>
                    <a:prstGeom prst="rect">
                      <a:avLst/>
                    </a:prstGeom>
                  </pic:spPr>
                </pic:pic>
              </a:graphicData>
            </a:graphic>
            <wp14:sizeRelH relativeFrom="page">
              <wp14:pctWidth>0</wp14:pctWidth>
            </wp14:sizeRelH>
            <wp14:sizeRelV relativeFrom="page">
              <wp14:pctHeight>0</wp14:pctHeight>
            </wp14:sizeRelV>
          </wp:anchor>
        </w:drawing>
      </w:r>
    </w:p>
    <w:p w14:paraId="131A1BC0" w14:textId="4DFCA60F" w:rsidR="00CB29A7" w:rsidRDefault="009B2356" w:rsidP="00CB29A7">
      <w:r w:rsidRPr="009B2356">
        <w:rPr>
          <w:noProof/>
        </w:rPr>
        <w:lastRenderedPageBreak/>
        <w:drawing>
          <wp:inline distT="0" distB="0" distL="0" distR="0" wp14:anchorId="707B772C" wp14:editId="73A1961E">
            <wp:extent cx="5486400" cy="8219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8219440"/>
                    </a:xfrm>
                    <a:prstGeom prst="rect">
                      <a:avLst/>
                    </a:prstGeom>
                  </pic:spPr>
                </pic:pic>
              </a:graphicData>
            </a:graphic>
          </wp:inline>
        </w:drawing>
      </w:r>
    </w:p>
    <w:p w14:paraId="32026C52" w14:textId="48DC570C" w:rsidR="008A04FB" w:rsidRDefault="009B2356" w:rsidP="008A04FB">
      <w:r w:rsidRPr="009B2356">
        <w:rPr>
          <w:noProof/>
        </w:rPr>
        <w:lastRenderedPageBreak/>
        <w:drawing>
          <wp:inline distT="0" distB="0" distL="0" distR="0" wp14:anchorId="5D789412" wp14:editId="7661A305">
            <wp:extent cx="5486400" cy="81076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8107680"/>
                    </a:xfrm>
                    <a:prstGeom prst="rect">
                      <a:avLst/>
                    </a:prstGeom>
                  </pic:spPr>
                </pic:pic>
              </a:graphicData>
            </a:graphic>
          </wp:inline>
        </w:drawing>
      </w:r>
    </w:p>
    <w:p w14:paraId="74833BA2" w14:textId="3750E8EE" w:rsidR="009B2356" w:rsidRDefault="009B2356">
      <w:pPr>
        <w:spacing w:line="240" w:lineRule="auto"/>
        <w:jc w:val="left"/>
      </w:pPr>
      <w:r w:rsidRPr="009B2356">
        <w:rPr>
          <w:noProof/>
        </w:rPr>
        <w:lastRenderedPageBreak/>
        <w:drawing>
          <wp:anchor distT="0" distB="0" distL="114300" distR="114300" simplePos="0" relativeHeight="251666432" behindDoc="0" locked="0" layoutInCell="1" allowOverlap="1" wp14:anchorId="1712B598" wp14:editId="46BBCA29">
            <wp:simplePos x="0" y="0"/>
            <wp:positionH relativeFrom="column">
              <wp:posOffset>-262820</wp:posOffset>
            </wp:positionH>
            <wp:positionV relativeFrom="paragraph">
              <wp:posOffset>211</wp:posOffset>
            </wp:positionV>
            <wp:extent cx="6227445" cy="8037195"/>
            <wp:effectExtent l="0" t="0" r="0" b="190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27445" cy="8037195"/>
                    </a:xfrm>
                    <a:prstGeom prst="rect">
                      <a:avLst/>
                    </a:prstGeom>
                  </pic:spPr>
                </pic:pic>
              </a:graphicData>
            </a:graphic>
            <wp14:sizeRelH relativeFrom="page">
              <wp14:pctWidth>0</wp14:pctWidth>
            </wp14:sizeRelH>
            <wp14:sizeRelV relativeFrom="page">
              <wp14:pctHeight>0</wp14:pctHeight>
            </wp14:sizeRelV>
          </wp:anchor>
        </w:drawing>
      </w:r>
      <w:r w:rsidR="008A04FB">
        <w:br w:type="page"/>
      </w:r>
    </w:p>
    <w:p w14:paraId="3604B79F" w14:textId="07A90BDC" w:rsidR="009B2356" w:rsidRDefault="00A81226" w:rsidP="00A81226">
      <w:r>
        <w:lastRenderedPageBreak/>
        <w:tab/>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p>
    <w:p w14:paraId="7B38B7CE" w14:textId="49F06594" w:rsidR="00A81226" w:rsidRDefault="00A81226" w:rsidP="00A81226"/>
    <w:p w14:paraId="2675AF77" w14:textId="263DB9F0" w:rsidR="00A81226" w:rsidRDefault="00A81226" w:rsidP="00A81226">
      <w:r>
        <w:tab/>
        <w:t xml:space="preserve">De plus, lorsque nous analysons les différents résultats en fonction des groupes de participants actifs que nous avons dans l’annexe « Participant actif »,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56E92238" w14:textId="48D29004" w:rsidR="00A81226" w:rsidRDefault="00A81226" w:rsidP="00A81226">
      <w:r>
        <w:tab/>
        <w:t>La pondération permet dans ce cas-ci d’obtenir la valeur actualisée de la rente la plus exacte possible afin de respecter la répartition des participant 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0D8FE9CC" w14:textId="59863E9E" w:rsidR="00A81226" w:rsidRDefault="00A81226" w:rsidP="00A81226">
      <w:r>
        <w:t xml:space="preserve"> </w:t>
      </w:r>
    </w:p>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6C4F679D"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on basera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3DACB3B2" w14:textId="45E6253E" w:rsidR="00A81226" w:rsidRDefault="00A81226" w:rsidP="00A81226"/>
    <w:p w14:paraId="50A67975" w14:textId="25263C83" w:rsidR="00A81226" w:rsidRDefault="00A81226" w:rsidP="00A81226"/>
    <w:p w14:paraId="786080A6" w14:textId="1A0650DE" w:rsidR="00A81226" w:rsidRDefault="00A81226" w:rsidP="00A81226"/>
    <w:p w14:paraId="557BFA2F" w14:textId="1039B0D9" w:rsidR="00A81226" w:rsidRDefault="00A81226" w:rsidP="00A81226"/>
    <w:p w14:paraId="10422B29" w14:textId="557E6B75" w:rsidR="00A81226" w:rsidRDefault="00A81226" w:rsidP="00A81226"/>
    <w:p w14:paraId="6DED3DBE" w14:textId="77777777" w:rsidR="00A81226" w:rsidRDefault="00A81226" w:rsidP="00A81226"/>
    <w:p w14:paraId="4AA3D130" w14:textId="336EF991" w:rsidR="00A81226" w:rsidRP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50C9700D" w14:textId="099D0744" w:rsidR="00CB29A7" w:rsidRDefault="00CB29A7" w:rsidP="00CB29A7">
      <w:pPr>
        <w:pStyle w:val="Paragraphedeliste"/>
        <w:numPr>
          <w:ilvl w:val="0"/>
          <w:numId w:val="7"/>
        </w:numPr>
      </w:pPr>
      <w:r>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w:t>
      </w:r>
      <w:r>
        <w:rPr>
          <w:i/>
          <w:iCs/>
        </w:rPr>
        <w:lastRenderedPageBreak/>
        <w:t xml:space="preserve">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F73C1F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17D57F8B" w14:textId="748ABA41" w:rsidR="00A81226" w:rsidRDefault="00A81226" w:rsidP="00A81226"/>
    <w:p w14:paraId="091849C0" w14:textId="03D2013A" w:rsidR="00A81226" w:rsidRDefault="00A81226"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5A34236B" w:rsidR="00575737" w:rsidRPr="007604A3"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lastRenderedPageBreak/>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03D3C16C" w:rsidR="00A81226" w:rsidRDefault="00575737"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Sensibilité à l’hypothèse de mortalité après la retraite, participant type, rente non indexée.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53115F63" w:rsidR="006A1A80" w:rsidRPr="006A1A80" w:rsidRDefault="006A1A80" w:rsidP="006A1A80">
      <w:pPr>
        <w:rPr>
          <w:rFonts w:eastAsia="Times New Roman" w:cs="Times New Roman"/>
          <w:lang w:val="fr-CA" w:eastAsia="fr-CA"/>
        </w:rPr>
      </w:pP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Effet d’une hausse de l’âge de la retraite, participant type, rente non indexée. </w:t>
      </w: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indexée.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43E88637" w14:textId="3101E5BD"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Section 5 – Estimation de la valeur de diverses formules d’indexation, approche stochasitique</w:t>
      </w:r>
      <w:bookmarkEnd w:id="8"/>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5E946" w14:textId="77777777" w:rsidR="00F95504" w:rsidRDefault="00F95504" w:rsidP="007308BB">
      <w:r>
        <w:separator/>
      </w:r>
    </w:p>
  </w:endnote>
  <w:endnote w:type="continuationSeparator" w:id="0">
    <w:p w14:paraId="298DF003" w14:textId="77777777" w:rsidR="00F95504" w:rsidRDefault="00F95504"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4F4532" w:rsidRDefault="004F45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D77894" w:rsidRDefault="00D77894">
        <w:pPr>
          <w:pStyle w:val="Pieddepage"/>
          <w:jc w:val="right"/>
        </w:pPr>
        <w:r>
          <w:fldChar w:fldCharType="begin"/>
        </w:r>
        <w:r>
          <w:instrText>PAGE   \* MERGEFORMAT</w:instrText>
        </w:r>
        <w:r>
          <w:fldChar w:fldCharType="separate"/>
        </w:r>
        <w:r>
          <w:t>2</w:t>
        </w:r>
        <w:r>
          <w:fldChar w:fldCharType="end"/>
        </w:r>
      </w:p>
    </w:sdtContent>
  </w:sdt>
  <w:p w14:paraId="21988D0E" w14:textId="77777777" w:rsidR="00D77894" w:rsidRDefault="00D7789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D77894" w:rsidRDefault="00D77894">
        <w:pPr>
          <w:pStyle w:val="Pieddepage"/>
          <w:jc w:val="right"/>
        </w:pPr>
        <w:r>
          <w:fldChar w:fldCharType="begin"/>
        </w:r>
        <w:r>
          <w:instrText>PAGE   \* MERGEFORMAT</w:instrText>
        </w:r>
        <w:r>
          <w:fldChar w:fldCharType="separate"/>
        </w:r>
        <w:r>
          <w:t>2</w:t>
        </w:r>
        <w:r>
          <w:fldChar w:fldCharType="end"/>
        </w:r>
      </w:p>
    </w:sdtContent>
  </w:sdt>
  <w:p w14:paraId="3E48459D" w14:textId="77777777" w:rsidR="00D77894" w:rsidRDefault="00D778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B3E56" w14:textId="77777777" w:rsidR="00F95504" w:rsidRDefault="00F95504" w:rsidP="007308BB">
      <w:r>
        <w:separator/>
      </w:r>
    </w:p>
  </w:footnote>
  <w:footnote w:type="continuationSeparator" w:id="0">
    <w:p w14:paraId="48775482" w14:textId="77777777" w:rsidR="00F95504" w:rsidRDefault="00F95504" w:rsidP="007308BB">
      <w:r>
        <w:continuationSeparator/>
      </w:r>
    </w:p>
  </w:footnote>
  <w:footnote w:id="1">
    <w:p w14:paraId="54E12E35" w14:textId="4CAD2431" w:rsidR="00D77894" w:rsidRPr="00694EF6" w:rsidRDefault="00D77894">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4F4532" w:rsidRDefault="004F45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4F4532" w:rsidRDefault="004F453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4F4532" w:rsidRDefault="004F45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2059E"/>
    <w:rsid w:val="00040018"/>
    <w:rsid w:val="00044FB6"/>
    <w:rsid w:val="0007333C"/>
    <w:rsid w:val="00073EF5"/>
    <w:rsid w:val="000E6B89"/>
    <w:rsid w:val="000F0AEF"/>
    <w:rsid w:val="000F25C2"/>
    <w:rsid w:val="001167DE"/>
    <w:rsid w:val="00133463"/>
    <w:rsid w:val="00141C40"/>
    <w:rsid w:val="00153899"/>
    <w:rsid w:val="001D115D"/>
    <w:rsid w:val="001D56FF"/>
    <w:rsid w:val="001F2E95"/>
    <w:rsid w:val="002136D0"/>
    <w:rsid w:val="002200B5"/>
    <w:rsid w:val="00222FB4"/>
    <w:rsid w:val="00242485"/>
    <w:rsid w:val="0026492F"/>
    <w:rsid w:val="00273989"/>
    <w:rsid w:val="00291A4A"/>
    <w:rsid w:val="002D66FA"/>
    <w:rsid w:val="002E6182"/>
    <w:rsid w:val="002F6AF6"/>
    <w:rsid w:val="00312AFB"/>
    <w:rsid w:val="00314FD5"/>
    <w:rsid w:val="003505B6"/>
    <w:rsid w:val="00363CFF"/>
    <w:rsid w:val="00367903"/>
    <w:rsid w:val="003F46FB"/>
    <w:rsid w:val="0041760A"/>
    <w:rsid w:val="00450B1A"/>
    <w:rsid w:val="00477798"/>
    <w:rsid w:val="00497543"/>
    <w:rsid w:val="00497F68"/>
    <w:rsid w:val="004C0F72"/>
    <w:rsid w:val="004F4532"/>
    <w:rsid w:val="005417A1"/>
    <w:rsid w:val="00546F6F"/>
    <w:rsid w:val="00575737"/>
    <w:rsid w:val="005778E9"/>
    <w:rsid w:val="005A0D74"/>
    <w:rsid w:val="005B2BE2"/>
    <w:rsid w:val="005E0006"/>
    <w:rsid w:val="005F03D1"/>
    <w:rsid w:val="005F0A7F"/>
    <w:rsid w:val="005F1BD7"/>
    <w:rsid w:val="005F788A"/>
    <w:rsid w:val="00616458"/>
    <w:rsid w:val="00650193"/>
    <w:rsid w:val="00657018"/>
    <w:rsid w:val="0067124C"/>
    <w:rsid w:val="00671749"/>
    <w:rsid w:val="00694EF6"/>
    <w:rsid w:val="006A1A80"/>
    <w:rsid w:val="007075BA"/>
    <w:rsid w:val="007137FF"/>
    <w:rsid w:val="00726147"/>
    <w:rsid w:val="007308BB"/>
    <w:rsid w:val="00753DE8"/>
    <w:rsid w:val="007604A3"/>
    <w:rsid w:val="0077271D"/>
    <w:rsid w:val="007855B2"/>
    <w:rsid w:val="007951FB"/>
    <w:rsid w:val="007A49B3"/>
    <w:rsid w:val="007A5C52"/>
    <w:rsid w:val="007A7531"/>
    <w:rsid w:val="00826151"/>
    <w:rsid w:val="00833DAF"/>
    <w:rsid w:val="00867ABA"/>
    <w:rsid w:val="008A04FB"/>
    <w:rsid w:val="008A2676"/>
    <w:rsid w:val="008B0E3C"/>
    <w:rsid w:val="008E03EC"/>
    <w:rsid w:val="008F318E"/>
    <w:rsid w:val="0091297E"/>
    <w:rsid w:val="009139CD"/>
    <w:rsid w:val="00935D34"/>
    <w:rsid w:val="00977B7F"/>
    <w:rsid w:val="009853CF"/>
    <w:rsid w:val="009A2E4C"/>
    <w:rsid w:val="009B1828"/>
    <w:rsid w:val="009B21B0"/>
    <w:rsid w:val="009B2356"/>
    <w:rsid w:val="009E1A17"/>
    <w:rsid w:val="00A00B7F"/>
    <w:rsid w:val="00A0237C"/>
    <w:rsid w:val="00A34632"/>
    <w:rsid w:val="00A43BA6"/>
    <w:rsid w:val="00A45CE9"/>
    <w:rsid w:val="00A6490B"/>
    <w:rsid w:val="00A8086A"/>
    <w:rsid w:val="00A81226"/>
    <w:rsid w:val="00A94309"/>
    <w:rsid w:val="00A958C2"/>
    <w:rsid w:val="00AC6082"/>
    <w:rsid w:val="00AC7966"/>
    <w:rsid w:val="00AD2B27"/>
    <w:rsid w:val="00AE3E47"/>
    <w:rsid w:val="00AF6289"/>
    <w:rsid w:val="00B1404A"/>
    <w:rsid w:val="00B441AB"/>
    <w:rsid w:val="00B60D97"/>
    <w:rsid w:val="00B902CD"/>
    <w:rsid w:val="00B93207"/>
    <w:rsid w:val="00C3794A"/>
    <w:rsid w:val="00C82661"/>
    <w:rsid w:val="00C9471A"/>
    <w:rsid w:val="00CA1504"/>
    <w:rsid w:val="00CB29A7"/>
    <w:rsid w:val="00CD2327"/>
    <w:rsid w:val="00CE0193"/>
    <w:rsid w:val="00CE2F94"/>
    <w:rsid w:val="00CF4750"/>
    <w:rsid w:val="00D10653"/>
    <w:rsid w:val="00D10F9E"/>
    <w:rsid w:val="00D274A3"/>
    <w:rsid w:val="00D349F0"/>
    <w:rsid w:val="00D77894"/>
    <w:rsid w:val="00DA3182"/>
    <w:rsid w:val="00DB18AA"/>
    <w:rsid w:val="00DC0A7D"/>
    <w:rsid w:val="00DC2606"/>
    <w:rsid w:val="00DE511E"/>
    <w:rsid w:val="00DF57F1"/>
    <w:rsid w:val="00E60144"/>
    <w:rsid w:val="00E61FA7"/>
    <w:rsid w:val="00E661CF"/>
    <w:rsid w:val="00E736C8"/>
    <w:rsid w:val="00E743A4"/>
    <w:rsid w:val="00EA0488"/>
    <w:rsid w:val="00EA18AD"/>
    <w:rsid w:val="00EA66F1"/>
    <w:rsid w:val="00F75688"/>
    <w:rsid w:val="00F95504"/>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57</Pages>
  <Words>9352</Words>
  <Characters>51441</Characters>
  <Application>Microsoft Office Word</Application>
  <DocSecurity>0</DocSecurity>
  <Lines>428</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39</cp:revision>
  <dcterms:created xsi:type="dcterms:W3CDTF">2021-11-03T21:27:00Z</dcterms:created>
  <dcterms:modified xsi:type="dcterms:W3CDTF">2021-11-21T23:31:00Z</dcterms:modified>
</cp:coreProperties>
</file>