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val="0"/>
          <w:i w:val="0"/>
          <w:color w:val="5D6B7A"/>
          <w:sz w:val="18"/>
        </w:rPr>
        <w:t>Analysis brief</w:t>
      </w:r>
    </w:p>
    <w:p>
      <w:pPr>
        <w:spacing w:after="40"/>
      </w:pPr>
      <w:r>
        <w:rPr>
          <w:rFonts w:ascii="Calibri" w:hAnsi="Calibri"/>
          <w:b/>
          <w:i w:val="0"/>
          <w:color w:val="17365D"/>
          <w:sz w:val="44"/>
        </w:rPr>
        <w:t>Antiwork Topic Modeling</w:t>
      </w:r>
    </w:p>
    <w:p>
      <w:pPr>
        <w:spacing w:after="240"/>
      </w:pPr>
      <w:r>
        <w:rPr>
          <w:rFonts w:ascii="Calibri" w:hAnsi="Calibri"/>
          <w:b w:val="0"/>
          <w:i w:val="0"/>
          <w:color w:val="5D6B7A"/>
          <w:sz w:val="23"/>
        </w:rPr>
        <w:t>Exploratory longitudinal analysis for collaborator review</w:t>
      </w:r>
    </w:p>
    <w:tbl>
      <w:tblPr>
        <w:tblW w:type="dxa" w:w="9360"/>
        <w:jc w:val="left"/>
        <w:tblLayout w:type="fixed"/>
        <w:tblLook w:firstColumn="1" w:firstRow="1" w:lastColumn="0" w:lastRow="0" w:noHBand="0" w:noVBand="1" w:val="04A0"/>
      </w:tblPr>
      <w:tblGrid>
        <w:gridCol w:w="2340"/>
        <w:gridCol w:w="2340"/>
        <w:gridCol w:w="2340"/>
        <w:gridCol w:w="2340"/>
      </w:tblGrid>
      <w:tr>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97,254</w:t>
            </w:r>
          </w:p>
          <w:p>
            <w:pPr>
              <w:jc w:val="center"/>
            </w:pPr>
            <w:r>
              <w:rPr>
                <w:rFonts w:ascii="Calibri" w:hAnsi="Calibri"/>
                <w:b w:val="0"/>
                <w:i w:val="0"/>
                <w:color w:val="5D6B7A"/>
                <w:sz w:val="16"/>
              </w:rPr>
              <w:t>filtered posts</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199</w:t>
            </w:r>
          </w:p>
          <w:p>
            <w:pPr>
              <w:jc w:val="center"/>
            </w:pPr>
            <w:r>
              <w:rPr>
                <w:rFonts w:ascii="Calibri" w:hAnsi="Calibri"/>
                <w:b w:val="0"/>
                <w:i w:val="0"/>
                <w:color w:val="5D6B7A"/>
                <w:sz w:val="16"/>
              </w:rPr>
              <w:t>non-outlier clusters</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38.6%</w:t>
            </w:r>
          </w:p>
          <w:p>
            <w:pPr>
              <w:jc w:val="center"/>
            </w:pPr>
            <w:r>
              <w:rPr>
                <w:rFonts w:ascii="Calibri" w:hAnsi="Calibri"/>
                <w:b w:val="0"/>
                <w:i w:val="0"/>
                <w:color w:val="5D6B7A"/>
                <w:sz w:val="16"/>
              </w:rPr>
              <w:t>topic assignment</w:t>
              <w:br/>
              <w:t>n=37,536 of 97,254</w:t>
            </w:r>
          </w:p>
        </w:tc>
        <w:tc>
          <w:tcPr>
            <w:tcW w:type="dxa" w:w="2340"/>
            <w:tcMar>
              <w:top w:w="80" w:type="dxa"/>
              <w:start w:w="120" w:type="dxa"/>
              <w:bottom w:w="80" w:type="dxa"/>
              <w:end w:w="120" w:type="dxa"/>
            </w:tcMar>
            <w:vAlign w:val="center"/>
            <w:shd w:fill="FAFBFC"/>
          </w:tcPr>
          <w:p>
            <w:pPr>
              <w:jc w:val="center"/>
            </w:pPr>
            <w:r>
              <w:rPr>
                <w:rFonts w:ascii="Calibri" w:hAnsi="Calibri"/>
                <w:b/>
                <w:i w:val="0"/>
                <w:color w:val="17365D"/>
                <w:sz w:val="26"/>
              </w:rPr>
              <w:t>19.0%</w:t>
            </w:r>
          </w:p>
          <w:p>
            <w:pPr>
              <w:jc w:val="center"/>
            </w:pPr>
            <w:r>
              <w:rPr>
                <w:rFonts w:ascii="Calibri" w:hAnsi="Calibri"/>
                <w:b w:val="0"/>
                <w:i w:val="0"/>
                <w:color w:val="5D6B7A"/>
                <w:sz w:val="16"/>
              </w:rPr>
              <w:t>theme-map coverage</w:t>
              <w:br/>
              <w:t>n=18,506 of 97,254</w:t>
            </w:r>
          </w:p>
        </w:tc>
      </w:tr>
    </w:tbl>
    <w:p>
      <w:pPr>
        <w:pStyle w:val="Heading1"/>
      </w:pPr>
      <w:r>
        <w:rPr>
          <w:rFonts w:ascii="Calibri" w:hAnsi="Calibri"/>
          <w:b/>
          <w:i w:val="0"/>
          <w:color w:val="17365D"/>
          <w:sz w:val="30"/>
        </w:rPr>
        <w:t>Study summary</w:t>
      </w:r>
    </w:p>
    <w:p>
      <w:pPr>
        <w:spacing w:after="120"/>
      </w:pPr>
      <w:r>
        <w:rPr>
          <w:rFonts w:ascii="Calibri" w:hAnsi="Calibri"/>
          <w:b w:val="0"/>
          <w:i w:val="0"/>
          <w:color w:val="1F2937"/>
          <w:sz w:val="21"/>
        </w:rPr>
        <w:t>Across 577,190 archived r/antiwork submission records retrieved from March 2021 through February 2025, the management-term filter retained 97,254 unique posts for analysis. The updated BERTopic analysis identifies a descriptive shift away from COVID-centered health and safety discussion and toward scheduling and time-off discussion. Compensation, career precarity, and recruitment remain present across the four rolling windows.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Completed analysis</w:t>
            </w:r>
          </w:p>
          <w:p>
            <w:r>
              <w:rPr>
                <w:rFonts w:ascii="Calibri" w:hAnsi="Calibri"/>
                <w:b w:val="0"/>
                <w:i w:val="0"/>
                <w:color w:val="1F2937"/>
                <w:sz w:val="18"/>
              </w:rPr>
              <w:t>Rebuilt the analysis with BERTopic; exported document-level assignments and four rolling-window fits; finalized a 27-cluster, nine-theme codebook; and produced figures and reproducibility materials.</w:t>
            </w:r>
          </w:p>
        </w:tc>
        <w:tc>
          <w:tcPr>
            <w:tcW w:type="dxa" w:w="4680"/>
            <w:tcMar>
              <w:top w:w="80" w:type="dxa"/>
              <w:start w:w="120" w:type="dxa"/>
              <w:bottom w:w="80" w:type="dxa"/>
              <w:end w:w="120" w:type="dxa"/>
            </w:tcMar>
            <w:vAlign w:val="center"/>
            <w:shd w:fill="FAFBFC"/>
          </w:tcPr>
          <w:p>
            <w:r>
              <w:rPr>
                <w:rFonts w:ascii="Calibri" w:hAnsi="Calibri"/>
                <w:b/>
                <w:i w:val="0"/>
                <w:color w:val="17365D"/>
                <w:sz w:val="19"/>
              </w:rPr>
              <w:t>Interpretive scope</w:t>
            </w:r>
          </w:p>
          <w:p>
            <w:r>
              <w:rPr>
                <w:rFonts w:ascii="Calibri" w:hAnsi="Calibri"/>
                <w:b w:val="0"/>
                <w:i w:val="0"/>
                <w:color w:val="1F2937"/>
                <w:sz w:val="18"/>
              </w:rPr>
              <w:t>The figures show the share of all filtered posts captured by included candidate-theme clusters. The 27-cluster map is not a full taxonomy or a complete estimate of management-related content.</w:t>
            </w:r>
          </w:p>
        </w:tc>
      </w:tr>
    </w:tbl>
    <w:p>
      <w:pPr>
        <w:pStyle w:val="Heading1"/>
      </w:pPr>
      <w:r>
        <w:rPr>
          <w:rFonts w:ascii="Calibri" w:hAnsi="Calibri"/>
          <w:b/>
          <w:i w:val="0"/>
          <w:color w:val="17365D"/>
          <w:sz w:val="30"/>
        </w:rPr>
        <w:t>Selected findings</w:t>
      </w:r>
    </w:p>
    <w:tbl>
      <w:tblPr>
        <w:tblW w:type="dxa" w:w="9360"/>
        <w:jc w:val="left"/>
        <w:tblLayout w:type="fixed"/>
        <w:tblLook w:firstColumn="1" w:firstRow="1" w:lastColumn="0" w:lastRow="0" w:noHBand="0" w:noVBand="1" w:val="04A0"/>
      </w:tblPr>
      <w:tblGrid>
        <w:gridCol w:w="3300"/>
        <w:gridCol w:w="1500"/>
        <w:gridCol w:w="1500"/>
        <w:gridCol w:w="3060"/>
      </w:tblGrid>
      <w:tr>
        <w:tc>
          <w:tcPr>
            <w:tcW w:type="dxa" w:w="3300"/>
            <w:tcMar>
              <w:top w:w="80" w:type="dxa"/>
              <w:start w:w="120" w:type="dxa"/>
              <w:bottom w:w="80" w:type="dxa"/>
              <w:end w:w="120" w:type="dxa"/>
            </w:tcMar>
            <w:vAlign w:val="center"/>
            <w:shd w:fill="E8EEF5"/>
          </w:tcPr>
          <w:p>
            <w:r>
              <w:rPr>
                <w:rFonts w:ascii="Calibri" w:hAnsi="Calibri"/>
                <w:b/>
                <w:i w:val="0"/>
                <w:color w:val="17365D"/>
                <w:sz w:val="18"/>
              </w:rPr>
              <w:t>Theme</w:t>
            </w:r>
          </w:p>
        </w:tc>
        <w:tc>
          <w:tcPr>
            <w:tcW w:type="dxa" w:w="1500"/>
            <w:tcMar>
              <w:top w:w="80" w:type="dxa"/>
              <w:start w:w="120" w:type="dxa"/>
              <w:bottom w:w="80" w:type="dxa"/>
              <w:end w:w="120" w:type="dxa"/>
            </w:tcMar>
            <w:vAlign w:val="center"/>
            <w:shd w:fill="E8EEF5"/>
          </w:tcPr>
          <w:p>
            <w:r>
              <w:rPr>
                <w:rFonts w:ascii="Calibri" w:hAnsi="Calibri"/>
                <w:b/>
                <w:i w:val="0"/>
                <w:color w:val="17365D"/>
                <w:sz w:val="18"/>
              </w:rPr>
              <w:t>Y1</w:t>
              <w:br/>
              <w:t>(n=28,276)</w:t>
            </w:r>
          </w:p>
        </w:tc>
        <w:tc>
          <w:tcPr>
            <w:tcW w:type="dxa" w:w="1500"/>
            <w:tcMar>
              <w:top w:w="80" w:type="dxa"/>
              <w:start w:w="120" w:type="dxa"/>
              <w:bottom w:w="80" w:type="dxa"/>
              <w:end w:w="120" w:type="dxa"/>
            </w:tcMar>
            <w:vAlign w:val="center"/>
            <w:shd w:fill="E8EEF5"/>
          </w:tcPr>
          <w:p>
            <w:r>
              <w:rPr>
                <w:rFonts w:ascii="Calibri" w:hAnsi="Calibri"/>
                <w:b/>
                <w:i w:val="0"/>
                <w:color w:val="17365D"/>
                <w:sz w:val="18"/>
              </w:rPr>
              <w:t>Y4</w:t>
              <w:br/>
              <w:t>(n=11,960)</w:t>
            </w:r>
          </w:p>
        </w:tc>
        <w:tc>
          <w:tcPr>
            <w:tcW w:type="dxa" w:w="3060"/>
            <w:tcMar>
              <w:top w:w="80" w:type="dxa"/>
              <w:start w:w="120" w:type="dxa"/>
              <w:bottom w:w="80" w:type="dxa"/>
              <w:end w:w="120" w:type="dxa"/>
            </w:tcMar>
            <w:vAlign w:val="center"/>
            <w:shd w:fill="E8EEF5"/>
          </w:tcPr>
          <w:p>
            <w:r>
              <w:rPr>
                <w:rFonts w:ascii="Calibri" w:hAnsi="Calibri"/>
                <w:b/>
                <w:i w:val="0"/>
                <w:color w:val="17365D"/>
                <w:sz w:val="18"/>
              </w:rPr>
              <w:t>Interpretation</w:t>
            </w:r>
          </w:p>
        </w:tc>
      </w:tr>
      <w:tr>
        <w:tc>
          <w:tcPr>
            <w:tcW w:type="dxa" w:w="3300"/>
          </w:tcPr>
          <w:p>
            <w:r>
              <w:rPr>
                <w:rFonts w:ascii="Calibri" w:hAnsi="Calibri"/>
                <w:b w:val="0"/>
                <w:i w:val="0"/>
                <w:color w:val="1F2937"/>
                <w:sz w:val="17"/>
              </w:rPr>
              <w:t>Health safety and attendance</w:t>
            </w:r>
          </w:p>
        </w:tc>
        <w:tc>
          <w:tcPr>
            <w:tcW w:type="dxa" w:w="1500"/>
          </w:tcPr>
          <w:p>
            <w:r>
              <w:rPr>
                <w:rFonts w:ascii="Calibri" w:hAnsi="Calibri"/>
                <w:b w:val="0"/>
                <w:i w:val="0"/>
                <w:color w:val="1F2937"/>
                <w:sz w:val="17"/>
              </w:rPr>
              <w:t>4.97%</w:t>
              <w:br/>
              <w:t>(n=1,406)</w:t>
            </w:r>
          </w:p>
        </w:tc>
        <w:tc>
          <w:tcPr>
            <w:tcW w:type="dxa" w:w="1500"/>
          </w:tcPr>
          <w:p>
            <w:r>
              <w:rPr>
                <w:rFonts w:ascii="Calibri" w:hAnsi="Calibri"/>
                <w:b w:val="0"/>
                <w:i w:val="0"/>
                <w:color w:val="1F2937"/>
                <w:sz w:val="17"/>
              </w:rPr>
              <w:t>2.50%</w:t>
              <w:br/>
              <w:t>(n=299)</w:t>
            </w:r>
          </w:p>
        </w:tc>
        <w:tc>
          <w:tcPr>
            <w:tcW w:type="dxa" w:w="3060"/>
          </w:tcPr>
          <w:p>
            <w:r>
              <w:rPr>
                <w:rFonts w:ascii="Calibri" w:hAnsi="Calibri"/>
                <w:b w:val="0"/>
                <w:i w:val="0"/>
                <w:color w:val="1F2937"/>
                <w:sz w:val="17"/>
              </w:rPr>
              <w:t>Early COVID/illness concentration contracts.</w:t>
            </w:r>
          </w:p>
        </w:tc>
      </w:tr>
      <w:tr>
        <w:tc>
          <w:tcPr>
            <w:tcW w:type="dxa" w:w="3300"/>
            <w:shd w:fill="FAFBFC"/>
          </w:tcPr>
          <w:p>
            <w:r>
              <w:rPr>
                <w:rFonts w:ascii="Calibri" w:hAnsi="Calibri"/>
                <w:b w:val="0"/>
                <w:i w:val="0"/>
                <w:color w:val="1F2937"/>
                <w:sz w:val="17"/>
              </w:rPr>
              <w:t>Scheduling hours and time off</w:t>
            </w:r>
          </w:p>
        </w:tc>
        <w:tc>
          <w:tcPr>
            <w:tcW w:type="dxa" w:w="1500"/>
            <w:shd w:fill="FAFBFC"/>
          </w:tcPr>
          <w:p>
            <w:r>
              <w:rPr>
                <w:rFonts w:ascii="Calibri" w:hAnsi="Calibri"/>
                <w:b w:val="0"/>
                <w:i w:val="0"/>
                <w:color w:val="1F2937"/>
                <w:sz w:val="17"/>
              </w:rPr>
              <w:t>1.71%</w:t>
              <w:br/>
              <w:t>(n=484)</w:t>
            </w:r>
          </w:p>
        </w:tc>
        <w:tc>
          <w:tcPr>
            <w:tcW w:type="dxa" w:w="1500"/>
            <w:shd w:fill="FAFBFC"/>
          </w:tcPr>
          <w:p>
            <w:r>
              <w:rPr>
                <w:rFonts w:ascii="Calibri" w:hAnsi="Calibri"/>
                <w:b w:val="0"/>
                <w:i w:val="0"/>
                <w:color w:val="1F2937"/>
                <w:sz w:val="17"/>
              </w:rPr>
              <w:t>3.20%</w:t>
              <w:br/>
              <w:t>(n=383)</w:t>
            </w:r>
          </w:p>
        </w:tc>
        <w:tc>
          <w:tcPr>
            <w:tcW w:type="dxa" w:w="3060"/>
            <w:shd w:fill="FAFBFC"/>
          </w:tcPr>
          <w:p>
            <w:r>
              <w:rPr>
                <w:rFonts w:ascii="Calibri" w:hAnsi="Calibri"/>
                <w:b w:val="0"/>
                <w:i w:val="0"/>
                <w:color w:val="1F2937"/>
                <w:sz w:val="17"/>
              </w:rPr>
              <w:t>Largest mapped theme in Y4.</w:t>
            </w:r>
          </w:p>
        </w:tc>
      </w:tr>
      <w:tr>
        <w:tc>
          <w:tcPr>
            <w:tcW w:type="dxa" w:w="3300"/>
          </w:tcPr>
          <w:p>
            <w:r>
              <w:rPr>
                <w:rFonts w:ascii="Calibri" w:hAnsi="Calibri"/>
                <w:b w:val="0"/>
                <w:i w:val="0"/>
                <w:color w:val="1F2937"/>
                <w:sz w:val="17"/>
              </w:rPr>
              <w:t>Compensation and pay rights</w:t>
            </w:r>
          </w:p>
        </w:tc>
        <w:tc>
          <w:tcPr>
            <w:tcW w:type="dxa" w:w="1500"/>
          </w:tcPr>
          <w:p>
            <w:r>
              <w:rPr>
                <w:rFonts w:ascii="Calibri" w:hAnsi="Calibri"/>
                <w:b w:val="0"/>
                <w:i w:val="0"/>
                <w:color w:val="1F2937"/>
                <w:sz w:val="17"/>
              </w:rPr>
              <w:t>3.52%</w:t>
              <w:br/>
              <w:t>(n=994)</w:t>
            </w:r>
          </w:p>
        </w:tc>
        <w:tc>
          <w:tcPr>
            <w:tcW w:type="dxa" w:w="1500"/>
          </w:tcPr>
          <w:p>
            <w:r>
              <w:rPr>
                <w:rFonts w:ascii="Calibri" w:hAnsi="Calibri"/>
                <w:b w:val="0"/>
                <w:i w:val="0"/>
                <w:color w:val="1F2937"/>
                <w:sz w:val="17"/>
              </w:rPr>
              <w:t>3.04%</w:t>
              <w:br/>
              <w:t>(n=363)</w:t>
            </w:r>
          </w:p>
        </w:tc>
        <w:tc>
          <w:tcPr>
            <w:tcW w:type="dxa" w:w="3060"/>
          </w:tcPr>
          <w:p>
            <w:r>
              <w:rPr>
                <w:rFonts w:ascii="Calibri" w:hAnsi="Calibri"/>
                <w:b w:val="0"/>
                <w:i w:val="0"/>
                <w:color w:val="1F2937"/>
                <w:sz w:val="17"/>
              </w:rPr>
              <w:t>Remains substantial in every window after a Y2 high.</w:t>
            </w:r>
          </w:p>
        </w:tc>
      </w:tr>
      <w:tr>
        <w:tc>
          <w:tcPr>
            <w:tcW w:type="dxa" w:w="3300"/>
            <w:shd w:fill="FAFBFC"/>
          </w:tcPr>
          <w:p>
            <w:r>
              <w:rPr>
                <w:rFonts w:ascii="Calibri" w:hAnsi="Calibri"/>
                <w:b w:val="0"/>
                <w:i w:val="0"/>
                <w:color w:val="1F2937"/>
                <w:sz w:val="17"/>
              </w:rPr>
              <w:t>Career precarity and exit</w:t>
            </w:r>
          </w:p>
        </w:tc>
        <w:tc>
          <w:tcPr>
            <w:tcW w:type="dxa" w:w="1500"/>
            <w:shd w:fill="FAFBFC"/>
          </w:tcPr>
          <w:p>
            <w:r>
              <w:rPr>
                <w:rFonts w:ascii="Calibri" w:hAnsi="Calibri"/>
                <w:b w:val="0"/>
                <w:i w:val="0"/>
                <w:color w:val="1F2937"/>
                <w:sz w:val="17"/>
              </w:rPr>
              <w:t>2.54%</w:t>
              <w:br/>
              <w:t>(n=718)</w:t>
            </w:r>
          </w:p>
        </w:tc>
        <w:tc>
          <w:tcPr>
            <w:tcW w:type="dxa" w:w="1500"/>
            <w:shd w:fill="FAFBFC"/>
          </w:tcPr>
          <w:p>
            <w:r>
              <w:rPr>
                <w:rFonts w:ascii="Calibri" w:hAnsi="Calibri"/>
                <w:b w:val="0"/>
                <w:i w:val="0"/>
                <w:color w:val="1F2937"/>
                <w:sz w:val="17"/>
              </w:rPr>
              <w:t>2.47%</w:t>
              <w:br/>
              <w:t>(n=295)</w:t>
            </w:r>
          </w:p>
        </w:tc>
        <w:tc>
          <w:tcPr>
            <w:tcW w:type="dxa" w:w="3060"/>
            <w:shd w:fill="FAFBFC"/>
          </w:tcPr>
          <w:p>
            <w:r>
              <w:rPr>
                <w:rFonts w:ascii="Calibri" w:hAnsi="Calibri"/>
                <w:b w:val="0"/>
                <w:i w:val="0"/>
                <w:color w:val="1F2937"/>
                <w:sz w:val="17"/>
              </w:rPr>
              <w:t>Broadly stable across four rolling windows.</w:t>
            </w:r>
          </w:p>
        </w:tc>
      </w:tr>
    </w:tbl>
    <w:p>
      <w:pPr>
        <w:spacing w:after="80"/>
      </w:pPr>
      <w:r>
        <w:rPr>
          <w:rFonts w:ascii="Calibri" w:hAnsi="Calibri"/>
          <w:b w:val="0"/>
          <w:i/>
          <w:color w:val="5D6B7A"/>
          <w:sz w:val="17"/>
        </w:rPr>
        <w:t>All percentages divide posts in included candidate-theme clusters by every filtered post in the same rolling window. They show the portion of the filtered corpus captured by this 27-cluster map, not a complete measure of all management-related content.</w:t>
      </w:r>
    </w:p>
    <w:p>
      <w:pPr>
        <w:pStyle w:val="Heading2"/>
      </w:pPr>
      <w:r>
        <w:rPr>
          <w:rFonts w:ascii="Calibri" w:hAnsi="Calibri"/>
          <w:b/>
          <w:i w:val="0"/>
          <w:color w:val="17365D"/>
          <w:sz w:val="25"/>
        </w:rPr>
        <w:t>Data collection</w:t>
      </w:r>
    </w:p>
    <w:p>
      <w:pPr>
        <w:spacing w:after="0"/>
      </w:pPr>
      <w:r>
        <w:rPr>
          <w:rFonts w:ascii="Calibri" w:hAnsi="Calibri"/>
          <w:b w:val="0"/>
          <w:i w:val="0"/>
          <w:color w:val="1F2937"/>
          <w:sz w:val="18"/>
        </w:rPr>
        <w:t>Public r/antiwork submissions were retrieved through the Arctic Shift archive API in 48 monthly UTC batches from 1 March 2021 through 1 March 2025. This collection yielded 577,190 archived submission records before filtering. The analysis retained 97,254 unique posts whose title or body matched the established management terms boss, manager, supervisor, or team lead, including plural variants. The resulting corpus is an archive-based sample of public discourse, not a representative sample of employees or an author-level panel. Archive records may differ from content displayed on Reddit after collection.</w:t>
      </w:r>
    </w:p>
    <w:p>
      <w:r>
        <w:br w:type="page"/>
      </w:r>
    </w:p>
    <w:p>
      <w:pPr>
        <w:pStyle w:val="Heading1"/>
      </w:pPr>
      <w:r>
        <w:rPr>
          <w:rFonts w:ascii="Calibri" w:hAnsi="Calibri"/>
          <w:b/>
          <w:i w:val="0"/>
          <w:color w:val="17365D"/>
          <w:sz w:val="30"/>
        </w:rPr>
        <w:t>Analytic workflow</w:t>
      </w:r>
    </w:p>
    <w:p>
      <w:pPr>
        <w:spacing w:after="160"/>
      </w:pPr>
      <w:r>
        <w:rPr>
          <w:rFonts w:ascii="Calibri" w:hAnsi="Calibri"/>
          <w:b w:val="0"/>
          <w:i w:val="0"/>
          <w:color w:val="5D6B7A"/>
          <w:sz w:val="19"/>
        </w:rPr>
        <w:t>The analysis proceeded as follows. Corpus checks, model-based topic discovery, descriptive prevalence estimates, and robustness evidence are reported separately.</w:t>
      </w:r>
    </w:p>
    <w:p>
      <w:pPr>
        <w:spacing w:after="120"/>
      </w:pPr>
      <w:r>
        <w:rPr>
          <w:rFonts w:ascii="Calibri" w:hAnsi="Calibri"/>
          <w:b/>
          <w:i w:val="0"/>
          <w:color w:val="17365D"/>
          <w:sz w:val="20"/>
        </w:rPr>
        <w:t xml:space="preserve">1. Collect, filter, and audit the corpus. </w:t>
      </w:r>
      <w:r>
        <w:rPr>
          <w:rFonts w:ascii="Calibri" w:hAnsi="Calibri"/>
          <w:b w:val="0"/>
          <w:i w:val="0"/>
          <w:color w:val="1F2937"/>
          <w:sz w:val="19"/>
        </w:rPr>
        <w:t>Retrieved 577,190 archived submission records across 48 monthly pulls, then applied the management-term filter and confirmed 97,254 unique retained post IDs. A duplicate audit found 1.2% residual duplicate non-placeholder texts; this is reported rather than silently removed.</w:t>
      </w:r>
    </w:p>
    <w:p>
      <w:pPr>
        <w:spacing w:after="120"/>
      </w:pPr>
      <w:r>
        <w:rPr>
          <w:rFonts w:ascii="Calibri" w:hAnsi="Calibri"/>
          <w:b/>
          <w:i w:val="0"/>
          <w:color w:val="17365D"/>
          <w:sz w:val="20"/>
        </w:rPr>
        <w:t xml:space="preserve">2. Construct the primary text field. </w:t>
      </w:r>
      <w:r>
        <w:rPr>
          <w:rFonts w:ascii="Calibri" w:hAnsi="Calibri"/>
          <w:b w:val="0"/>
          <w:i w:val="0"/>
          <w:color w:val="1F2937"/>
          <w:sz w:val="19"/>
        </w:rPr>
        <w:t>Used post title plus body after handling deleted and placeholder content. A title-only run was retained as a sensitivity analysis, not substituted for the primary representation.</w:t>
      </w:r>
    </w:p>
    <w:p>
      <w:pPr>
        <w:spacing w:after="120"/>
      </w:pPr>
      <w:r>
        <w:rPr>
          <w:rFonts w:ascii="Calibri" w:hAnsi="Calibri"/>
          <w:b/>
          <w:i w:val="0"/>
          <w:color w:val="17365D"/>
          <w:sz w:val="20"/>
        </w:rPr>
        <w:t xml:space="preserve">3. Discover topics with a current topic-modeling pipeline. </w:t>
      </w:r>
      <w:r>
        <w:rPr>
          <w:rFonts w:ascii="Calibri" w:hAnsi="Calibri"/>
          <w:b w:val="0"/>
          <w:i w:val="0"/>
          <w:color w:val="1F2937"/>
          <w:sz w:val="19"/>
        </w:rPr>
        <w:t>Embedded documents with all-MiniLM-L6-v2, reduced the embedding space with UMAP, clustered with HDBSCAN, and represented topics with BERTopic c-TF-IDF. The full-corpus model produced 199 non-outlier clusters and assigned 38.6% of posts.</w:t>
      </w:r>
    </w:p>
    <w:p>
      <w:pPr>
        <w:spacing w:after="120"/>
      </w:pPr>
      <w:r>
        <w:rPr>
          <w:rFonts w:ascii="Calibri" w:hAnsi="Calibri"/>
          <w:b/>
          <w:i w:val="0"/>
          <w:color w:val="17365D"/>
          <w:sz w:val="20"/>
        </w:rPr>
        <w:t xml:space="preserve">4. Document the theme map. </w:t>
      </w:r>
      <w:r>
        <w:rPr>
          <w:rFonts w:ascii="Calibri" w:hAnsi="Calibri"/>
          <w:b w:val="0"/>
          <w:i w:val="0"/>
          <w:color w:val="1F2937"/>
          <w:sz w:val="19"/>
        </w:rPr>
        <w:t>Reviewed the largest 30 clusters and retained 27 interpretable clusters in a nine-theme candidate codebook. Generic, deleted, and community-meta clusters were excluded, yielding 18,506 mapped posts (19.0% of the full filtered corpus).</w:t>
      </w:r>
    </w:p>
    <w:p>
      <w:pPr>
        <w:spacing w:after="120"/>
      </w:pPr>
      <w:r>
        <w:rPr>
          <w:rFonts w:ascii="Calibri" w:hAnsi="Calibri"/>
          <w:b/>
          <w:i w:val="0"/>
          <w:color w:val="17365D"/>
          <w:sz w:val="20"/>
        </w:rPr>
        <w:t xml:space="preserve">5. Estimate descriptive longitudinal patterns. </w:t>
      </w:r>
      <w:r>
        <w:rPr>
          <w:rFonts w:ascii="Calibri" w:hAnsi="Calibri"/>
          <w:b w:val="0"/>
          <w:i w:val="0"/>
          <w:color w:val="1F2937"/>
          <w:sz w:val="19"/>
        </w:rPr>
        <w:t>Calculated each theme's share of every filtered post in four March-to-February rolling windows. The figures in this brief show the main monthly patterns, the full reviewed-theme comparison, and monthly assignment coverage.</w:t>
      </w:r>
    </w:p>
    <w:p>
      <w:pPr>
        <w:spacing w:after="120"/>
      </w:pPr>
      <w:r>
        <w:rPr>
          <w:rFonts w:ascii="Calibri" w:hAnsi="Calibri"/>
          <w:b/>
          <w:i w:val="0"/>
          <w:color w:val="17365D"/>
          <w:sz w:val="20"/>
        </w:rPr>
        <w:t xml:space="preserve">6. Test stability and state the boundary. </w:t>
      </w:r>
      <w:r>
        <w:rPr>
          <w:rFonts w:ascii="Calibri" w:hAnsi="Calibri"/>
          <w:b w:val="0"/>
          <w:i w:val="0"/>
          <w:color w:val="1F2937"/>
          <w:sz w:val="19"/>
        </w:rPr>
        <w:t>Ran seed-stability checks, title-only sensitivity, and one-to-one top-term alignment checks across rolling-window fits. A fixed RoBERTa whole-post polarity check then scored all 97,254 retained posts and was joined to the reviewed map without refitting either model; causal, human-validated sentiment, and full-conversation prevalence claims remain out of scope.</w:t>
      </w:r>
    </w:p>
    <w:p>
      <w:pPr>
        <w:spacing w:after="0"/>
      </w:pPr>
      <w:r>
        <w:rPr>
          <w:rFonts w:ascii="Calibri" w:hAnsi="Calibri"/>
          <w:b w:val="0"/>
          <w:i/>
          <w:color w:val="5D6B7A"/>
          <w:sz w:val="17"/>
        </w:rPr>
        <w:t>The private repository includes the analysis scripts, codebook, diagnostics, and aggregate evidence used in this brief. Raw posts and text-level samples remain local.</w:t>
      </w:r>
    </w:p>
    <w:p>
      <w:pPr>
        <w:pStyle w:val="Heading2"/>
      </w:pPr>
      <w:r>
        <w:rPr>
          <w:rFonts w:ascii="Calibri" w:hAnsi="Calibri"/>
          <w:b/>
          <w:i w:val="0"/>
          <w:color w:val="17365D"/>
          <w:sz w:val="25"/>
        </w:rPr>
        <w:t>From collection to estimates</w:t>
      </w:r>
    </w:p>
    <w:p>
      <w:pPr>
        <w:jc w:val="center"/>
      </w:pPr>
      <w:r>
        <w:drawing>
          <wp:inline xmlns:a="http://schemas.openxmlformats.org/drawingml/2006/main" xmlns:pic="http://schemas.openxmlformats.org/drawingml/2006/picture">
            <wp:extent cx="5760720" cy="2108749"/>
            <wp:docPr id="1" name="Picture 1"/>
            <wp:cNvGraphicFramePr>
              <a:graphicFrameLocks noChangeAspect="1"/>
            </wp:cNvGraphicFramePr>
            <a:graphic>
              <a:graphicData uri="http://schemas.openxmlformats.org/drawingml/2006/picture">
                <pic:pic>
                  <pic:nvPicPr>
                    <pic:cNvPr id="0" name="brief_collection_to_results_flow.png"/>
                    <pic:cNvPicPr/>
                  </pic:nvPicPr>
                  <pic:blipFill>
                    <a:blip r:embed="rId13"/>
                    <a:stretch>
                      <a:fillRect/>
                    </a:stretch>
                  </pic:blipFill>
                  <pic:spPr>
                    <a:xfrm>
                      <a:off x="0" y="0"/>
                      <a:ext cx="5760720" cy="2108749"/>
                    </a:xfrm>
                    <a:prstGeom prst="rect"/>
                  </pic:spPr>
                </pic:pic>
              </a:graphicData>
            </a:graphic>
          </wp:inline>
        </w:drawing>
      </w:r>
    </w:p>
    <w:p>
      <w:pPr>
        <w:spacing w:after="0"/>
      </w:pPr>
      <w:r>
        <w:rPr>
          <w:rFonts w:ascii="Calibri" w:hAnsi="Calibri"/>
          <w:b w:val="0"/>
          <w:i/>
          <w:color w:val="5D6B7A"/>
          <w:sz w:val="16"/>
        </w:rPr>
        <w:t>Figure 1. The collection, filtering, modeling, review, and estimation sequence used for the exploratory analysis.</w:t>
      </w:r>
    </w:p>
    <w:p>
      <w:r>
        <w:br w:type="page"/>
      </w:r>
    </w:p>
    <w:p>
      <w:pPr>
        <w:pStyle w:val="Heading1"/>
      </w:pPr>
      <w:r>
        <w:rPr>
          <w:rFonts w:ascii="Calibri" w:hAnsi="Calibri"/>
          <w:b/>
          <w:i w:val="0"/>
          <w:color w:val="17365D"/>
          <w:sz w:val="30"/>
        </w:rPr>
        <w:t>Monthly patterns in the main themes</w:t>
      </w:r>
    </w:p>
    <w:p>
      <w:pPr>
        <w:jc w:val="center"/>
      </w:pPr>
      <w:r>
        <w:drawing>
          <wp:inline xmlns:a="http://schemas.openxmlformats.org/drawingml/2006/main" xmlns:pic="http://schemas.openxmlformats.org/drawingml/2006/picture">
            <wp:extent cx="5760720" cy="1712771"/>
            <wp:docPr id="2" name="Picture 2"/>
            <wp:cNvGraphicFramePr>
              <a:graphicFrameLocks noChangeAspect="1"/>
            </wp:cNvGraphicFramePr>
            <a:graphic>
              <a:graphicData uri="http://schemas.openxmlformats.org/drawingml/2006/picture">
                <pic:pic>
                  <pic:nvPicPr>
                    <pic:cNvPr id="0" name="brief_key_theme_monthly_trends.png"/>
                    <pic:cNvPicPr/>
                  </pic:nvPicPr>
                  <pic:blipFill>
                    <a:blip r:embed="rId14"/>
                    <a:stretch>
                      <a:fillRect/>
                    </a:stretch>
                  </pic:blipFill>
                  <pic:spPr>
                    <a:xfrm>
                      <a:off x="0" y="0"/>
                      <a:ext cx="5760720" cy="1712771"/>
                    </a:xfrm>
                    <a:prstGeom prst="rect"/>
                  </pic:spPr>
                </pic:pic>
              </a:graphicData>
            </a:graphic>
          </wp:inline>
        </w:drawing>
      </w:r>
    </w:p>
    <w:p>
      <w:pPr>
        <w:spacing w:after="0"/>
      </w:pPr>
      <w:r>
        <w:rPr>
          <w:rFonts w:ascii="Calibri" w:hAnsi="Calibri"/>
          <w:b w:val="0"/>
          <w:i/>
          <w:color w:val="5D6B7A"/>
          <w:sz w:val="16"/>
        </w:rPr>
        <w:t>Figure 2. Three-month rolling prevalence of the themes that anchor the main interpretation. Shares use all filtered posts each month as the denominator.</w:t>
      </w:r>
    </w:p>
    <w:p>
      <w:r>
        <w:br w:type="page"/>
      </w:r>
    </w:p>
    <w:p>
      <w:pPr>
        <w:pStyle w:val="Heading1"/>
      </w:pPr>
      <w:r>
        <w:rPr>
          <w:rFonts w:ascii="Calibri" w:hAnsi="Calibri"/>
          <w:b/>
          <w:i w:val="0"/>
          <w:color w:val="17365D"/>
          <w:sz w:val="30"/>
        </w:rPr>
        <w:t>Month-by-month longitudinal patterns in the ten largest reviewed clusters</w:t>
      </w:r>
    </w:p>
    <w:p>
      <w:pPr>
        <w:spacing w:after="80"/>
      </w:pPr>
      <w:r>
        <w:rPr>
          <w:rFonts w:ascii="Calibri" w:hAnsi="Calibri"/>
          <w:b w:val="0"/>
          <w:i w:val="0"/>
          <w:color w:val="1F2937"/>
          <w:sz w:val="18"/>
        </w:rPr>
        <w:t>The top-level candidate map contains nine themes, so a literal top-ten theme chart would be mislabeled. For the requested month-by-month longitudinal view, the figure below shows the ten largest included BERTopic clusters, nested within the nine-theme map and labeled as subthemes rather than as additional themes. Each panel uses the full filtered monthly corpus as its denominator.</w:t>
      </w:r>
    </w:p>
    <w:p>
      <w:pPr>
        <w:jc w:val="center"/>
      </w:pPr>
      <w:r>
        <w:drawing>
          <wp:inline xmlns:a="http://schemas.openxmlformats.org/drawingml/2006/main" xmlns:pic="http://schemas.openxmlformats.org/drawingml/2006/picture">
            <wp:extent cx="5760720" cy="2694496"/>
            <wp:docPr id="3" name="Picture 3"/>
            <wp:cNvGraphicFramePr>
              <a:graphicFrameLocks noChangeAspect="1"/>
            </wp:cNvGraphicFramePr>
            <a:graphic>
              <a:graphicData uri="http://schemas.openxmlformats.org/drawingml/2006/picture">
                <pic:pic>
                  <pic:nvPicPr>
                    <pic:cNvPr id="0" name="top10_reviewed_subtheme_monthly_prevalence.png"/>
                    <pic:cNvPicPr/>
                  </pic:nvPicPr>
                  <pic:blipFill>
                    <a:blip r:embed="rId15"/>
                    <a:stretch>
                      <a:fillRect/>
                    </a:stretch>
                  </pic:blipFill>
                  <pic:spPr>
                    <a:xfrm>
                      <a:off x="0" y="0"/>
                      <a:ext cx="5760720" cy="2694496"/>
                    </a:xfrm>
                    <a:prstGeom prst="rect"/>
                  </pic:spPr>
                </pic:pic>
              </a:graphicData>
            </a:graphic>
          </wp:inline>
        </w:drawing>
      </w:r>
    </w:p>
    <w:p>
      <w:pPr>
        <w:spacing w:after="0"/>
      </w:pPr>
      <w:r>
        <w:rPr>
          <w:rFonts w:ascii="Calibri" w:hAnsi="Calibri"/>
          <w:b w:val="0"/>
          <w:i/>
          <w:color w:val="5D6B7A"/>
          <w:sz w:val="16"/>
        </w:rPr>
        <w:t>Figure 3. Month-by-month longitudinal prevalence of the ten largest reviewed clusters, with each cluster's parent candidate theme in its label. The shaded period is the Y1 Great Resignation window, March 2021 through February 2022. Panel n values are full-period cluster sizes.</w:t>
      </w:r>
    </w:p>
    <w:p>
      <w:r>
        <w:br w:type="page"/>
      </w:r>
    </w:p>
    <w:p>
      <w:pPr>
        <w:pStyle w:val="Heading1"/>
      </w:pPr>
      <w:r>
        <w:rPr>
          <w:rFonts w:ascii="Calibri" w:hAnsi="Calibri"/>
          <w:b/>
          <w:i w:val="0"/>
          <w:color w:val="17365D"/>
          <w:sz w:val="30"/>
        </w:rPr>
        <w:t>All reviewed themes by rolling window</w:t>
      </w:r>
    </w:p>
    <w:p>
      <w:pPr>
        <w:jc w:val="center"/>
      </w:pPr>
      <w:r>
        <w:drawing>
          <wp:inline xmlns:a="http://schemas.openxmlformats.org/drawingml/2006/main" xmlns:pic="http://schemas.openxmlformats.org/drawingml/2006/picture">
            <wp:extent cx="4160520" cy="2187277"/>
            <wp:docPr id="4" name="Picture 4"/>
            <wp:cNvGraphicFramePr>
              <a:graphicFrameLocks noChangeAspect="1"/>
            </wp:cNvGraphicFramePr>
            <a:graphic>
              <a:graphicData uri="http://schemas.openxmlformats.org/drawingml/2006/picture">
                <pic:pic>
                  <pic:nvPicPr>
                    <pic:cNvPr id="0" name="candidate_theme_rolling_window_prevalence.png"/>
                    <pic:cNvPicPr/>
                  </pic:nvPicPr>
                  <pic:blipFill>
                    <a:blip r:embed="rId16"/>
                    <a:stretch>
                      <a:fillRect/>
                    </a:stretch>
                  </pic:blipFill>
                  <pic:spPr>
                    <a:xfrm>
                      <a:off x="0" y="0"/>
                      <a:ext cx="4160520" cy="2187277"/>
                    </a:xfrm>
                    <a:prstGeom prst="rect"/>
                  </pic:spPr>
                </pic:pic>
              </a:graphicData>
            </a:graphic>
          </wp:inline>
        </w:drawing>
      </w:r>
    </w:p>
    <w:p>
      <w:pPr>
        <w:spacing w:after="0"/>
      </w:pPr>
      <w:r>
        <w:rPr>
          <w:rFonts w:ascii="Calibri" w:hAnsi="Calibri"/>
          <w:b w:val="0"/>
          <w:i/>
          <w:color w:val="5D6B7A"/>
          <w:sz w:val="16"/>
        </w:rPr>
        <w:t>Figure 4. Exploratory prevalence by rolling window. The legend gives each window denominator; Table 1 gives the numerator n behind every displayed percentage. The 27-cluster map excludes generic, deleted, and community-meta clusters.</w:t>
      </w:r>
    </w:p>
    <w:p>
      <w:r>
        <w:br w:type="page"/>
      </w:r>
    </w:p>
    <w:p>
      <w:pPr>
        <w:pStyle w:val="Heading1"/>
      </w:pPr>
      <w:r>
        <w:rPr>
          <w:rFonts w:ascii="Calibri" w:hAnsi="Calibri"/>
          <w:b/>
          <w:i w:val="0"/>
          <w:color w:val="17365D"/>
          <w:sz w:val="30"/>
        </w:rPr>
        <w:t>Counts behind rolling-window percentages</w:t>
      </w:r>
    </w:p>
    <w:p>
      <w:pPr>
        <w:spacing w:after="100"/>
      </w:pPr>
      <w:r>
        <w:rPr>
          <w:rFonts w:ascii="Calibri" w:hAnsi="Calibri"/>
          <w:b w:val="0"/>
          <w:i w:val="0"/>
          <w:color w:val="1F2937"/>
          <w:sz w:val="18"/>
        </w:rPr>
        <w:t>Each cell gives the theme share of all filtered posts in that rolling window followed by its numerator n. The column-header n is the all-filtered-post denominator for that window.</w:t>
      </w:r>
    </w:p>
    <w:tbl>
      <w:tblPr>
        <w:tblW w:type="dxa" w:w="9360"/>
        <w:jc w:val="left"/>
        <w:tblLayout w:type="fixed"/>
        <w:tblLook w:firstColumn="1" w:firstRow="1" w:lastColumn="0" w:lastRow="0" w:noHBand="0" w:noVBand="1" w:val="04A0"/>
      </w:tblPr>
      <w:tblGrid>
        <w:gridCol w:w="3000"/>
        <w:gridCol w:w="1590"/>
        <w:gridCol w:w="1590"/>
        <w:gridCol w:w="1590"/>
        <w:gridCol w:w="1590"/>
      </w:tblGrid>
      <w:tr>
        <w:tc>
          <w:tcPr>
            <w:tcW w:type="dxa" w:w="3000"/>
            <w:tcMar>
              <w:top w:w="80" w:type="dxa"/>
              <w:start w:w="120" w:type="dxa"/>
              <w:bottom w:w="80" w:type="dxa"/>
              <w:end w:w="120" w:type="dxa"/>
            </w:tcMar>
            <w:vAlign w:val="center"/>
            <w:shd w:fill="E8EEF5"/>
          </w:tcPr>
          <w:p>
            <w:r>
              <w:rPr>
                <w:rFonts w:ascii="Calibri" w:hAnsi="Calibri"/>
                <w:b/>
                <w:i w:val="0"/>
                <w:color w:val="17365D"/>
                <w:sz w:val="15"/>
              </w:rPr>
              <w:t>Candidate theme</w:t>
            </w:r>
          </w:p>
        </w:tc>
        <w:tc>
          <w:tcPr>
            <w:tcW w:type="dxa" w:w="1590"/>
            <w:tcMar>
              <w:top w:w="80" w:type="dxa"/>
              <w:start w:w="120" w:type="dxa"/>
              <w:bottom w:w="80" w:type="dxa"/>
              <w:end w:w="120" w:type="dxa"/>
            </w:tcMar>
            <w:vAlign w:val="center"/>
            <w:shd w:fill="E8EEF5"/>
          </w:tcPr>
          <w:p>
            <w:r>
              <w:rPr>
                <w:rFonts w:ascii="Calibri" w:hAnsi="Calibri"/>
                <w:b/>
                <w:i w:val="0"/>
                <w:color w:val="17365D"/>
                <w:sz w:val="15"/>
              </w:rPr>
              <w:t>Y1 2021-22</w:t>
              <w:br/>
              <w:t>(n=28,276)</w:t>
            </w:r>
          </w:p>
        </w:tc>
        <w:tc>
          <w:tcPr>
            <w:tcW w:type="dxa" w:w="1590"/>
            <w:tcMar>
              <w:top w:w="80" w:type="dxa"/>
              <w:start w:w="120" w:type="dxa"/>
              <w:bottom w:w="80" w:type="dxa"/>
              <w:end w:w="120" w:type="dxa"/>
            </w:tcMar>
            <w:vAlign w:val="center"/>
            <w:shd w:fill="E8EEF5"/>
          </w:tcPr>
          <w:p>
            <w:r>
              <w:rPr>
                <w:rFonts w:ascii="Calibri" w:hAnsi="Calibri"/>
                <w:b/>
                <w:i w:val="0"/>
                <w:color w:val="17365D"/>
                <w:sz w:val="15"/>
              </w:rPr>
              <w:t>Y2 2022-23</w:t>
              <w:br/>
              <w:t>(n=34,410)</w:t>
            </w:r>
          </w:p>
        </w:tc>
        <w:tc>
          <w:tcPr>
            <w:tcW w:type="dxa" w:w="1590"/>
            <w:tcMar>
              <w:top w:w="80" w:type="dxa"/>
              <w:start w:w="120" w:type="dxa"/>
              <w:bottom w:w="80" w:type="dxa"/>
              <w:end w:w="120" w:type="dxa"/>
            </w:tcMar>
            <w:vAlign w:val="center"/>
            <w:shd w:fill="E8EEF5"/>
          </w:tcPr>
          <w:p>
            <w:r>
              <w:rPr>
                <w:rFonts w:ascii="Calibri" w:hAnsi="Calibri"/>
                <w:b/>
                <w:i w:val="0"/>
                <w:color w:val="17365D"/>
                <w:sz w:val="15"/>
              </w:rPr>
              <w:t>Y3 2023-24</w:t>
              <w:br/>
              <w:t>(n=22,608)</w:t>
            </w:r>
          </w:p>
        </w:tc>
        <w:tc>
          <w:tcPr>
            <w:tcW w:type="dxa" w:w="1590"/>
            <w:tcMar>
              <w:top w:w="80" w:type="dxa"/>
              <w:start w:w="120" w:type="dxa"/>
              <w:bottom w:w="80" w:type="dxa"/>
              <w:end w:w="120" w:type="dxa"/>
            </w:tcMar>
            <w:vAlign w:val="center"/>
            <w:shd w:fill="E8EEF5"/>
          </w:tcPr>
          <w:p>
            <w:r>
              <w:rPr>
                <w:rFonts w:ascii="Calibri" w:hAnsi="Calibri"/>
                <w:b/>
                <w:i w:val="0"/>
                <w:color w:val="17365D"/>
                <w:sz w:val="15"/>
              </w:rPr>
              <w:t>Y4 2024-25</w:t>
              <w:br/>
              <w:t>(n=11,960)</w:t>
            </w:r>
          </w:p>
        </w:tc>
      </w:tr>
      <w:tr>
        <w:tc>
          <w:tcPr>
            <w:tcW w:type="dxa" w:w="3000"/>
          </w:tcPr>
          <w:p>
            <w:r>
              <w:rPr>
                <w:rFonts w:ascii="Calibri" w:hAnsi="Calibri"/>
                <w:b/>
                <w:i w:val="0"/>
                <w:color w:val="1F2937"/>
                <w:sz w:val="15"/>
              </w:rPr>
              <w:t>Compensation and pay rights</w:t>
            </w:r>
          </w:p>
        </w:tc>
        <w:tc>
          <w:tcPr>
            <w:tcW w:type="dxa" w:w="1590"/>
          </w:tcPr>
          <w:p>
            <w:r>
              <w:rPr>
                <w:rFonts w:ascii="Calibri" w:hAnsi="Calibri"/>
                <w:b w:val="0"/>
                <w:i w:val="0"/>
                <w:color w:val="1F2937"/>
                <w:sz w:val="15"/>
              </w:rPr>
              <w:t>3.52%</w:t>
              <w:br/>
              <w:t>(n=994)</w:t>
            </w:r>
          </w:p>
        </w:tc>
        <w:tc>
          <w:tcPr>
            <w:tcW w:type="dxa" w:w="1590"/>
          </w:tcPr>
          <w:p>
            <w:r>
              <w:rPr>
                <w:rFonts w:ascii="Calibri" w:hAnsi="Calibri"/>
                <w:b w:val="0"/>
                <w:i w:val="0"/>
                <w:color w:val="1F2937"/>
                <w:sz w:val="15"/>
              </w:rPr>
              <w:t>4.01%</w:t>
              <w:br/>
              <w:t>(n=1,379)</w:t>
            </w:r>
          </w:p>
        </w:tc>
        <w:tc>
          <w:tcPr>
            <w:tcW w:type="dxa" w:w="1590"/>
          </w:tcPr>
          <w:p>
            <w:r>
              <w:rPr>
                <w:rFonts w:ascii="Calibri" w:hAnsi="Calibri"/>
                <w:b w:val="0"/>
                <w:i w:val="0"/>
                <w:color w:val="1F2937"/>
                <w:sz w:val="15"/>
              </w:rPr>
              <w:t>3.79%</w:t>
              <w:br/>
              <w:t>(n=856)</w:t>
            </w:r>
          </w:p>
        </w:tc>
        <w:tc>
          <w:tcPr>
            <w:tcW w:type="dxa" w:w="1590"/>
          </w:tcPr>
          <w:p>
            <w:r>
              <w:rPr>
                <w:rFonts w:ascii="Calibri" w:hAnsi="Calibri"/>
                <w:b w:val="0"/>
                <w:i w:val="0"/>
                <w:color w:val="1F2937"/>
                <w:sz w:val="15"/>
              </w:rPr>
              <w:t>3.04%</w:t>
              <w:br/>
              <w:t>(n=363)</w:t>
            </w:r>
          </w:p>
        </w:tc>
      </w:tr>
      <w:tr>
        <w:tc>
          <w:tcPr>
            <w:tcW w:type="dxa" w:w="3000"/>
            <w:shd w:fill="FAFBFC"/>
          </w:tcPr>
          <w:p>
            <w:r>
              <w:rPr>
                <w:rFonts w:ascii="Calibri" w:hAnsi="Calibri"/>
                <w:b/>
                <w:i w:val="0"/>
                <w:color w:val="1F2937"/>
                <w:sz w:val="15"/>
              </w:rPr>
              <w:t>Health safety and attendance</w:t>
            </w:r>
          </w:p>
        </w:tc>
        <w:tc>
          <w:tcPr>
            <w:tcW w:type="dxa" w:w="1590"/>
            <w:shd w:fill="FAFBFC"/>
          </w:tcPr>
          <w:p>
            <w:r>
              <w:rPr>
                <w:rFonts w:ascii="Calibri" w:hAnsi="Calibri"/>
                <w:b w:val="0"/>
                <w:i w:val="0"/>
                <w:color w:val="1F2937"/>
                <w:sz w:val="15"/>
              </w:rPr>
              <w:t>4.97%</w:t>
              <w:br/>
              <w:t>(n=1,406)</w:t>
            </w:r>
          </w:p>
        </w:tc>
        <w:tc>
          <w:tcPr>
            <w:tcW w:type="dxa" w:w="1590"/>
            <w:shd w:fill="FAFBFC"/>
          </w:tcPr>
          <w:p>
            <w:r>
              <w:rPr>
                <w:rFonts w:ascii="Calibri" w:hAnsi="Calibri"/>
                <w:b w:val="0"/>
                <w:i w:val="0"/>
                <w:color w:val="1F2937"/>
                <w:sz w:val="15"/>
              </w:rPr>
              <w:t>2.97%</w:t>
              <w:br/>
              <w:t>(n=1,023)</w:t>
            </w:r>
          </w:p>
        </w:tc>
        <w:tc>
          <w:tcPr>
            <w:tcW w:type="dxa" w:w="1590"/>
            <w:shd w:fill="FAFBFC"/>
          </w:tcPr>
          <w:p>
            <w:r>
              <w:rPr>
                <w:rFonts w:ascii="Calibri" w:hAnsi="Calibri"/>
                <w:b w:val="0"/>
                <w:i w:val="0"/>
                <w:color w:val="1F2937"/>
                <w:sz w:val="15"/>
              </w:rPr>
              <w:t>2.54%</w:t>
              <w:br/>
              <w:t>(n=574)</w:t>
            </w:r>
          </w:p>
        </w:tc>
        <w:tc>
          <w:tcPr>
            <w:tcW w:type="dxa" w:w="1590"/>
            <w:shd w:fill="FAFBFC"/>
          </w:tcPr>
          <w:p>
            <w:r>
              <w:rPr>
                <w:rFonts w:ascii="Calibri" w:hAnsi="Calibri"/>
                <w:b w:val="0"/>
                <w:i w:val="0"/>
                <w:color w:val="1F2937"/>
                <w:sz w:val="15"/>
              </w:rPr>
              <w:t>2.50%</w:t>
              <w:br/>
              <w:t>(n=299)</w:t>
            </w:r>
          </w:p>
        </w:tc>
      </w:tr>
      <w:tr>
        <w:tc>
          <w:tcPr>
            <w:tcW w:type="dxa" w:w="3000"/>
          </w:tcPr>
          <w:p>
            <w:r>
              <w:rPr>
                <w:rFonts w:ascii="Calibri" w:hAnsi="Calibri"/>
                <w:b/>
                <w:i w:val="0"/>
                <w:color w:val="1F2937"/>
                <w:sz w:val="15"/>
              </w:rPr>
              <w:t>Career precarity and exit</w:t>
            </w:r>
          </w:p>
        </w:tc>
        <w:tc>
          <w:tcPr>
            <w:tcW w:type="dxa" w:w="1590"/>
          </w:tcPr>
          <w:p>
            <w:r>
              <w:rPr>
                <w:rFonts w:ascii="Calibri" w:hAnsi="Calibri"/>
                <w:b w:val="0"/>
                <w:i w:val="0"/>
                <w:color w:val="1F2937"/>
                <w:sz w:val="15"/>
              </w:rPr>
              <w:t>2.54%</w:t>
              <w:br/>
              <w:t>(n=718)</w:t>
            </w:r>
          </w:p>
        </w:tc>
        <w:tc>
          <w:tcPr>
            <w:tcW w:type="dxa" w:w="1590"/>
          </w:tcPr>
          <w:p>
            <w:r>
              <w:rPr>
                <w:rFonts w:ascii="Calibri" w:hAnsi="Calibri"/>
                <w:b w:val="0"/>
                <w:i w:val="0"/>
                <w:color w:val="1F2937"/>
                <w:sz w:val="15"/>
              </w:rPr>
              <w:t>2.78%</w:t>
              <w:br/>
              <w:t>(n=956)</w:t>
            </w:r>
          </w:p>
        </w:tc>
        <w:tc>
          <w:tcPr>
            <w:tcW w:type="dxa" w:w="1590"/>
          </w:tcPr>
          <w:p>
            <w:r>
              <w:rPr>
                <w:rFonts w:ascii="Calibri" w:hAnsi="Calibri"/>
                <w:b w:val="0"/>
                <w:i w:val="0"/>
                <w:color w:val="1F2937"/>
                <w:sz w:val="15"/>
              </w:rPr>
              <w:t>2.85%</w:t>
              <w:br/>
              <w:t>(n=644)</w:t>
            </w:r>
          </w:p>
        </w:tc>
        <w:tc>
          <w:tcPr>
            <w:tcW w:type="dxa" w:w="1590"/>
          </w:tcPr>
          <w:p>
            <w:r>
              <w:rPr>
                <w:rFonts w:ascii="Calibri" w:hAnsi="Calibri"/>
                <w:b w:val="0"/>
                <w:i w:val="0"/>
                <w:color w:val="1F2937"/>
                <w:sz w:val="15"/>
              </w:rPr>
              <w:t>2.47%</w:t>
              <w:br/>
              <w:t>(n=295)</w:t>
            </w:r>
          </w:p>
        </w:tc>
      </w:tr>
      <w:tr>
        <w:tc>
          <w:tcPr>
            <w:tcW w:type="dxa" w:w="3000"/>
            <w:shd w:fill="FAFBFC"/>
          </w:tcPr>
          <w:p>
            <w:r>
              <w:rPr>
                <w:rFonts w:ascii="Calibri" w:hAnsi="Calibri"/>
                <w:b/>
                <w:i w:val="0"/>
                <w:color w:val="1F2937"/>
                <w:sz w:val="15"/>
              </w:rPr>
              <w:t>Scheduling hours and time off</w:t>
            </w:r>
          </w:p>
        </w:tc>
        <w:tc>
          <w:tcPr>
            <w:tcW w:type="dxa" w:w="1590"/>
            <w:shd w:fill="FAFBFC"/>
          </w:tcPr>
          <w:p>
            <w:r>
              <w:rPr>
                <w:rFonts w:ascii="Calibri" w:hAnsi="Calibri"/>
                <w:b w:val="0"/>
                <w:i w:val="0"/>
                <w:color w:val="1F2937"/>
                <w:sz w:val="15"/>
              </w:rPr>
              <w:t>1.71%</w:t>
              <w:br/>
              <w:t>(n=484)</w:t>
            </w:r>
          </w:p>
        </w:tc>
        <w:tc>
          <w:tcPr>
            <w:tcW w:type="dxa" w:w="1590"/>
            <w:shd w:fill="FAFBFC"/>
          </w:tcPr>
          <w:p>
            <w:r>
              <w:rPr>
                <w:rFonts w:ascii="Calibri" w:hAnsi="Calibri"/>
                <w:b w:val="0"/>
                <w:i w:val="0"/>
                <w:color w:val="1F2937"/>
                <w:sz w:val="15"/>
              </w:rPr>
              <w:t>2.55%</w:t>
              <w:br/>
              <w:t>(n=878)</w:t>
            </w:r>
          </w:p>
        </w:tc>
        <w:tc>
          <w:tcPr>
            <w:tcW w:type="dxa" w:w="1590"/>
            <w:shd w:fill="FAFBFC"/>
          </w:tcPr>
          <w:p>
            <w:r>
              <w:rPr>
                <w:rFonts w:ascii="Calibri" w:hAnsi="Calibri"/>
                <w:b w:val="0"/>
                <w:i w:val="0"/>
                <w:color w:val="1F2937"/>
                <w:sz w:val="15"/>
              </w:rPr>
              <w:t>3.11%</w:t>
              <w:br/>
              <w:t>(n=704)</w:t>
            </w:r>
          </w:p>
        </w:tc>
        <w:tc>
          <w:tcPr>
            <w:tcW w:type="dxa" w:w="1590"/>
            <w:shd w:fill="FAFBFC"/>
          </w:tcPr>
          <w:p>
            <w:r>
              <w:rPr>
                <w:rFonts w:ascii="Calibri" w:hAnsi="Calibri"/>
                <w:b w:val="0"/>
                <w:i w:val="0"/>
                <w:color w:val="1F2937"/>
                <w:sz w:val="15"/>
              </w:rPr>
              <w:t>3.20%</w:t>
              <w:br/>
              <w:t>(n=383)</w:t>
            </w:r>
          </w:p>
        </w:tc>
      </w:tr>
      <w:tr>
        <w:tc>
          <w:tcPr>
            <w:tcW w:type="dxa" w:w="3000"/>
          </w:tcPr>
          <w:p>
            <w:r>
              <w:rPr>
                <w:rFonts w:ascii="Calibri" w:hAnsi="Calibri"/>
                <w:b/>
                <w:i w:val="0"/>
                <w:color w:val="1F2937"/>
                <w:sz w:val="15"/>
              </w:rPr>
              <w:t>Recruitment and labor market</w:t>
            </w:r>
          </w:p>
        </w:tc>
        <w:tc>
          <w:tcPr>
            <w:tcW w:type="dxa" w:w="1590"/>
          </w:tcPr>
          <w:p>
            <w:r>
              <w:rPr>
                <w:rFonts w:ascii="Calibri" w:hAnsi="Calibri"/>
                <w:b w:val="0"/>
                <w:i w:val="0"/>
                <w:color w:val="1F2937"/>
                <w:sz w:val="15"/>
              </w:rPr>
              <w:t>1.98%</w:t>
              <w:br/>
              <w:t>(n=560)</w:t>
            </w:r>
          </w:p>
        </w:tc>
        <w:tc>
          <w:tcPr>
            <w:tcW w:type="dxa" w:w="1590"/>
          </w:tcPr>
          <w:p>
            <w:r>
              <w:rPr>
                <w:rFonts w:ascii="Calibri" w:hAnsi="Calibri"/>
                <w:b w:val="0"/>
                <w:i w:val="0"/>
                <w:color w:val="1F2937"/>
                <w:sz w:val="15"/>
              </w:rPr>
              <w:t>2.27%</w:t>
              <w:br/>
              <w:t>(n=780)</w:t>
            </w:r>
          </w:p>
        </w:tc>
        <w:tc>
          <w:tcPr>
            <w:tcW w:type="dxa" w:w="1590"/>
          </w:tcPr>
          <w:p>
            <w:r>
              <w:rPr>
                <w:rFonts w:ascii="Calibri" w:hAnsi="Calibri"/>
                <w:b w:val="0"/>
                <w:i w:val="0"/>
                <w:color w:val="1F2937"/>
                <w:sz w:val="15"/>
              </w:rPr>
              <w:t>2.44%</w:t>
              <w:br/>
              <w:t>(n=551)</w:t>
            </w:r>
          </w:p>
        </w:tc>
        <w:tc>
          <w:tcPr>
            <w:tcW w:type="dxa" w:w="1590"/>
          </w:tcPr>
          <w:p>
            <w:r>
              <w:rPr>
                <w:rFonts w:ascii="Calibri" w:hAnsi="Calibri"/>
                <w:b w:val="0"/>
                <w:i w:val="0"/>
                <w:color w:val="1F2937"/>
                <w:sz w:val="15"/>
              </w:rPr>
              <w:t>2.33%</w:t>
              <w:br/>
              <w:t>(n=279)</w:t>
            </w:r>
          </w:p>
        </w:tc>
      </w:tr>
      <w:tr>
        <w:tc>
          <w:tcPr>
            <w:tcW w:type="dxa" w:w="3000"/>
            <w:shd w:fill="FAFBFC"/>
          </w:tcPr>
          <w:p>
            <w:r>
              <w:rPr>
                <w:rFonts w:ascii="Calibri" w:hAnsi="Calibri"/>
                <w:b/>
                <w:i w:val="0"/>
                <w:color w:val="1F2937"/>
                <w:sz w:val="15"/>
              </w:rPr>
              <w:t>Work arrangements and control</w:t>
            </w:r>
          </w:p>
        </w:tc>
        <w:tc>
          <w:tcPr>
            <w:tcW w:type="dxa" w:w="1590"/>
            <w:shd w:fill="FAFBFC"/>
          </w:tcPr>
          <w:p>
            <w:r>
              <w:rPr>
                <w:rFonts w:ascii="Calibri" w:hAnsi="Calibri"/>
                <w:b w:val="0"/>
                <w:i w:val="0"/>
                <w:color w:val="1F2937"/>
                <w:sz w:val="15"/>
              </w:rPr>
              <w:t>1.01%</w:t>
              <w:br/>
              <w:t>(n=286)</w:t>
            </w:r>
          </w:p>
        </w:tc>
        <w:tc>
          <w:tcPr>
            <w:tcW w:type="dxa" w:w="1590"/>
            <w:shd w:fill="FAFBFC"/>
          </w:tcPr>
          <w:p>
            <w:r>
              <w:rPr>
                <w:rFonts w:ascii="Calibri" w:hAnsi="Calibri"/>
                <w:b w:val="0"/>
                <w:i w:val="0"/>
                <w:color w:val="1F2937"/>
                <w:sz w:val="15"/>
              </w:rPr>
              <w:t>1.49%</w:t>
              <w:br/>
              <w:t>(n=513)</w:t>
            </w:r>
          </w:p>
        </w:tc>
        <w:tc>
          <w:tcPr>
            <w:tcW w:type="dxa" w:w="1590"/>
            <w:shd w:fill="FAFBFC"/>
          </w:tcPr>
          <w:p>
            <w:r>
              <w:rPr>
                <w:rFonts w:ascii="Calibri" w:hAnsi="Calibri"/>
                <w:b w:val="0"/>
                <w:i w:val="0"/>
                <w:color w:val="1F2937"/>
                <w:sz w:val="15"/>
              </w:rPr>
              <w:t>1.46%</w:t>
              <w:br/>
              <w:t>(n=330)</w:t>
            </w:r>
          </w:p>
        </w:tc>
        <w:tc>
          <w:tcPr>
            <w:tcW w:type="dxa" w:w="1590"/>
            <w:shd w:fill="FAFBFC"/>
          </w:tcPr>
          <w:p>
            <w:r>
              <w:rPr>
                <w:rFonts w:ascii="Calibri" w:hAnsi="Calibri"/>
                <w:b w:val="0"/>
                <w:i w:val="0"/>
                <w:color w:val="1F2937"/>
                <w:sz w:val="15"/>
              </w:rPr>
              <w:t>1.35%</w:t>
              <w:br/>
              <w:t>(n=162)</w:t>
            </w:r>
          </w:p>
        </w:tc>
      </w:tr>
      <w:tr>
        <w:tc>
          <w:tcPr>
            <w:tcW w:type="dxa" w:w="3000"/>
          </w:tcPr>
          <w:p>
            <w:r>
              <w:rPr>
                <w:rFonts w:ascii="Calibri" w:hAnsi="Calibri"/>
                <w:b/>
                <w:i w:val="0"/>
                <w:color w:val="1F2937"/>
                <w:sz w:val="15"/>
              </w:rPr>
              <w:t>Workplace authority and interpersonal conflict</w:t>
            </w:r>
          </w:p>
        </w:tc>
        <w:tc>
          <w:tcPr>
            <w:tcW w:type="dxa" w:w="1590"/>
          </w:tcPr>
          <w:p>
            <w:r>
              <w:rPr>
                <w:rFonts w:ascii="Calibri" w:hAnsi="Calibri"/>
                <w:b w:val="0"/>
                <w:i w:val="0"/>
                <w:color w:val="1F2937"/>
                <w:sz w:val="15"/>
              </w:rPr>
              <w:t>0.74%</w:t>
              <w:br/>
              <w:t>(n=208)</w:t>
            </w:r>
          </w:p>
        </w:tc>
        <w:tc>
          <w:tcPr>
            <w:tcW w:type="dxa" w:w="1590"/>
          </w:tcPr>
          <w:p>
            <w:r>
              <w:rPr>
                <w:rFonts w:ascii="Calibri" w:hAnsi="Calibri"/>
                <w:b w:val="0"/>
                <w:i w:val="0"/>
                <w:color w:val="1F2937"/>
                <w:sz w:val="15"/>
              </w:rPr>
              <w:t>1.17%</w:t>
              <w:br/>
              <w:t>(n=404)</w:t>
            </w:r>
          </w:p>
        </w:tc>
        <w:tc>
          <w:tcPr>
            <w:tcW w:type="dxa" w:w="1590"/>
          </w:tcPr>
          <w:p>
            <w:r>
              <w:rPr>
                <w:rFonts w:ascii="Calibri" w:hAnsi="Calibri"/>
                <w:b w:val="0"/>
                <w:i w:val="0"/>
                <w:color w:val="1F2937"/>
                <w:sz w:val="15"/>
              </w:rPr>
              <w:t>1.69%</w:t>
              <w:br/>
              <w:t>(n=382)</w:t>
            </w:r>
          </w:p>
        </w:tc>
        <w:tc>
          <w:tcPr>
            <w:tcW w:type="dxa" w:w="1590"/>
          </w:tcPr>
          <w:p>
            <w:r>
              <w:rPr>
                <w:rFonts w:ascii="Calibri" w:hAnsi="Calibri"/>
                <w:b w:val="0"/>
                <w:i w:val="0"/>
                <w:color w:val="1F2937"/>
                <w:sz w:val="15"/>
              </w:rPr>
              <w:t>2.06%</w:t>
              <w:br/>
              <w:t>(n=246)</w:t>
            </w:r>
          </w:p>
        </w:tc>
      </w:tr>
      <w:tr>
        <w:tc>
          <w:tcPr>
            <w:tcW w:type="dxa" w:w="3000"/>
            <w:shd w:fill="FAFBFC"/>
          </w:tcPr>
          <w:p>
            <w:r>
              <w:rPr>
                <w:rFonts w:ascii="Calibri" w:hAnsi="Calibri"/>
                <w:b/>
                <w:i w:val="0"/>
                <w:color w:val="1F2937"/>
                <w:sz w:val="15"/>
              </w:rPr>
              <w:t>Service work and tips</w:t>
            </w:r>
          </w:p>
        </w:tc>
        <w:tc>
          <w:tcPr>
            <w:tcW w:type="dxa" w:w="1590"/>
            <w:shd w:fill="FAFBFC"/>
          </w:tcPr>
          <w:p>
            <w:r>
              <w:rPr>
                <w:rFonts w:ascii="Calibri" w:hAnsi="Calibri"/>
                <w:b w:val="0"/>
                <w:i w:val="0"/>
                <w:color w:val="1F2937"/>
                <w:sz w:val="15"/>
              </w:rPr>
              <w:t>1.32%</w:t>
              <w:br/>
              <w:t>(n=374)</w:t>
            </w:r>
          </w:p>
        </w:tc>
        <w:tc>
          <w:tcPr>
            <w:tcW w:type="dxa" w:w="1590"/>
            <w:shd w:fill="FAFBFC"/>
          </w:tcPr>
          <w:p>
            <w:r>
              <w:rPr>
                <w:rFonts w:ascii="Calibri" w:hAnsi="Calibri"/>
                <w:b w:val="0"/>
                <w:i w:val="0"/>
                <w:color w:val="1F2937"/>
                <w:sz w:val="15"/>
              </w:rPr>
              <w:t>1.38%</w:t>
              <w:br/>
              <w:t>(n=476)</w:t>
            </w:r>
          </w:p>
        </w:tc>
        <w:tc>
          <w:tcPr>
            <w:tcW w:type="dxa" w:w="1590"/>
            <w:shd w:fill="FAFBFC"/>
          </w:tcPr>
          <w:p>
            <w:r>
              <w:rPr>
                <w:rFonts w:ascii="Calibri" w:hAnsi="Calibri"/>
                <w:b w:val="0"/>
                <w:i w:val="0"/>
                <w:color w:val="1F2937"/>
                <w:sz w:val="15"/>
              </w:rPr>
              <w:t>1.21%</w:t>
              <w:br/>
              <w:t>(n=274)</w:t>
            </w:r>
          </w:p>
        </w:tc>
        <w:tc>
          <w:tcPr>
            <w:tcW w:type="dxa" w:w="1590"/>
            <w:shd w:fill="FAFBFC"/>
          </w:tcPr>
          <w:p>
            <w:r>
              <w:rPr>
                <w:rFonts w:ascii="Calibri" w:hAnsi="Calibri"/>
                <w:b w:val="0"/>
                <w:i w:val="0"/>
                <w:color w:val="1F2937"/>
                <w:sz w:val="15"/>
              </w:rPr>
              <w:t>0.93%</w:t>
              <w:br/>
              <w:t>(n=111)</w:t>
            </w:r>
          </w:p>
        </w:tc>
      </w:tr>
      <w:tr>
        <w:tc>
          <w:tcPr>
            <w:tcW w:type="dxa" w:w="3000"/>
          </w:tcPr>
          <w:p>
            <w:r>
              <w:rPr>
                <w:rFonts w:ascii="Calibri" w:hAnsi="Calibri"/>
                <w:b/>
                <w:i w:val="0"/>
                <w:color w:val="1F2937"/>
                <w:sz w:val="15"/>
              </w:rPr>
              <w:t>Collective worker power and rights</w:t>
            </w:r>
          </w:p>
        </w:tc>
        <w:tc>
          <w:tcPr>
            <w:tcW w:type="dxa" w:w="1590"/>
          </w:tcPr>
          <w:p>
            <w:r>
              <w:rPr>
                <w:rFonts w:ascii="Calibri" w:hAnsi="Calibri"/>
                <w:b w:val="0"/>
                <w:i w:val="0"/>
                <w:color w:val="1F2937"/>
                <w:sz w:val="15"/>
              </w:rPr>
              <w:t>0.82%</w:t>
              <w:br/>
              <w:t>(n=231)</w:t>
            </w:r>
          </w:p>
        </w:tc>
        <w:tc>
          <w:tcPr>
            <w:tcW w:type="dxa" w:w="1590"/>
          </w:tcPr>
          <w:p>
            <w:r>
              <w:rPr>
                <w:rFonts w:ascii="Calibri" w:hAnsi="Calibri"/>
                <w:b w:val="0"/>
                <w:i w:val="0"/>
                <w:color w:val="1F2937"/>
                <w:sz w:val="15"/>
              </w:rPr>
              <w:t>0.66%</w:t>
              <w:br/>
              <w:t>(n=226)</w:t>
            </w:r>
          </w:p>
        </w:tc>
        <w:tc>
          <w:tcPr>
            <w:tcW w:type="dxa" w:w="1590"/>
          </w:tcPr>
          <w:p>
            <w:r>
              <w:rPr>
                <w:rFonts w:ascii="Calibri" w:hAnsi="Calibri"/>
                <w:b w:val="0"/>
                <w:i w:val="0"/>
                <w:color w:val="1F2937"/>
                <w:sz w:val="15"/>
              </w:rPr>
              <w:t>0.47%</w:t>
              <w:br/>
              <w:t>(n=107)</w:t>
            </w:r>
          </w:p>
        </w:tc>
        <w:tc>
          <w:tcPr>
            <w:tcW w:type="dxa" w:w="1590"/>
          </w:tcPr>
          <w:p>
            <w:r>
              <w:rPr>
                <w:rFonts w:ascii="Calibri" w:hAnsi="Calibri"/>
                <w:b w:val="0"/>
                <w:i w:val="0"/>
                <w:color w:val="1F2937"/>
                <w:sz w:val="15"/>
              </w:rPr>
              <w:t>0.42%</w:t>
              <w:br/>
              <w:t>(n=50)</w:t>
            </w:r>
          </w:p>
        </w:tc>
      </w:tr>
    </w:tbl>
    <w:p>
      <w:pPr>
        <w:spacing w:after="0"/>
      </w:pPr>
      <w:r>
        <w:rPr>
          <w:rFonts w:ascii="Calibri" w:hAnsi="Calibri"/>
          <w:b w:val="0"/>
          <w:i/>
          <w:color w:val="5D6B7A"/>
          <w:sz w:val="16"/>
        </w:rPr>
        <w:t>Table 1. Counts and prevalence for every reviewed candidate theme across the four rolling windows. Values describe the documented 27-cluster map, not all management-related discussion.</w:t>
      </w:r>
    </w:p>
    <w:p>
      <w:r>
        <w:br w:type="page"/>
      </w:r>
    </w:p>
    <w:p>
      <w:pPr>
        <w:pStyle w:val="Heading1"/>
      </w:pPr>
      <w:r>
        <w:rPr>
          <w:rFonts w:ascii="Calibri" w:hAnsi="Calibri"/>
          <w:b/>
          <w:i w:val="0"/>
          <w:color w:val="17365D"/>
          <w:sz w:val="30"/>
        </w:rPr>
        <w:t>Reviewed theme hierarchy</w:t>
      </w:r>
    </w:p>
    <w:p>
      <w:pPr>
        <w:jc w:val="center"/>
      </w:pPr>
      <w:r>
        <w:drawing>
          <wp:inline xmlns:a="http://schemas.openxmlformats.org/drawingml/2006/main" xmlns:pic="http://schemas.openxmlformats.org/drawingml/2006/picture">
            <wp:extent cx="4617720" cy="5821225"/>
            <wp:docPr id="5" name="Picture 5"/>
            <wp:cNvGraphicFramePr>
              <a:graphicFrameLocks noChangeAspect="1"/>
            </wp:cNvGraphicFramePr>
            <a:graphic>
              <a:graphicData uri="http://schemas.openxmlformats.org/drawingml/2006/picture">
                <pic:pic>
                  <pic:nvPicPr>
                    <pic:cNvPr id="0" name="reviewed_theme_hierarchy.png"/>
                    <pic:cNvPicPr/>
                  </pic:nvPicPr>
                  <pic:blipFill>
                    <a:blip r:embed="rId17"/>
                    <a:stretch>
                      <a:fillRect/>
                    </a:stretch>
                  </pic:blipFill>
                  <pic:spPr>
                    <a:xfrm>
                      <a:off x="0" y="0"/>
                      <a:ext cx="4617720" cy="5821225"/>
                    </a:xfrm>
                    <a:prstGeom prst="rect"/>
                  </pic:spPr>
                </pic:pic>
              </a:graphicData>
            </a:graphic>
          </wp:inline>
        </w:drawing>
      </w:r>
    </w:p>
    <w:p>
      <w:pPr>
        <w:spacing w:after="0"/>
      </w:pPr>
      <w:r>
        <w:rPr>
          <w:rFonts w:ascii="Calibri" w:hAnsi="Calibri"/>
          <w:b w:val="0"/>
          <w:i/>
          <w:color w:val="5D6B7A"/>
          <w:sz w:val="16"/>
        </w:rPr>
        <w:t>Figure 5. The nine candidate themes, their included subthemes, and full-corpus cluster sizes. Node area scales with n; this documented map covers 18,506 posts, or 19.0% of the filtered corpus.</w:t>
      </w:r>
    </w:p>
    <w:p>
      <w:r>
        <w:br w:type="page"/>
      </w:r>
    </w:p>
    <w:p>
      <w:pPr>
        <w:pStyle w:val="Heading1"/>
      </w:pPr>
      <w:r>
        <w:rPr>
          <w:rFonts w:ascii="Calibri" w:hAnsi="Calibri"/>
          <w:b/>
          <w:i w:val="0"/>
          <w:color w:val="17365D"/>
          <w:sz w:val="30"/>
        </w:rPr>
        <w:t>Exploratory Y1 and Y4 comparison</w:t>
      </w:r>
    </w:p>
    <w:p>
      <w:pPr>
        <w:spacing w:after="80"/>
      </w:pPr>
      <w:r>
        <w:rPr>
          <w:rFonts w:ascii="Calibri" w:hAnsi="Calibri"/>
          <w:b w:val="0"/>
          <w:i w:val="0"/>
          <w:color w:val="1F2937"/>
          <w:sz w:val="18"/>
        </w:rPr>
        <w:t>The comparison below contrasts the user-defined Great Resignation period, March 2021 through February 2022, with the most recent March 2024 through February 2025 window. It is a descriptive comparison of the reviewed theme map, not an estimate of the Great Resignation's effect.</w:t>
      </w:r>
    </w:p>
    <w:p>
      <w:pPr>
        <w:jc w:val="center"/>
      </w:pPr>
      <w:r>
        <w:drawing>
          <wp:inline xmlns:a="http://schemas.openxmlformats.org/drawingml/2006/main" xmlns:pic="http://schemas.openxmlformats.org/drawingml/2006/picture">
            <wp:extent cx="5760720" cy="3000375"/>
            <wp:docPr id="6" name="Picture 6"/>
            <wp:cNvGraphicFramePr>
              <a:graphicFrameLocks noChangeAspect="1"/>
            </wp:cNvGraphicFramePr>
            <a:graphic>
              <a:graphicData uri="http://schemas.openxmlformats.org/drawingml/2006/picture">
                <pic:pic>
                  <pic:nvPicPr>
                    <pic:cNvPr id="0" name="candidate_theme_y1_y4_comparison.png"/>
                    <pic:cNvPicPr/>
                  </pic:nvPicPr>
                  <pic:blipFill>
                    <a:blip r:embed="rId18"/>
                    <a:stretch>
                      <a:fillRect/>
                    </a:stretch>
                  </pic:blipFill>
                  <pic:spPr>
                    <a:xfrm>
                      <a:off x="0" y="0"/>
                      <a:ext cx="5760720" cy="3000375"/>
                    </a:xfrm>
                    <a:prstGeom prst="rect"/>
                  </pic:spPr>
                </pic:pic>
              </a:graphicData>
            </a:graphic>
          </wp:inline>
        </w:drawing>
      </w:r>
    </w:p>
    <w:p>
      <w:pPr>
        <w:spacing w:after="0"/>
      </w:pPr>
      <w:r>
        <w:rPr>
          <w:rFonts w:ascii="Calibri" w:hAnsi="Calibri"/>
          <w:b w:val="0"/>
          <w:i/>
          <w:color w:val="5D6B7A"/>
          <w:sz w:val="16"/>
        </w:rPr>
        <w:t>Figure 6. Candidate-theme prevalence in Y1 and Y4. The legend gives the all-filtered-post denominator for each window; Table 1 gives each theme numerator n; labels show descriptive percentage-point differences.</w:t>
      </w:r>
    </w:p>
    <w:p>
      <w:r>
        <w:br w:type="page"/>
      </w:r>
    </w:p>
    <w:p>
      <w:pPr>
        <w:pStyle w:val="Heading1"/>
      </w:pPr>
      <w:r>
        <w:rPr>
          <w:rFonts w:ascii="Calibri" w:hAnsi="Calibri"/>
          <w:b/>
          <w:i w:val="0"/>
          <w:color w:val="17365D"/>
          <w:sz w:val="30"/>
        </w:rPr>
        <w:t>Whole-corpus polarity check</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Context-aware model</w:t>
            </w:r>
          </w:p>
          <w:p>
            <w:r>
              <w:rPr>
                <w:rFonts w:ascii="Calibri" w:hAnsi="Calibri"/>
                <w:b w:val="0"/>
                <w:i w:val="0"/>
                <w:color w:val="1F2937"/>
                <w:sz w:val="18"/>
              </w:rPr>
              <w:t>A fixed social-media RoBERTa classifier estimated whole-post negative, neutral, and positive polarity across every retained post. This is a contextual transformer-based estimate, rather than a lexicon method such as VADER.</w:t>
            </w:r>
          </w:p>
        </w:tc>
        <w:tc>
          <w:tcPr>
            <w:tcW w:type="dxa" w:w="4680"/>
            <w:tcMar>
              <w:top w:w="80" w:type="dxa"/>
              <w:start w:w="120" w:type="dxa"/>
              <w:bottom w:w="80" w:type="dxa"/>
              <w:end w:w="120" w:type="dxa"/>
            </w:tcMar>
            <w:vAlign w:val="center"/>
            <w:shd w:fill="FAFBFC"/>
          </w:tcPr>
          <w:p>
            <w:r>
              <w:rPr>
                <w:rFonts w:ascii="Calibri" w:hAnsi="Calibri"/>
                <w:b/>
                <w:i w:val="0"/>
                <w:color w:val="17365D"/>
                <w:sz w:val="19"/>
              </w:rPr>
              <w:t>Interpretive boundary</w:t>
            </w:r>
          </w:p>
          <w:p>
            <w:r>
              <w:rPr>
                <w:rFonts w:ascii="Calibri" w:hAnsi="Calibri"/>
                <w:b w:val="0"/>
                <w:i w:val="0"/>
                <w:color w:val="1F2937"/>
                <w:sz w:val="18"/>
              </w:rPr>
              <w:t>The check is model-based, not human-validated or targeted specifically to management. It tests whether the intentionally problem-oriented sample is predominantly negative under this classifier; it does not estimate average employee sentiment.</w:t>
            </w:r>
          </w:p>
        </w:tc>
      </w:tr>
    </w:tbl>
    <w:p>
      <w:pPr>
        <w:spacing w:after="80"/>
      </w:pPr>
      <w:r>
        <w:rPr>
          <w:rFonts w:ascii="Calibri" w:hAnsi="Calibri"/>
          <w:b w:val="0"/>
          <w:i w:val="0"/>
          <w:color w:val="1F2937"/>
          <w:sz w:val="18"/>
        </w:rPr>
        <w:t>Across 97,254 scored posts, the model's hard labels were 62.9% negative, 30.4% neutral, and 6.7% positive. Mean posterior probabilities were 54.1%, 35.7%, and 10.2%, respectively. Mean maximum class probability was 70.0%; 16.4% of posts reached the 512-token limit.</w:t>
      </w:r>
    </w:p>
    <w:p>
      <w:pPr>
        <w:spacing w:after="80"/>
      </w:pPr>
      <w:r>
        <w:rPr>
          <w:rFonts w:ascii="Calibri" w:hAnsi="Calibri"/>
          <w:b w:val="0"/>
          <w:i w:val="0"/>
          <w:color w:val="1F2937"/>
          <w:sz w:val="18"/>
        </w:rPr>
        <w:t>The hard negative-label share was 59.8% (n=16,923 of 28,276) in Y1, the Great Resignation window, and 67.7% (n=8,096 of 11,960) in Y4. This descriptive increase is not a causal estimate and does not establish a change in employee sentiment.</w:t>
      </w:r>
    </w:p>
    <w:p>
      <w:pPr>
        <w:jc w:val="center"/>
      </w:pPr>
      <w:r>
        <w:drawing>
          <wp:inline xmlns:a="http://schemas.openxmlformats.org/drawingml/2006/main" xmlns:pic="http://schemas.openxmlformats.org/drawingml/2006/picture">
            <wp:extent cx="5760720" cy="2406190"/>
            <wp:docPr id="7" name="Picture 7"/>
            <wp:cNvGraphicFramePr>
              <a:graphicFrameLocks noChangeAspect="1"/>
            </wp:cNvGraphicFramePr>
            <a:graphic>
              <a:graphicData uri="http://schemas.openxmlformats.org/drawingml/2006/picture">
                <pic:pic>
                  <pic:nvPicPr>
                    <pic:cNvPr id="0" name="sentiment_by_rolling_window.png"/>
                    <pic:cNvPicPr/>
                  </pic:nvPicPr>
                  <pic:blipFill>
                    <a:blip r:embed="rId19"/>
                    <a:stretch>
                      <a:fillRect/>
                    </a:stretch>
                  </pic:blipFill>
                  <pic:spPr>
                    <a:xfrm>
                      <a:off x="0" y="0"/>
                      <a:ext cx="5760720" cy="2406190"/>
                    </a:xfrm>
                    <a:prstGeom prst="rect"/>
                  </pic:spPr>
                </pic:pic>
              </a:graphicData>
            </a:graphic>
          </wp:inline>
        </w:drawing>
      </w:r>
    </w:p>
    <w:p>
      <w:pPr>
        <w:spacing w:after="0"/>
      </w:pPr>
      <w:r>
        <w:rPr>
          <w:rFonts w:ascii="Calibri" w:hAnsi="Calibri"/>
          <w:b w:val="0"/>
          <w:i/>
          <w:color w:val="5D6B7A"/>
          <w:sz w:val="16"/>
        </w:rPr>
        <w:t>Figure 7. Whole-corpus RoBERTa polarity estimates across the four rolling windows. The hard-label and mean-posterior views are shown together because model uncertainty is material to interpretation.</w:t>
      </w:r>
    </w:p>
    <w:p>
      <w:r>
        <w:br w:type="page"/>
      </w:r>
    </w:p>
    <w:p>
      <w:pPr>
        <w:pStyle w:val="Heading1"/>
      </w:pPr>
      <w:r>
        <w:rPr>
          <w:rFonts w:ascii="Calibri" w:hAnsi="Calibri"/>
          <w:b/>
          <w:i w:val="0"/>
          <w:color w:val="17365D"/>
          <w:sz w:val="30"/>
        </w:rPr>
        <w:t>Polarity within reviewed themes</w:t>
      </w:r>
    </w:p>
    <w:p>
      <w:pPr>
        <w:spacing w:after="80"/>
      </w:pPr>
      <w:r>
        <w:rPr>
          <w:rFonts w:ascii="Calibri" w:hAnsi="Calibri"/>
          <w:b w:val="0"/>
          <w:i w:val="0"/>
          <w:color w:val="1F2937"/>
          <w:sz w:val="18"/>
        </w:rPr>
        <w:t>The figure below joins the fixed post-level RoBERTa estimates to the existing reviewed BERTopic map. It does not refit either model. Values describe whole-post negative-polarity probability among posts assigned to each theme, while the prevalence figures above retain all filtered posts as their denominator.</w:t>
      </w:r>
    </w:p>
    <w:p>
      <w:pPr>
        <w:jc w:val="center"/>
      </w:pPr>
      <w:r>
        <w:drawing>
          <wp:inline xmlns:a="http://schemas.openxmlformats.org/drawingml/2006/main" xmlns:pic="http://schemas.openxmlformats.org/drawingml/2006/picture">
            <wp:extent cx="5760720" cy="3429608"/>
            <wp:docPr id="8" name="Picture 8"/>
            <wp:cNvGraphicFramePr>
              <a:graphicFrameLocks noChangeAspect="1"/>
            </wp:cNvGraphicFramePr>
            <a:graphic>
              <a:graphicData uri="http://schemas.openxmlformats.org/drawingml/2006/picture">
                <pic:pic>
                  <pic:nvPicPr>
                    <pic:cNvPr id="0" name="candidate_theme_negative_probability_by_month.png"/>
                    <pic:cNvPicPr/>
                  </pic:nvPicPr>
                  <pic:blipFill>
                    <a:blip r:embed="rId20"/>
                    <a:stretch>
                      <a:fillRect/>
                    </a:stretch>
                  </pic:blipFill>
                  <pic:spPr>
                    <a:xfrm>
                      <a:off x="0" y="0"/>
                      <a:ext cx="5760720" cy="3429608"/>
                    </a:xfrm>
                    <a:prstGeom prst="rect"/>
                  </pic:spPr>
                </pic:pic>
              </a:graphicData>
            </a:graphic>
          </wp:inline>
        </w:drawing>
      </w:r>
    </w:p>
    <w:p>
      <w:pPr>
        <w:spacing w:after="0"/>
      </w:pPr>
      <w:r>
        <w:rPr>
          <w:rFonts w:ascii="Calibri" w:hAnsi="Calibri"/>
          <w:b w:val="0"/>
          <w:i/>
          <w:color w:val="5D6B7A"/>
          <w:sz w:val="16"/>
        </w:rPr>
        <w:t>Figure 8. Three-month rolling mean of modeled negative-polarity probability within the nine reviewed themes. The theme map covers 18,506 posts, or 19.0% of the filtered corpus.</w:t>
      </w:r>
    </w:p>
    <w:p>
      <w:r>
        <w:br w:type="page"/>
      </w:r>
    </w:p>
    <w:p>
      <w:pPr>
        <w:pStyle w:val="Heading1"/>
      </w:pPr>
      <w:r>
        <w:rPr>
          <w:rFonts w:ascii="Calibri" w:hAnsi="Calibri"/>
          <w:b/>
          <w:i w:val="0"/>
          <w:color w:val="17365D"/>
          <w:sz w:val="30"/>
        </w:rPr>
        <w:t>Analytic approach and scope</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Primary analysis</w:t>
            </w:r>
          </w:p>
          <w:p>
            <w:r>
              <w:rPr>
                <w:rFonts w:ascii="Calibri" w:hAnsi="Calibri"/>
                <w:b w:val="0"/>
                <w:i w:val="0"/>
                <w:color w:val="1F2937"/>
                <w:sz w:val="18"/>
              </w:rPr>
              <w:t>Sentence-transformer embeddings (all-MiniLM-L6-v2), UMAP, HDBSCAN, BERTopic topic representations, and a full-corpus model for longitudinal prevalence. Per-window fits serve as stability diagnostics.</w:t>
            </w:r>
          </w:p>
        </w:tc>
        <w:tc>
          <w:tcPr>
            <w:tcW w:type="dxa" w:w="4680"/>
            <w:tcMar>
              <w:top w:w="80" w:type="dxa"/>
              <w:start w:w="120" w:type="dxa"/>
              <w:bottom w:w="80" w:type="dxa"/>
              <w:end w:w="120" w:type="dxa"/>
            </w:tcMar>
            <w:vAlign w:val="center"/>
            <w:shd w:fill="FAFBFC"/>
          </w:tcPr>
          <w:p>
            <w:r>
              <w:rPr>
                <w:rFonts w:ascii="Calibri" w:hAnsi="Calibri"/>
                <w:b/>
                <w:i w:val="0"/>
                <w:color w:val="17365D"/>
                <w:sz w:val="19"/>
              </w:rPr>
              <w:t>Coverage of estimates</w:t>
            </w:r>
          </w:p>
          <w:p>
            <w:r>
              <w:rPr>
                <w:rFonts w:ascii="Calibri" w:hAnsi="Calibri"/>
                <w:b w:val="0"/>
                <w:i w:val="0"/>
                <w:color w:val="1F2937"/>
                <w:sz w:val="18"/>
              </w:rPr>
              <w:t>The model assigns 38.6% of posts to non-outlier clusters. The final theme map covers 18,506 posts: 19.0% of all filtered posts and 49.3% of assigned posts.</w:t>
            </w:r>
          </w:p>
        </w:tc>
      </w:tr>
    </w:tbl>
    <w:p>
      <w:pPr>
        <w:pStyle w:val="Heading2"/>
      </w:pPr>
      <w:r>
        <w:rPr>
          <w:rFonts w:ascii="Calibri" w:hAnsi="Calibri"/>
          <w:b/>
          <w:i w:val="0"/>
          <w:color w:val="17365D"/>
          <w:sz w:val="25"/>
        </w:rPr>
        <w:t>Assignment coverage</w:t>
      </w:r>
    </w:p>
    <w:p>
      <w:pPr>
        <w:jc w:val="center"/>
      </w:pPr>
      <w:r>
        <w:drawing>
          <wp:inline xmlns:a="http://schemas.openxmlformats.org/drawingml/2006/main" xmlns:pic="http://schemas.openxmlformats.org/drawingml/2006/picture">
            <wp:extent cx="5303520" cy="2667601"/>
            <wp:docPr id="9" name="Picture 9"/>
            <wp:cNvGraphicFramePr>
              <a:graphicFrameLocks noChangeAspect="1"/>
            </wp:cNvGraphicFramePr>
            <a:graphic>
              <a:graphicData uri="http://schemas.openxmlformats.org/drawingml/2006/picture">
                <pic:pic>
                  <pic:nvPicPr>
                    <pic:cNvPr id="0" name="monthly_assignment_coverage.png"/>
                    <pic:cNvPicPr/>
                  </pic:nvPicPr>
                  <pic:blipFill>
                    <a:blip r:embed="rId21"/>
                    <a:stretch>
                      <a:fillRect/>
                    </a:stretch>
                  </pic:blipFill>
                  <pic:spPr>
                    <a:xfrm>
                      <a:off x="0" y="0"/>
                      <a:ext cx="5303520" cy="2667601"/>
                    </a:xfrm>
                    <a:prstGeom prst="rect"/>
                  </pic:spPr>
                </pic:pic>
              </a:graphicData>
            </a:graphic>
          </wp:inline>
        </w:drawing>
      </w:r>
    </w:p>
    <w:p>
      <w:pPr>
        <w:spacing w:after="120"/>
      </w:pPr>
      <w:r>
        <w:rPr>
          <w:rFonts w:ascii="Calibri" w:hAnsi="Calibri"/>
          <w:b w:val="0"/>
          <w:i/>
          <w:color w:val="5D6B7A"/>
          <w:sz w:val="16"/>
        </w:rPr>
        <w:t>Figure 9. Assignment coverage varied from 33.1% to 44.0% by month. Outliers are a coverage limitation, not a substantive category.</w:t>
      </w:r>
    </w:p>
    <w:p>
      <w:r>
        <w:br w:type="page"/>
      </w:r>
    </w:p>
    <w:p>
      <w:pPr>
        <w:pStyle w:val="Heading2"/>
      </w:pPr>
      <w:r>
        <w:rPr>
          <w:rFonts w:ascii="Calibri" w:hAnsi="Calibri"/>
          <w:b/>
          <w:i w:val="0"/>
          <w:color w:val="17365D"/>
          <w:sz w:val="25"/>
        </w:rPr>
        <w:t>Robustness checks</w:t>
      </w:r>
    </w:p>
    <w:tbl>
      <w:tblPr>
        <w:tblW w:type="dxa" w:w="9360"/>
        <w:jc w:val="left"/>
        <w:tblLayout w:type="fixed"/>
        <w:tblLook w:firstColumn="1" w:firstRow="1" w:lastColumn="0" w:lastRow="0" w:noHBand="0" w:noVBand="1" w:val="04A0"/>
      </w:tblPr>
      <w:tblGrid>
        <w:gridCol w:w="2500"/>
        <w:gridCol w:w="6860"/>
      </w:tblGrid>
      <w:tr>
        <w:tc>
          <w:tcPr>
            <w:tcW w:type="dxa" w:w="2500"/>
            <w:tcMar>
              <w:top w:w="80" w:type="dxa"/>
              <w:start w:w="120" w:type="dxa"/>
              <w:bottom w:w="80" w:type="dxa"/>
              <w:end w:w="120" w:type="dxa"/>
            </w:tcMar>
            <w:vAlign w:val="center"/>
            <w:shd w:fill="E8EEF5"/>
          </w:tcPr>
          <w:p>
            <w:r>
              <w:rPr>
                <w:rFonts w:ascii="Calibri" w:hAnsi="Calibri"/>
                <w:b/>
                <w:i w:val="0"/>
                <w:color w:val="17365D"/>
                <w:sz w:val="18"/>
              </w:rPr>
              <w:t>Check</w:t>
            </w:r>
          </w:p>
        </w:tc>
        <w:tc>
          <w:tcPr>
            <w:tcW w:type="dxa" w:w="6860"/>
            <w:tcMar>
              <w:top w:w="80" w:type="dxa"/>
              <w:start w:w="120" w:type="dxa"/>
              <w:bottom w:w="80" w:type="dxa"/>
              <w:end w:w="120" w:type="dxa"/>
            </w:tcMar>
            <w:vAlign w:val="center"/>
            <w:shd w:fill="E8EEF5"/>
          </w:tcPr>
          <w:p>
            <w:r>
              <w:rPr>
                <w:rFonts w:ascii="Calibri" w:hAnsi="Calibri"/>
                <w:b/>
                <w:i w:val="0"/>
                <w:color w:val="17365D"/>
                <w:sz w:val="18"/>
              </w:rPr>
              <w:t>Result</w:t>
            </w:r>
          </w:p>
        </w:tc>
      </w:tr>
      <w:tr>
        <w:tc>
          <w:tcPr>
            <w:tcW w:type="dxa" w:w="2500"/>
          </w:tcPr>
          <w:p>
            <w:r>
              <w:rPr>
                <w:rFonts w:ascii="Calibri" w:hAnsi="Calibri"/>
                <w:b/>
                <w:i w:val="0"/>
                <w:color w:val="17365D"/>
                <w:sz w:val="17"/>
              </w:rPr>
              <w:t>Corpus audit</w:t>
            </w:r>
          </w:p>
        </w:tc>
        <w:tc>
          <w:tcPr>
            <w:tcW w:type="dxa" w:w="6860"/>
          </w:tcPr>
          <w:p>
            <w:r>
              <w:rPr>
                <w:rFonts w:ascii="Calibri" w:hAnsi="Calibri"/>
                <w:b w:val="0"/>
                <w:i w:val="0"/>
                <w:color w:val="1F2937"/>
                <w:sz w:val="17"/>
              </w:rPr>
              <w:t>Inputs contain 97,254 matching unique post IDs; the management-term filter re-matches 100% of retained posts.</w:t>
            </w:r>
          </w:p>
        </w:tc>
      </w:tr>
      <w:tr>
        <w:tc>
          <w:tcPr>
            <w:tcW w:type="dxa" w:w="2500"/>
            <w:shd w:fill="FAFBFC"/>
          </w:tcPr>
          <w:p>
            <w:r>
              <w:rPr>
                <w:rFonts w:ascii="Calibri" w:hAnsi="Calibri"/>
                <w:b/>
                <w:i w:val="0"/>
                <w:color w:val="17365D"/>
                <w:sz w:val="17"/>
              </w:rPr>
              <w:t>Seed stability</w:t>
            </w:r>
          </w:p>
        </w:tc>
        <w:tc>
          <w:tcPr>
            <w:tcW w:type="dxa" w:w="6860"/>
            <w:shd w:fill="FAFBFC"/>
          </w:tcPr>
          <w:p>
            <w:r>
              <w:rPr>
                <w:rFonts w:ascii="Calibri" w:hAnsi="Calibri"/>
                <w:b w:val="0"/>
                <w:i w:val="0"/>
                <w:color w:val="1F2937"/>
                <w:sz w:val="17"/>
              </w:rPr>
              <w:t>Across three UMAP seeds on the same 10,000-post stratified sample, joint-inlier ARI was 0.900 to 0.966.</w:t>
            </w:r>
          </w:p>
        </w:tc>
      </w:tr>
      <w:tr>
        <w:tc>
          <w:tcPr>
            <w:tcW w:type="dxa" w:w="2500"/>
          </w:tcPr>
          <w:p>
            <w:r>
              <w:rPr>
                <w:rFonts w:ascii="Calibri" w:hAnsi="Calibri"/>
                <w:b/>
                <w:i w:val="0"/>
                <w:color w:val="17365D"/>
                <w:sz w:val="17"/>
              </w:rPr>
              <w:t>Window alignment</w:t>
            </w:r>
          </w:p>
        </w:tc>
        <w:tc>
          <w:tcPr>
            <w:tcW w:type="dxa" w:w="6860"/>
          </w:tcPr>
          <w:p>
            <w:r>
              <w:rPr>
                <w:rFonts w:ascii="Calibri" w:hAnsi="Calibri"/>
                <w:b w:val="0"/>
                <w:i w:val="0"/>
                <w:color w:val="1F2937"/>
                <w:sz w:val="17"/>
              </w:rPr>
              <w:t>Conservative one-to-one term matching is supporting context, not proof of substantive persistence.</w:t>
            </w:r>
          </w:p>
        </w:tc>
      </w:tr>
      <w:tr>
        <w:tc>
          <w:tcPr>
            <w:tcW w:type="dxa" w:w="2500"/>
            <w:shd w:fill="FAFBFC"/>
          </w:tcPr>
          <w:p>
            <w:r>
              <w:rPr>
                <w:rFonts w:ascii="Calibri" w:hAnsi="Calibri"/>
                <w:b/>
                <w:i w:val="0"/>
                <w:color w:val="17365D"/>
                <w:sz w:val="17"/>
              </w:rPr>
              <w:t>Text sensitivity</w:t>
            </w:r>
          </w:p>
        </w:tc>
        <w:tc>
          <w:tcPr>
            <w:tcW w:type="dxa" w:w="6860"/>
            <w:shd w:fill="FAFBFC"/>
          </w:tcPr>
          <w:p>
            <w:r>
              <w:rPr>
                <w:rFonts w:ascii="Calibri" w:hAnsi="Calibri"/>
                <w:b w:val="0"/>
                <w:i w:val="0"/>
                <w:color w:val="1F2937"/>
                <w:sz w:val="17"/>
              </w:rPr>
              <w:t>Titles-only clustering was stable but materially different from title-plus-body; title-plus-body remains the primary representation.</w:t>
            </w:r>
          </w:p>
        </w:tc>
      </w:tr>
    </w:tbl>
    <w:p>
      <w:pPr>
        <w:spacing w:after="120"/>
      </w:pPr>
      <w:r>
        <w:rPr>
          <w:rFonts w:ascii="Calibri" w:hAnsi="Calibri"/>
          <w:b w:val="0"/>
          <w:i/>
          <w:color w:val="5D6B7A"/>
          <w:sz w:val="17"/>
        </w:rPr>
        <w:t>A larger all-mpnet-base-v2 encoder check was attempted but did not complete within the available CPU bound, so it is deferred and not treated as evidence.</w:t>
      </w:r>
    </w:p>
    <w:p>
      <w:pPr>
        <w:pStyle w:val="Heading2"/>
      </w:pPr>
      <w:r>
        <w:rPr>
          <w:rFonts w:ascii="Calibri" w:hAnsi="Calibri"/>
          <w:b/>
          <w:i w:val="0"/>
          <w:color w:val="17365D"/>
          <w:sz w:val="25"/>
        </w:rPr>
        <w:t>Interpreting the results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Observed patterns</w:t>
            </w:r>
          </w:p>
          <w:p>
            <w:r>
              <w:rPr>
                <w:rFonts w:ascii="Calibri" w:hAnsi="Calibri"/>
                <w:b w:val="0"/>
                <w:i w:val="0"/>
                <w:color w:val="1F2937"/>
                <w:sz w:val="18"/>
              </w:rPr>
              <w:t>Within the mapped themes, health, safety, and attendance discussion declined over the four windows, while scheduling, hours, and time-off discussion increased. Compensation, career precarity, and recruitment remained visible throughout.</w:t>
            </w:r>
          </w:p>
        </w:tc>
        <w:tc>
          <w:tcPr>
            <w:tcW w:type="dxa" w:w="4680"/>
            <w:tcMar>
              <w:top w:w="80" w:type="dxa"/>
              <w:start w:w="120" w:type="dxa"/>
              <w:bottom w:w="80" w:type="dxa"/>
              <w:end w:w="120" w:type="dxa"/>
            </w:tcMar>
            <w:vAlign w:val="center"/>
            <w:shd w:fill="FAFBFC"/>
          </w:tcPr>
          <w:p>
            <w:r>
              <w:rPr>
                <w:rFonts w:ascii="Calibri" w:hAnsi="Calibri"/>
                <w:b/>
                <w:i w:val="0"/>
                <w:color w:val="17365D"/>
                <w:sz w:val="19"/>
              </w:rPr>
              <w:t>What the results support</w:t>
            </w:r>
          </w:p>
          <w:p>
            <w:r>
              <w:rPr>
                <w:rFonts w:ascii="Calibri" w:hAnsi="Calibri"/>
                <w:b w:val="0"/>
                <w:i w:val="0"/>
                <w:color w:val="1F2937"/>
                <w:sz w:val="18"/>
              </w:rPr>
              <w:t>The topic patterns describe changes in the composition of management-related public discussion and identify domains for follow-up with representative employee data. They do not establish employee sentiment, turnover drivers, or policy effects.</w:t>
            </w:r>
          </w:p>
        </w:tc>
      </w:tr>
    </w:tbl>
    <w:p>
      <w:pPr>
        <w:pStyle w:val="Heading1"/>
      </w:pPr>
      <w:r>
        <w:rPr>
          <w:rFonts w:ascii="Calibri" w:hAnsi="Calibri"/>
          <w:b/>
          <w:i w:val="0"/>
          <w:color w:val="17365D"/>
          <w:sz w:val="30"/>
        </w:rPr>
        <w:t>Remaining work</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Available for drafting</w:t>
            </w:r>
          </w:p>
          <w:p>
            <w:r>
              <w:rPr>
                <w:rFonts w:ascii="Calibri" w:hAnsi="Calibri"/>
                <w:b w:val="0"/>
                <w:i w:val="0"/>
                <w:color w:val="1F2937"/>
                <w:sz w:val="18"/>
              </w:rPr>
              <w:t>Results, figures, a theme codebook, coverage diagnostics, seed stability, text-mode sensitivity, whole-corpus polarity estimates, and a defined interpretive scope are ready for the manuscript.</w:t>
            </w:r>
          </w:p>
        </w:tc>
        <w:tc>
          <w:tcPr>
            <w:tcW w:type="dxa" w:w="4680"/>
            <w:tcMar>
              <w:top w:w="80" w:type="dxa"/>
              <w:start w:w="120" w:type="dxa"/>
              <w:bottom w:w="80" w:type="dxa"/>
              <w:end w:w="120" w:type="dxa"/>
            </w:tcMar>
            <w:vAlign w:val="center"/>
            <w:shd w:fill="FAFBFC"/>
          </w:tcPr>
          <w:p>
            <w:r>
              <w:rPr>
                <w:rFonts w:ascii="Calibri" w:hAnsi="Calibri"/>
                <w:b/>
                <w:i w:val="0"/>
                <w:color w:val="17365D"/>
                <w:sz w:val="19"/>
              </w:rPr>
              <w:t>Future validation</w:t>
            </w:r>
          </w:p>
          <w:p>
            <w:r>
              <w:rPr>
                <w:rFonts w:ascii="Calibri" w:hAnsi="Calibri"/>
                <w:b w:val="0"/>
                <w:i w:val="0"/>
                <w:color w:val="1F2937"/>
                <w:sz w:val="18"/>
              </w:rPr>
              <w:t>The planned human-validation study below would test construct validity beyond the current exploratory evidence. It has not been conducted and is not a basis for any current result.</w:t>
            </w:r>
          </w:p>
        </w:tc>
      </w:tr>
    </w:tbl>
    <w:p>
      <w:pPr>
        <w:pStyle w:val="Heading2"/>
      </w:pPr>
      <w:r>
        <w:rPr>
          <w:rFonts w:ascii="Calibri" w:hAnsi="Calibri"/>
          <w:b/>
          <w:i w:val="0"/>
          <w:color w:val="17365D"/>
          <w:sz w:val="25"/>
        </w:rPr>
        <w:t>Planned hybrid human-validation study</w:t>
      </w:r>
    </w:p>
    <w:p>
      <w:pPr>
        <w:spacing w:after="80"/>
      </w:pPr>
      <w:r>
        <w:rPr>
          <w:rFonts w:ascii="Calibri" w:hAnsi="Calibri"/>
          <w:b w:val="0"/>
          <w:i w:val="0"/>
          <w:color w:val="1F2937"/>
          <w:sz w:val="18"/>
        </w:rPr>
        <w:t>The strongest next step is a two-stage hybrid validation study, not a single preset-topic yes-or-no check. The design separates discovery of human-meaningful concepts from direct evaluation of the frozen BERTopic theme map, while keeping coders blinded to model assignments during primary coding.</w:t>
      </w:r>
    </w:p>
    <w:p>
      <w:pPr>
        <w:spacing w:after="60"/>
      </w:pPr>
      <w:r>
        <w:rPr>
          <w:rFonts w:ascii="Calibri" w:hAnsi="Calibri"/>
          <w:b w:val="0"/>
          <w:i w:val="0"/>
          <w:color w:val="1F2937"/>
          <w:sz w:val="17"/>
        </w:rPr>
        <w:t>1. Blinded inductive coding. Draw a stratified exploratory subsample across the major reviewed themes, HDBSCAN outliers or general posts, and the four rolling years. Two trained coders independently identify the dominant concern in each post without being shown the model topic or candidate theme. Approximately 30 to 50 posts per major theme, plus outlier and general-post strata, is a practical starting range; the final sample size should be set prospectively based on feasible coding capacity.</w:t>
      </w:r>
    </w:p>
    <w:p>
      <w:pPr>
        <w:spacing w:after="60"/>
      </w:pPr>
      <w:r>
        <w:rPr>
          <w:rFonts w:ascii="Calibri" w:hAnsi="Calibri"/>
          <w:b w:val="0"/>
          <w:i w:val="0"/>
          <w:color w:val="1F2937"/>
          <w:sz w:val="17"/>
        </w:rPr>
        <w:t>2. Freeze a human-readable codebook. Use the first sample to document missing concepts, merged concepts, inclusion and exclusion rules, and examples. Freeze the nine-theme codebook before drawing a fresh, independent validation sample. Validate the nine top-level themes before attempting the more granular 27-cluster subtheme map.</w:t>
      </w:r>
    </w:p>
    <w:p>
      <w:pPr>
        <w:spacing w:after="60"/>
      </w:pPr>
      <w:r>
        <w:rPr>
          <w:rFonts w:ascii="Calibri" w:hAnsi="Calibri"/>
          <w:b w:val="0"/>
          <w:i w:val="0"/>
          <w:color w:val="1F2937"/>
          <w:sz w:val="17"/>
        </w:rPr>
        <w:t>3. Independently validate the model map. On the fresh sample, coders apply the frozen codebook while still blinded to BERTopic assignments. Report raw agreement and Krippendorff's alpha before adjudication. Then compare adjudicated human codes with the BERTopic map using per-theme precision, recall, F1, confusion matrices, and coverage of outlier or other posts.</w:t>
      </w:r>
    </w:p>
    <w:p>
      <w:pPr>
        <w:spacing w:after="100"/>
      </w:pPr>
      <w:r>
        <w:rPr>
          <w:rFonts w:ascii="Calibri" w:hAnsi="Calibri"/>
          <w:b w:val="0"/>
          <w:i w:val="0"/>
          <w:color w:val="1F2937"/>
          <w:sz w:val="17"/>
        </w:rPr>
        <w:t>4. Use preset fit ratings only as a secondary audit. After independent coding is complete, representative posts and random nonmatching controls may be rated for how well a displayed model label fits. This can assess coherence and interpretability, but it should not replace blind coding because showing the proposed theme first can anchor raters.</w:t>
      </w:r>
    </w:p>
    <w:p>
      <w:pPr>
        <w:pStyle w:val="Heading2"/>
      </w:pPr>
      <w:r>
        <w:rPr>
          <w:rFonts w:ascii="Calibri" w:hAnsi="Calibri"/>
          <w:b/>
          <w:i w:val="0"/>
          <w:color w:val="17365D"/>
          <w:sz w:val="25"/>
        </w:rPr>
        <w:t>Manuscript revision status</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Sections revised</w:t>
            </w:r>
          </w:p>
          <w:p>
            <w:r>
              <w:rPr>
                <w:rFonts w:ascii="Calibri" w:hAnsi="Calibri"/>
                <w:b w:val="0"/>
                <w:i w:val="0"/>
                <w:color w:val="1F2937"/>
                <w:sz w:val="18"/>
              </w:rPr>
              <w:t>The revised manuscript includes the title and abstract; current-study framing and research question; Methods, Results, Discussion, implications, limitations; figures; primary BERTopic references; and the collection-to-filtering count of 577,190 retrieved archive records followed by 97,254 analyzed posts.</w:t>
            </w:r>
          </w:p>
        </w:tc>
        <w:tc>
          <w:tcPr>
            <w:tcW w:type="dxa" w:w="4680"/>
            <w:tcMar>
              <w:top w:w="80" w:type="dxa"/>
              <w:start w:w="120" w:type="dxa"/>
              <w:bottom w:w="80" w:type="dxa"/>
              <w:end w:w="120" w:type="dxa"/>
            </w:tcMar>
            <w:vAlign w:val="center"/>
            <w:shd w:fill="FAFBFC"/>
          </w:tcPr>
          <w:p>
            <w:r>
              <w:rPr>
                <w:rFonts w:ascii="Calibri" w:hAnsi="Calibri"/>
                <w:b/>
                <w:i w:val="0"/>
                <w:color w:val="17365D"/>
                <w:sz w:val="19"/>
              </w:rPr>
              <w:t>Before circulation</w:t>
            </w:r>
          </w:p>
          <w:p>
            <w:r>
              <w:rPr>
                <w:rFonts w:ascii="Calibri" w:hAnsi="Calibri"/>
                <w:b w:val="0"/>
                <w:i w:val="0"/>
                <w:color w:val="1F2937"/>
                <w:sz w:val="18"/>
              </w:rPr>
              <w:t>Add the completed polarity method and its bounded exploratory results to the manuscript, then harmonize retained Background language with the paper's descriptive scope. Historical theory and prior turnover findings should remain context, not claims tested by this study.</w:t>
            </w:r>
          </w:p>
        </w:tc>
      </w:tr>
    </w:tbl>
    <w:p>
      <w:pPr>
        <w:pStyle w:val="Heading2"/>
      </w:pPr>
      <w:r>
        <w:rPr>
          <w:rFonts w:ascii="Calibri" w:hAnsi="Calibri"/>
          <w:b/>
          <w:i w:val="0"/>
          <w:color w:val="17365D"/>
          <w:sz w:val="25"/>
        </w:rPr>
        <w:t>Sampling-frame framing</w:t>
      </w:r>
    </w:p>
    <w:tbl>
      <w:tblPr>
        <w:tblW w:type="dxa" w:w="9360"/>
        <w:jc w:val="left"/>
        <w:tblLayout w:type="fixed"/>
        <w:tblLook w:firstColumn="1" w:firstRow="1" w:lastColumn="0" w:lastRow="0" w:noHBand="0" w:noVBand="1" w:val="04A0"/>
      </w:tblPr>
      <w:tblGrid>
        <w:gridCol w:w="4680"/>
        <w:gridCol w:w="4680"/>
      </w:tblGrid>
      <w:tr>
        <w:tc>
          <w:tcPr>
            <w:tcW w:type="dxa" w:w="4680"/>
            <w:tcMar>
              <w:top w:w="80" w:type="dxa"/>
              <w:start w:w="120" w:type="dxa"/>
              <w:bottom w:w="80" w:type="dxa"/>
              <w:end w:w="120" w:type="dxa"/>
            </w:tcMar>
            <w:vAlign w:val="center"/>
            <w:shd w:fill="FAFBFC"/>
          </w:tcPr>
          <w:p>
            <w:r>
              <w:rPr>
                <w:rFonts w:ascii="Calibri" w:hAnsi="Calibri"/>
                <w:b/>
                <w:i w:val="0"/>
                <w:color w:val="17365D"/>
                <w:sz w:val="19"/>
              </w:rPr>
              <w:t>Intended analytic focus</w:t>
            </w:r>
          </w:p>
          <w:p>
            <w:r>
              <w:rPr>
                <w:rFonts w:ascii="Calibri" w:hAnsi="Calibri"/>
                <w:b w:val="0"/>
                <w:i w:val="0"/>
                <w:color w:val="1F2937"/>
                <w:sz w:val="18"/>
              </w:rPr>
              <w:t>The management-term filter intentionally concentrates a problem-oriented, likely negatively skewed subset of r/antiwork discussion. The purpose was to surface recurring management concerns that may warrant follow-up.</w:t>
            </w:r>
          </w:p>
        </w:tc>
        <w:tc>
          <w:tcPr>
            <w:tcW w:type="dxa" w:w="4680"/>
            <w:tcMar>
              <w:top w:w="80" w:type="dxa"/>
              <w:start w:w="120" w:type="dxa"/>
              <w:bottom w:w="80" w:type="dxa"/>
              <w:end w:w="120" w:type="dxa"/>
            </w:tcMar>
            <w:vAlign w:val="center"/>
            <w:shd w:fill="FAFBFC"/>
          </w:tcPr>
          <w:p>
            <w:r>
              <w:rPr>
                <w:rFonts w:ascii="Calibri" w:hAnsi="Calibri"/>
                <w:b/>
                <w:i w:val="0"/>
                <w:color w:val="17365D"/>
                <w:sz w:val="19"/>
              </w:rPr>
              <w:t>Boundary for the manuscript</w:t>
            </w:r>
          </w:p>
          <w:p>
            <w:r>
              <w:rPr>
                <w:rFonts w:ascii="Calibri" w:hAnsi="Calibri"/>
                <w:b w:val="0"/>
                <w:i w:val="0"/>
                <w:color w:val="1F2937"/>
                <w:sz w:val="18"/>
              </w:rPr>
              <w:t>Do not present the results as average employee sentiment or a standalone priority ranking. Frame the themes as candidate areas to examine alongside representative evidence and organizational context.</w:t>
            </w:r>
          </w:p>
        </w:tc>
      </w:tr>
    </w:tbl>
    <w:p>
      <w:pPr>
        <w:pStyle w:val="Heading2"/>
      </w:pPr>
      <w:r>
        <w:rPr>
          <w:rFonts w:ascii="Calibri" w:hAnsi="Calibri"/>
          <w:b/>
          <w:i w:val="0"/>
          <w:color w:val="17365D"/>
          <w:sz w:val="25"/>
        </w:rPr>
        <w:t>Materials for drafting</w:t>
      </w:r>
    </w:p>
    <w:p>
      <w:pPr>
        <w:spacing w:after="80"/>
      </w:pPr>
      <w:r>
        <w:rPr>
          <w:rFonts w:ascii="Calibri" w:hAnsi="Calibri"/>
          <w:b w:val="0"/>
          <w:i w:val="0"/>
          <w:color w:val="1F2937"/>
          <w:sz w:val="18"/>
        </w:rPr>
        <w:t>Draft in this order: collection and sampling frame; coverage, theme-prevalence, and model-based polarity results; limitations; then an exploratory discussion. Use the documented theme map and avoid causal, full-conversation, or human-validated sentiment claims.</w:t>
      </w:r>
    </w:p>
    <w:p>
      <w:pPr>
        <w:spacing w:after="80"/>
      </w:pPr>
      <w:r>
        <w:rPr>
          <w:rFonts w:ascii="Calibri" w:hAnsi="Calibri"/>
          <w:b w:val="0"/>
          <w:i w:val="0"/>
          <w:color w:val="1F2937"/>
          <w:sz w:val="18"/>
        </w:rPr>
        <w:t xml:space="preserve">Reproducible code and shareable evidence: </w:t>
      </w:r>
      <w:hyperlink r:id="rId22">
        <w:r>
          <w:rPr>
            <w:color w:val="2E74B5"/>
            <w:u w:val="single"/>
          </w:rPr>
          <w:t>https://github.com/tristowww/antiwork-topic-modeling</w:t>
        </w:r>
      </w:hyperlink>
    </w:p>
    <w:p>
      <w:pPr>
        <w:spacing w:after="60"/>
      </w:pPr>
      <w:r>
        <w:rPr>
          <w:rFonts w:ascii="Calibri" w:hAnsi="Calibri"/>
          <w:b w:val="0"/>
          <w:i w:val="0"/>
          <w:color w:val="5D6B7A"/>
          <w:sz w:val="16"/>
        </w:rPr>
        <w:t>Method records: planning/SCRAPING.md, planning/PREPROCESSING.md, planning/WRITING_HANDOFF.md, planning/ROBUSTNESS.md, and planning/CANDIDATE_THEME_CODEBOOK.csv.</w:t>
      </w:r>
    </w:p>
    <w:p>
      <w:pPr>
        <w:spacing w:after="120"/>
      </w:pPr>
      <w:r>
        <w:rPr>
          <w:rFonts w:ascii="Calibri" w:hAnsi="Calibri"/>
          <w:b/>
          <w:i w:val="0"/>
          <w:color w:val="17365D"/>
          <w:sz w:val="18"/>
        </w:rPr>
        <w:t>Current status: the topic-modeling and full-corpus polarity analyses are complete. The manuscript is revised as a descriptive, exploratory topic-prevalence study and needs the completed polarity method and results incorporated before circulation.</w:t>
      </w:r>
    </w:p>
    <w:p>
      <w:pPr>
        <w:pStyle w:val="Heading1"/>
      </w:pPr>
      <w:r>
        <w:rPr>
          <w:rFonts w:ascii="Calibri" w:hAnsi="Calibri"/>
          <w:b/>
          <w:i w:val="0"/>
          <w:color w:val="17365D"/>
          <w:sz w:val="30"/>
        </w:rPr>
        <w:t>Appendix: Reviewed cluster map</w:t>
      </w:r>
    </w:p>
    <w:p>
      <w:pPr>
        <w:spacing w:after="120"/>
      </w:pPr>
      <w:r>
        <w:rPr>
          <w:rFonts w:ascii="Calibri" w:hAnsi="Calibri"/>
          <w:b w:val="0"/>
          <w:i w:val="0"/>
          <w:color w:val="1F2937"/>
          <w:sz w:val="18"/>
        </w:rPr>
        <w:t>The table below makes the review trail visible. It lists all 30 largest clusters examined for the candidate-theme map, their full-corpus size (n), representative terms, assigned candidate theme and subtheme, and inclusion decision.</w:t>
      </w:r>
    </w:p>
    <w:p>
      <w:pPr>
        <w:pStyle w:val="Heading2"/>
      </w:pPr>
      <w:r>
        <w:rPr>
          <w:rFonts w:ascii="Calibri" w:hAnsi="Calibri"/>
          <w:b/>
          <w:i w:val="0"/>
          <w:color w:val="17365D"/>
          <w:sz w:val="25"/>
        </w:rPr>
        <w:t>Reviewed clusters 1-15</w:t>
      </w:r>
    </w:p>
    <w:tbl>
      <w:tblPr>
        <w:tblW w:type="dxa" w:w="9360"/>
        <w:jc w:val="left"/>
        <w:tblLayout w:type="fixed"/>
        <w:tblLook w:firstColumn="1" w:firstRow="1" w:lastColumn="0" w:lastRow="0" w:noHBand="0" w:noVBand="1" w:val="04A0"/>
      </w:tblPr>
      <w:tblGrid>
        <w:gridCol w:w="620"/>
        <w:gridCol w:w="620"/>
        <w:gridCol w:w="2050"/>
        <w:gridCol w:w="4500"/>
        <w:gridCol w:w="1570"/>
      </w:tblGrid>
      <w:tr>
        <w:tc>
          <w:tcPr>
            <w:tcW w:type="dxa" w:w="620"/>
            <w:tcMar>
              <w:top w:w="80" w:type="dxa"/>
              <w:start w:w="120" w:type="dxa"/>
              <w:bottom w:w="80" w:type="dxa"/>
              <w:end w:w="120" w:type="dxa"/>
            </w:tcMar>
            <w:vAlign w:val="center"/>
            <w:shd w:fill="E8EEF5"/>
          </w:tcPr>
          <w:p>
            <w:r>
              <w:rPr>
                <w:rFonts w:ascii="Calibri" w:hAnsi="Calibri"/>
                <w:b/>
                <w:i w:val="0"/>
                <w:color w:val="17365D"/>
                <w:sz w:val="16"/>
              </w:rPr>
              <w:t>ID</w:t>
            </w:r>
          </w:p>
        </w:tc>
        <w:tc>
          <w:tcPr>
            <w:tcW w:type="dxa" w:w="620"/>
            <w:tcMar>
              <w:top w:w="80" w:type="dxa"/>
              <w:start w:w="120" w:type="dxa"/>
              <w:bottom w:w="80" w:type="dxa"/>
              <w:end w:w="120" w:type="dxa"/>
            </w:tcMar>
            <w:vAlign w:val="center"/>
            <w:shd w:fill="E8EEF5"/>
          </w:tcPr>
          <w:p>
            <w:r>
              <w:rPr>
                <w:rFonts w:ascii="Calibri" w:hAnsi="Calibri"/>
                <w:b/>
                <w:i w:val="0"/>
                <w:color w:val="17365D"/>
                <w:sz w:val="16"/>
              </w:rPr>
              <w:t>n</w:t>
            </w:r>
          </w:p>
        </w:tc>
        <w:tc>
          <w:tcPr>
            <w:tcW w:type="dxa" w:w="2050"/>
            <w:tcMar>
              <w:top w:w="80" w:type="dxa"/>
              <w:start w:w="120" w:type="dxa"/>
              <w:bottom w:w="80" w:type="dxa"/>
              <w:end w:w="120" w:type="dxa"/>
            </w:tcMar>
            <w:vAlign w:val="center"/>
            <w:shd w:fill="E8EEF5"/>
          </w:tcPr>
          <w:p>
            <w:r>
              <w:rPr>
                <w:rFonts w:ascii="Calibri" w:hAnsi="Calibri"/>
                <w:b/>
                <w:i w:val="0"/>
                <w:color w:val="17365D"/>
                <w:sz w:val="16"/>
              </w:rPr>
              <w:t>Representative terms</w:t>
            </w:r>
          </w:p>
        </w:tc>
        <w:tc>
          <w:tcPr>
            <w:tcW w:type="dxa" w:w="4500"/>
            <w:tcMar>
              <w:top w:w="80" w:type="dxa"/>
              <w:start w:w="120" w:type="dxa"/>
              <w:bottom w:w="80" w:type="dxa"/>
              <w:end w:w="120" w:type="dxa"/>
            </w:tcMar>
            <w:vAlign w:val="center"/>
            <w:shd w:fill="E8EEF5"/>
          </w:tcPr>
          <w:p>
            <w:r>
              <w:rPr>
                <w:rFonts w:ascii="Calibri" w:hAnsi="Calibri"/>
                <w:b/>
                <w:i w:val="0"/>
                <w:color w:val="17365D"/>
                <w:sz w:val="16"/>
              </w:rPr>
              <w:t>Candidate theme and subtheme</w:t>
            </w:r>
          </w:p>
        </w:tc>
        <w:tc>
          <w:tcPr>
            <w:tcW w:type="dxa" w:w="1570"/>
            <w:tcMar>
              <w:top w:w="80" w:type="dxa"/>
              <w:start w:w="120" w:type="dxa"/>
              <w:bottom w:w="80" w:type="dxa"/>
              <w:end w:w="120" w:type="dxa"/>
            </w:tcMar>
            <w:vAlign w:val="center"/>
            <w:shd w:fill="E8EEF5"/>
          </w:tcPr>
          <w:p>
            <w:r>
              <w:rPr>
                <w:rFonts w:ascii="Calibri" w:hAnsi="Calibri"/>
                <w:b/>
                <w:i w:val="0"/>
                <w:color w:val="17365D"/>
                <w:sz w:val="16"/>
              </w:rPr>
              <w:t>Decision</w:t>
            </w:r>
          </w:p>
        </w:tc>
      </w:tr>
      <w:tr>
        <w:tc>
          <w:tcPr>
            <w:tcW w:type="dxa" w:w="620"/>
          </w:tcPr>
          <w:p>
            <w:r>
              <w:rPr>
                <w:rFonts w:ascii="Calibri" w:hAnsi="Calibri"/>
                <w:b/>
                <w:i w:val="0"/>
                <w:color w:val="1F2937"/>
                <w:sz w:val="15"/>
              </w:rPr>
              <w:t>0</w:t>
            </w:r>
          </w:p>
        </w:tc>
        <w:tc>
          <w:tcPr>
            <w:tcW w:type="dxa" w:w="620"/>
          </w:tcPr>
          <w:p>
            <w:r>
              <w:rPr>
                <w:rFonts w:ascii="Calibri" w:hAnsi="Calibri"/>
                <w:b/>
                <w:i w:val="0"/>
                <w:color w:val="1F2937"/>
                <w:sz w:val="15"/>
              </w:rPr>
              <w:t>2,170</w:t>
            </w:r>
          </w:p>
        </w:tc>
        <w:tc>
          <w:tcPr>
            <w:tcW w:type="dxa" w:w="2050"/>
          </w:tcPr>
          <w:p>
            <w:r>
              <w:rPr>
                <w:rFonts w:ascii="Calibri" w:hAnsi="Calibri"/>
                <w:b w:val="0"/>
                <w:i w:val="0"/>
                <w:color w:val="1F2937"/>
                <w:sz w:val="15"/>
              </w:rPr>
              <w:t>interview hiring interviews recruiter applied resume</w:t>
            </w:r>
          </w:p>
        </w:tc>
        <w:tc>
          <w:tcPr>
            <w:tcW w:type="dxa" w:w="4500"/>
            <w:shd w:fill="E2F0D9"/>
          </w:tcPr>
          <w:p>
            <w:r>
              <w:rPr>
                <w:rFonts w:ascii="Calibri" w:hAnsi="Calibri"/>
                <w:b w:val="0"/>
                <w:i w:val="0"/>
                <w:color w:val="1F2937"/>
                <w:sz w:val="15"/>
              </w:rPr>
              <w:t>Recruitment and labor market</w:t>
              <w:br/>
              <w:t>Hiring and interviews</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1</w:t>
            </w:r>
          </w:p>
        </w:tc>
        <w:tc>
          <w:tcPr>
            <w:tcW w:type="dxa" w:w="620"/>
            <w:shd w:fill="FAFBFC"/>
          </w:tcPr>
          <w:p>
            <w:r>
              <w:rPr>
                <w:rFonts w:ascii="Calibri" w:hAnsi="Calibri"/>
                <w:b/>
                <w:i w:val="0"/>
                <w:color w:val="1F2937"/>
                <w:sz w:val="15"/>
              </w:rPr>
              <w:t>2,078</w:t>
            </w:r>
          </w:p>
        </w:tc>
        <w:tc>
          <w:tcPr>
            <w:tcW w:type="dxa" w:w="2050"/>
            <w:shd w:fill="FAFBFC"/>
          </w:tcPr>
          <w:p>
            <w:r>
              <w:rPr>
                <w:rFonts w:ascii="Calibri" w:hAnsi="Calibri"/>
                <w:b w:val="0"/>
                <w:i w:val="0"/>
                <w:color w:val="1F2937"/>
                <w:sz w:val="15"/>
              </w:rPr>
              <w:t>bad good hate conversation like worst</w:t>
            </w:r>
          </w:p>
        </w:tc>
        <w:tc>
          <w:tcPr>
            <w:tcW w:type="dxa" w:w="4500"/>
            <w:shd w:fill="F2F4F7"/>
          </w:tcPr>
          <w:p>
            <w:r>
              <w:rPr>
                <w:rFonts w:ascii="Calibri" w:hAnsi="Calibri"/>
                <w:b w:val="0"/>
                <w:i w:val="0"/>
                <w:color w:val="1F2937"/>
                <w:sz w:val="15"/>
              </w:rPr>
              <w:t>Other</w:t>
              <w:br/>
              <w:t>Generic/deleted manager posts</w:t>
            </w:r>
          </w:p>
        </w:tc>
        <w:tc>
          <w:tcPr>
            <w:tcW w:type="dxa" w:w="1570"/>
            <w:shd w:fill="FAFBFC"/>
          </w:tcPr>
          <w:p>
            <w:r>
              <w:rPr>
                <w:rFonts w:ascii="Calibri" w:hAnsi="Calibri"/>
                <w:b w:val="0"/>
                <w:i w:val="0"/>
                <w:color w:val="1F2937"/>
                <w:sz w:val="15"/>
              </w:rPr>
              <w:t>Exclude</w:t>
              <w:br/>
              <w:t>high confidence</w:t>
            </w:r>
          </w:p>
        </w:tc>
      </w:tr>
      <w:tr>
        <w:tc>
          <w:tcPr>
            <w:tcW w:type="dxa" w:w="620"/>
          </w:tcPr>
          <w:p>
            <w:r>
              <w:rPr>
                <w:rFonts w:ascii="Calibri" w:hAnsi="Calibri"/>
                <w:b/>
                <w:i w:val="0"/>
                <w:color w:val="1F2937"/>
                <w:sz w:val="15"/>
              </w:rPr>
              <w:t>2</w:t>
            </w:r>
          </w:p>
        </w:tc>
        <w:tc>
          <w:tcPr>
            <w:tcW w:type="dxa" w:w="620"/>
          </w:tcPr>
          <w:p>
            <w:r>
              <w:rPr>
                <w:rFonts w:ascii="Calibri" w:hAnsi="Calibri"/>
                <w:b/>
                <w:i w:val="0"/>
                <w:color w:val="1F2937"/>
                <w:sz w:val="15"/>
              </w:rPr>
              <w:t>1,737</w:t>
            </w:r>
          </w:p>
        </w:tc>
        <w:tc>
          <w:tcPr>
            <w:tcW w:type="dxa" w:w="2050"/>
          </w:tcPr>
          <w:p>
            <w:r>
              <w:rPr>
                <w:rFonts w:ascii="Calibri" w:hAnsi="Calibri"/>
                <w:b w:val="0"/>
                <w:i w:val="0"/>
                <w:color w:val="1F2937"/>
                <w:sz w:val="15"/>
              </w:rPr>
              <w:t>raise raises increase salary inflation pay</w:t>
            </w:r>
          </w:p>
        </w:tc>
        <w:tc>
          <w:tcPr>
            <w:tcW w:type="dxa" w:w="4500"/>
            <w:shd w:fill="E2F0D9"/>
          </w:tcPr>
          <w:p>
            <w:r>
              <w:rPr>
                <w:rFonts w:ascii="Calibri" w:hAnsi="Calibri"/>
                <w:b w:val="0"/>
                <w:i w:val="0"/>
                <w:color w:val="1F2937"/>
                <w:sz w:val="15"/>
              </w:rPr>
              <w:t>Compensation and pay rights</w:t>
              <w:br/>
              <w:t>Raises and salary</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3</w:t>
            </w:r>
          </w:p>
        </w:tc>
        <w:tc>
          <w:tcPr>
            <w:tcW w:type="dxa" w:w="620"/>
            <w:shd w:fill="FAFBFC"/>
          </w:tcPr>
          <w:p>
            <w:r>
              <w:rPr>
                <w:rFonts w:ascii="Calibri" w:hAnsi="Calibri"/>
                <w:b/>
                <w:i w:val="0"/>
                <w:color w:val="1F2937"/>
                <w:sz w:val="15"/>
              </w:rPr>
              <w:t>1,477</w:t>
            </w:r>
          </w:p>
        </w:tc>
        <w:tc>
          <w:tcPr>
            <w:tcW w:type="dxa" w:w="2050"/>
            <w:shd w:fill="FAFBFC"/>
          </w:tcPr>
          <w:p>
            <w:r>
              <w:rPr>
                <w:rFonts w:ascii="Calibri" w:hAnsi="Calibri"/>
                <w:b w:val="0"/>
                <w:i w:val="0"/>
                <w:color w:val="1F2937"/>
                <w:sz w:val="15"/>
              </w:rPr>
              <w:t>rehearsal good team bad employees people</w:t>
            </w:r>
          </w:p>
        </w:tc>
        <w:tc>
          <w:tcPr>
            <w:tcW w:type="dxa" w:w="4500"/>
            <w:shd w:fill="F2F4F7"/>
          </w:tcPr>
          <w:p>
            <w:r>
              <w:rPr>
                <w:rFonts w:ascii="Calibri" w:hAnsi="Calibri"/>
                <w:b w:val="0"/>
                <w:i w:val="0"/>
                <w:color w:val="1F2937"/>
                <w:sz w:val="15"/>
              </w:rPr>
              <w:t>Other</w:t>
              <w:br/>
              <w:t>Generic manager-role discussion</w:t>
            </w:r>
          </w:p>
        </w:tc>
        <w:tc>
          <w:tcPr>
            <w:tcW w:type="dxa" w:w="1570"/>
            <w:shd w:fill="FAFBFC"/>
          </w:tcPr>
          <w:p>
            <w:r>
              <w:rPr>
                <w:rFonts w:ascii="Calibri" w:hAnsi="Calibri"/>
                <w:b w:val="0"/>
                <w:i w:val="0"/>
                <w:color w:val="1F2937"/>
                <w:sz w:val="15"/>
              </w:rPr>
              <w:t>Exclude</w:t>
              <w:br/>
              <w:t>medium confidence</w:t>
            </w:r>
          </w:p>
        </w:tc>
      </w:tr>
      <w:tr>
        <w:tc>
          <w:tcPr>
            <w:tcW w:type="dxa" w:w="620"/>
          </w:tcPr>
          <w:p>
            <w:r>
              <w:rPr>
                <w:rFonts w:ascii="Calibri" w:hAnsi="Calibri"/>
                <w:b/>
                <w:i w:val="0"/>
                <w:color w:val="1F2937"/>
                <w:sz w:val="15"/>
              </w:rPr>
              <w:t>4</w:t>
            </w:r>
          </w:p>
        </w:tc>
        <w:tc>
          <w:tcPr>
            <w:tcW w:type="dxa" w:w="620"/>
          </w:tcPr>
          <w:p>
            <w:r>
              <w:rPr>
                <w:rFonts w:ascii="Calibri" w:hAnsi="Calibri"/>
                <w:b/>
                <w:i w:val="0"/>
                <w:color w:val="1F2937"/>
                <w:sz w:val="15"/>
              </w:rPr>
              <w:t>1,329</w:t>
            </w:r>
          </w:p>
        </w:tc>
        <w:tc>
          <w:tcPr>
            <w:tcW w:type="dxa" w:w="2050"/>
          </w:tcPr>
          <w:p>
            <w:r>
              <w:rPr>
                <w:rFonts w:ascii="Calibri" w:hAnsi="Calibri"/>
                <w:b w:val="0"/>
                <w:i w:val="0"/>
                <w:color w:val="1F2937"/>
                <w:sz w:val="15"/>
              </w:rPr>
              <w:t>covid positive tested test sick symptoms</w:t>
            </w:r>
          </w:p>
        </w:tc>
        <w:tc>
          <w:tcPr>
            <w:tcW w:type="dxa" w:w="4500"/>
            <w:shd w:fill="E2F0D9"/>
          </w:tcPr>
          <w:p>
            <w:r>
              <w:rPr>
                <w:rFonts w:ascii="Calibri" w:hAnsi="Calibri"/>
                <w:b w:val="0"/>
                <w:i w:val="0"/>
                <w:color w:val="1F2937"/>
                <w:sz w:val="15"/>
              </w:rPr>
              <w:t>Health safety and attendance</w:t>
              <w:br/>
              <w:t>COVID and workplace illness</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5</w:t>
            </w:r>
          </w:p>
        </w:tc>
        <w:tc>
          <w:tcPr>
            <w:tcW w:type="dxa" w:w="620"/>
            <w:shd w:fill="FAFBFC"/>
          </w:tcPr>
          <w:p>
            <w:r>
              <w:rPr>
                <w:rFonts w:ascii="Calibri" w:hAnsi="Calibri"/>
                <w:b/>
                <w:i w:val="0"/>
                <w:color w:val="1F2937"/>
                <w:sz w:val="15"/>
              </w:rPr>
              <w:t>1,130</w:t>
            </w:r>
          </w:p>
        </w:tc>
        <w:tc>
          <w:tcPr>
            <w:tcW w:type="dxa" w:w="2050"/>
            <w:shd w:fill="FAFBFC"/>
          </w:tcPr>
          <w:p>
            <w:r>
              <w:rPr>
                <w:rFonts w:ascii="Calibri" w:hAnsi="Calibri"/>
                <w:b w:val="0"/>
                <w:i w:val="0"/>
                <w:color w:val="1F2937"/>
                <w:sz w:val="15"/>
              </w:rPr>
              <w:t>check paycheck paid pay deposit payroll</w:t>
            </w:r>
          </w:p>
        </w:tc>
        <w:tc>
          <w:tcPr>
            <w:tcW w:type="dxa" w:w="4500"/>
            <w:shd w:fill="E2F0D9"/>
          </w:tcPr>
          <w:p>
            <w:r>
              <w:rPr>
                <w:rFonts w:ascii="Calibri" w:hAnsi="Calibri"/>
                <w:b w:val="0"/>
                <w:i w:val="0"/>
                <w:color w:val="1F2937"/>
                <w:sz w:val="15"/>
              </w:rPr>
              <w:t>Compensation and pay rights</w:t>
              <w:br/>
              <w:t>Payroll and withheld wages</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6</w:t>
            </w:r>
          </w:p>
        </w:tc>
        <w:tc>
          <w:tcPr>
            <w:tcW w:type="dxa" w:w="620"/>
          </w:tcPr>
          <w:p>
            <w:r>
              <w:rPr>
                <w:rFonts w:ascii="Calibri" w:hAnsi="Calibri"/>
                <w:b/>
                <w:i w:val="0"/>
                <w:color w:val="1F2937"/>
                <w:sz w:val="15"/>
              </w:rPr>
              <w:t>963</w:t>
            </w:r>
          </w:p>
        </w:tc>
        <w:tc>
          <w:tcPr>
            <w:tcW w:type="dxa" w:w="2050"/>
          </w:tcPr>
          <w:p>
            <w:r>
              <w:rPr>
                <w:rFonts w:ascii="Calibri" w:hAnsi="Calibri"/>
                <w:b w:val="0"/>
                <w:i w:val="0"/>
                <w:color w:val="1F2937"/>
                <w:sz w:val="15"/>
              </w:rPr>
              <w:t>remote office home hybrid wfh remotely</w:t>
            </w:r>
          </w:p>
        </w:tc>
        <w:tc>
          <w:tcPr>
            <w:tcW w:type="dxa" w:w="4500"/>
            <w:shd w:fill="E2F0D9"/>
          </w:tcPr>
          <w:p>
            <w:r>
              <w:rPr>
                <w:rFonts w:ascii="Calibri" w:hAnsi="Calibri"/>
                <w:b w:val="0"/>
                <w:i w:val="0"/>
                <w:color w:val="1F2937"/>
                <w:sz w:val="15"/>
              </w:rPr>
              <w:t>Work arrangements and control</w:t>
              <w:br/>
              <w:t>Remote hybrid and return-to-office</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7</w:t>
            </w:r>
          </w:p>
        </w:tc>
        <w:tc>
          <w:tcPr>
            <w:tcW w:type="dxa" w:w="620"/>
            <w:shd w:fill="FAFBFC"/>
          </w:tcPr>
          <w:p>
            <w:r>
              <w:rPr>
                <w:rFonts w:ascii="Calibri" w:hAnsi="Calibri"/>
                <w:b/>
                <w:i w:val="0"/>
                <w:color w:val="1F2937"/>
                <w:sz w:val="15"/>
              </w:rPr>
              <w:t>767</w:t>
            </w:r>
          </w:p>
        </w:tc>
        <w:tc>
          <w:tcPr>
            <w:tcW w:type="dxa" w:w="2050"/>
            <w:shd w:fill="FAFBFC"/>
          </w:tcPr>
          <w:p>
            <w:r>
              <w:rPr>
                <w:rFonts w:ascii="Calibri" w:hAnsi="Calibri"/>
                <w:b w:val="0"/>
                <w:i w:val="0"/>
                <w:color w:val="1F2937"/>
                <w:sz w:val="15"/>
              </w:rPr>
              <w:t>coworker like things said just doesn</w:t>
            </w:r>
          </w:p>
        </w:tc>
        <w:tc>
          <w:tcPr>
            <w:tcW w:type="dxa" w:w="4500"/>
            <w:shd w:fill="E2F0D9"/>
          </w:tcPr>
          <w:p>
            <w:r>
              <w:rPr>
                <w:rFonts w:ascii="Calibri" w:hAnsi="Calibri"/>
                <w:b w:val="0"/>
                <w:i w:val="0"/>
                <w:color w:val="1F2937"/>
                <w:sz w:val="15"/>
              </w:rPr>
              <w:t>Workplace authority and interpersonal conflict</w:t>
              <w:br/>
              <w:t>Interpersonal mistreatment and role overload</w:t>
            </w:r>
          </w:p>
        </w:tc>
        <w:tc>
          <w:tcPr>
            <w:tcW w:type="dxa" w:w="1570"/>
            <w:shd w:fill="FAFBFC"/>
          </w:tcPr>
          <w:p>
            <w:r>
              <w:rPr>
                <w:rFonts w:ascii="Calibri" w:hAnsi="Calibri"/>
                <w:b w:val="0"/>
                <w:i w:val="0"/>
                <w:color w:val="1F2937"/>
                <w:sz w:val="15"/>
              </w:rPr>
              <w:t>Include</w:t>
              <w:br/>
              <w:t>medium confidence</w:t>
            </w:r>
          </w:p>
        </w:tc>
      </w:tr>
      <w:tr>
        <w:tc>
          <w:tcPr>
            <w:tcW w:type="dxa" w:w="620"/>
          </w:tcPr>
          <w:p>
            <w:r>
              <w:rPr>
                <w:rFonts w:ascii="Calibri" w:hAnsi="Calibri"/>
                <w:b/>
                <w:i w:val="0"/>
                <w:color w:val="1F2937"/>
                <w:sz w:val="15"/>
              </w:rPr>
              <w:t>8</w:t>
            </w:r>
          </w:p>
        </w:tc>
        <w:tc>
          <w:tcPr>
            <w:tcW w:type="dxa" w:w="620"/>
          </w:tcPr>
          <w:p>
            <w:r>
              <w:rPr>
                <w:rFonts w:ascii="Calibri" w:hAnsi="Calibri"/>
                <w:b/>
                <w:i w:val="0"/>
                <w:color w:val="1F2937"/>
                <w:sz w:val="15"/>
              </w:rPr>
              <w:t>689</w:t>
            </w:r>
          </w:p>
        </w:tc>
        <w:tc>
          <w:tcPr>
            <w:tcW w:type="dxa" w:w="2050"/>
          </w:tcPr>
          <w:p>
            <w:r>
              <w:rPr>
                <w:rFonts w:ascii="Calibri" w:hAnsi="Calibri"/>
                <w:b w:val="0"/>
                <w:i w:val="0"/>
                <w:color w:val="1F2937"/>
                <w:sz w:val="15"/>
              </w:rPr>
              <w:t>life school want career college money</w:t>
            </w:r>
          </w:p>
        </w:tc>
        <w:tc>
          <w:tcPr>
            <w:tcW w:type="dxa" w:w="4500"/>
            <w:shd w:fill="E2F0D9"/>
          </w:tcPr>
          <w:p>
            <w:r>
              <w:rPr>
                <w:rFonts w:ascii="Calibri" w:hAnsi="Calibri"/>
                <w:b w:val="0"/>
                <w:i w:val="0"/>
                <w:color w:val="1F2937"/>
                <w:sz w:val="15"/>
              </w:rPr>
              <w:t>Career precarity and exit</w:t>
              <w:br/>
              <w:t>Economic strain and career pressure</w:t>
            </w:r>
          </w:p>
        </w:tc>
        <w:tc>
          <w:tcPr>
            <w:tcW w:type="dxa" w:w="1570"/>
          </w:tcPr>
          <w:p>
            <w:r>
              <w:rPr>
                <w:rFonts w:ascii="Calibri" w:hAnsi="Calibri"/>
                <w:b w:val="0"/>
                <w:i w:val="0"/>
                <w:color w:val="1F2937"/>
                <w:sz w:val="15"/>
              </w:rPr>
              <w:t>Include</w:t>
              <w:br/>
              <w:t>medium confidence</w:t>
            </w:r>
          </w:p>
        </w:tc>
      </w:tr>
      <w:tr>
        <w:tc>
          <w:tcPr>
            <w:tcW w:type="dxa" w:w="620"/>
            <w:shd w:fill="FAFBFC"/>
          </w:tcPr>
          <w:p>
            <w:r>
              <w:rPr>
                <w:rFonts w:ascii="Calibri" w:hAnsi="Calibri"/>
                <w:b/>
                <w:i w:val="0"/>
                <w:color w:val="1F2937"/>
                <w:sz w:val="15"/>
              </w:rPr>
              <w:t>9</w:t>
            </w:r>
          </w:p>
        </w:tc>
        <w:tc>
          <w:tcPr>
            <w:tcW w:type="dxa" w:w="620"/>
            <w:shd w:fill="FAFBFC"/>
          </w:tcPr>
          <w:p>
            <w:r>
              <w:rPr>
                <w:rFonts w:ascii="Calibri" w:hAnsi="Calibri"/>
                <w:b/>
                <w:i w:val="0"/>
                <w:color w:val="1F2937"/>
                <w:sz w:val="15"/>
              </w:rPr>
              <w:t>664</w:t>
            </w:r>
          </w:p>
        </w:tc>
        <w:tc>
          <w:tcPr>
            <w:tcW w:type="dxa" w:w="2050"/>
            <w:shd w:fill="FAFBFC"/>
          </w:tcPr>
          <w:p>
            <w:r>
              <w:rPr>
                <w:rFonts w:ascii="Calibri" w:hAnsi="Calibri"/>
                <w:b w:val="0"/>
                <w:i w:val="0"/>
                <w:color w:val="1F2937"/>
                <w:sz w:val="15"/>
              </w:rPr>
              <w:t>notice weeks period week giving resignation</w:t>
            </w:r>
          </w:p>
        </w:tc>
        <w:tc>
          <w:tcPr>
            <w:tcW w:type="dxa" w:w="4500"/>
            <w:shd w:fill="E2F0D9"/>
          </w:tcPr>
          <w:p>
            <w:r>
              <w:rPr>
                <w:rFonts w:ascii="Calibri" w:hAnsi="Calibri"/>
                <w:b w:val="0"/>
                <w:i w:val="0"/>
                <w:color w:val="1F2937"/>
                <w:sz w:val="15"/>
              </w:rPr>
              <w:t>Career precarity and exit</w:t>
              <w:br/>
              <w:t>Notice periods and resignation</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10</w:t>
            </w:r>
          </w:p>
        </w:tc>
        <w:tc>
          <w:tcPr>
            <w:tcW w:type="dxa" w:w="620"/>
          </w:tcPr>
          <w:p>
            <w:r>
              <w:rPr>
                <w:rFonts w:ascii="Calibri" w:hAnsi="Calibri"/>
                <w:b/>
                <w:i w:val="0"/>
                <w:color w:val="1F2937"/>
                <w:sz w:val="15"/>
              </w:rPr>
              <w:t>661</w:t>
            </w:r>
          </w:p>
        </w:tc>
        <w:tc>
          <w:tcPr>
            <w:tcW w:type="dxa" w:w="2050"/>
          </w:tcPr>
          <w:p>
            <w:r>
              <w:rPr>
                <w:rFonts w:ascii="Calibri" w:hAnsi="Calibri"/>
                <w:b w:val="0"/>
                <w:i w:val="0"/>
                <w:color w:val="1F2937"/>
                <w:sz w:val="15"/>
              </w:rPr>
              <w:t>schedule availability scheduled saturday sunday days</w:t>
            </w:r>
          </w:p>
        </w:tc>
        <w:tc>
          <w:tcPr>
            <w:tcW w:type="dxa" w:w="4500"/>
            <w:shd w:fill="E2F0D9"/>
          </w:tcPr>
          <w:p>
            <w:r>
              <w:rPr>
                <w:rFonts w:ascii="Calibri" w:hAnsi="Calibri"/>
                <w:b w:val="0"/>
                <w:i w:val="0"/>
                <w:color w:val="1F2937"/>
                <w:sz w:val="15"/>
              </w:rPr>
              <w:t>Scheduling hours and time off</w:t>
              <w:br/>
              <w:t>Scheduling and availability</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11</w:t>
            </w:r>
          </w:p>
        </w:tc>
        <w:tc>
          <w:tcPr>
            <w:tcW w:type="dxa" w:w="620"/>
            <w:shd w:fill="FAFBFC"/>
          </w:tcPr>
          <w:p>
            <w:r>
              <w:rPr>
                <w:rFonts w:ascii="Calibri" w:hAnsi="Calibri"/>
                <w:b/>
                <w:i w:val="0"/>
                <w:color w:val="1F2937"/>
                <w:sz w:val="15"/>
              </w:rPr>
              <w:t>655</w:t>
            </w:r>
          </w:p>
        </w:tc>
        <w:tc>
          <w:tcPr>
            <w:tcW w:type="dxa" w:w="2050"/>
            <w:shd w:fill="FAFBFC"/>
          </w:tcPr>
          <w:p>
            <w:r>
              <w:rPr>
                <w:rFonts w:ascii="Calibri" w:hAnsi="Calibri"/>
                <w:b w:val="0"/>
                <w:i w:val="0"/>
                <w:color w:val="1F2937"/>
                <w:sz w:val="15"/>
              </w:rPr>
              <w:t>pto vacation use approved days request</w:t>
            </w:r>
          </w:p>
        </w:tc>
        <w:tc>
          <w:tcPr>
            <w:tcW w:type="dxa" w:w="4500"/>
            <w:shd w:fill="E2F0D9"/>
          </w:tcPr>
          <w:p>
            <w:r>
              <w:rPr>
                <w:rFonts w:ascii="Calibri" w:hAnsi="Calibri"/>
                <w:b w:val="0"/>
                <w:i w:val="0"/>
                <w:color w:val="1F2937"/>
                <w:sz w:val="15"/>
              </w:rPr>
              <w:t>Scheduling hours and time off</w:t>
              <w:br/>
              <w:t>PTO and unpaid time off</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12</w:t>
            </w:r>
          </w:p>
        </w:tc>
        <w:tc>
          <w:tcPr>
            <w:tcW w:type="dxa" w:w="620"/>
          </w:tcPr>
          <w:p>
            <w:r>
              <w:rPr>
                <w:rFonts w:ascii="Calibri" w:hAnsi="Calibri"/>
                <w:b/>
                <w:i w:val="0"/>
                <w:color w:val="1F2937"/>
                <w:sz w:val="15"/>
              </w:rPr>
              <w:t>632</w:t>
            </w:r>
          </w:p>
        </w:tc>
        <w:tc>
          <w:tcPr>
            <w:tcW w:type="dxa" w:w="2050"/>
          </w:tcPr>
          <w:p>
            <w:r>
              <w:rPr>
                <w:rFonts w:ascii="Calibri" w:hAnsi="Calibri"/>
                <w:b w:val="0"/>
                <w:i w:val="0"/>
                <w:color w:val="1F2937"/>
                <w:sz w:val="15"/>
              </w:rPr>
              <w:t>tips tip tipping restaurant pool cash</w:t>
            </w:r>
          </w:p>
        </w:tc>
        <w:tc>
          <w:tcPr>
            <w:tcW w:type="dxa" w:w="4500"/>
            <w:shd w:fill="E2F0D9"/>
          </w:tcPr>
          <w:p>
            <w:r>
              <w:rPr>
                <w:rFonts w:ascii="Calibri" w:hAnsi="Calibri"/>
                <w:b w:val="0"/>
                <w:i w:val="0"/>
                <w:color w:val="1F2937"/>
                <w:sz w:val="15"/>
              </w:rPr>
              <w:t>Service work and tips</w:t>
              <w:br/>
              <w:t>Tipping and tip withholding</w:t>
            </w:r>
          </w:p>
        </w:tc>
        <w:tc>
          <w:tcPr>
            <w:tcW w:type="dxa" w:w="1570"/>
          </w:tcPr>
          <w:p>
            <w:r>
              <w:rPr>
                <w:rFonts w:ascii="Calibri" w:hAnsi="Calibri"/>
                <w:b w:val="0"/>
                <w:i w:val="0"/>
                <w:color w:val="1F2937"/>
                <w:sz w:val="15"/>
              </w:rPr>
              <w:t>Include</w:t>
              <w:br/>
              <w:t>medium confidence</w:t>
            </w:r>
          </w:p>
        </w:tc>
      </w:tr>
      <w:tr>
        <w:tc>
          <w:tcPr>
            <w:tcW w:type="dxa" w:w="620"/>
            <w:shd w:fill="FAFBFC"/>
          </w:tcPr>
          <w:p>
            <w:r>
              <w:rPr>
                <w:rFonts w:ascii="Calibri" w:hAnsi="Calibri"/>
                <w:b/>
                <w:i w:val="0"/>
                <w:color w:val="1F2937"/>
                <w:sz w:val="15"/>
              </w:rPr>
              <w:t>13</w:t>
            </w:r>
          </w:p>
        </w:tc>
        <w:tc>
          <w:tcPr>
            <w:tcW w:type="dxa" w:w="620"/>
            <w:shd w:fill="FAFBFC"/>
          </w:tcPr>
          <w:p>
            <w:r>
              <w:rPr>
                <w:rFonts w:ascii="Calibri" w:hAnsi="Calibri"/>
                <w:b/>
                <w:i w:val="0"/>
                <w:color w:val="1F2937"/>
                <w:sz w:val="15"/>
              </w:rPr>
              <w:t>630</w:t>
            </w:r>
          </w:p>
        </w:tc>
        <w:tc>
          <w:tcPr>
            <w:tcW w:type="dxa" w:w="2050"/>
            <w:shd w:fill="FAFBFC"/>
          </w:tcPr>
          <w:p>
            <w:r>
              <w:rPr>
                <w:rFonts w:ascii="Calibri" w:hAnsi="Calibri"/>
                <w:b w:val="0"/>
                <w:i w:val="0"/>
                <w:color w:val="1F2937"/>
                <w:sz w:val="15"/>
              </w:rPr>
              <w:t>vacation request trip days approved time</w:t>
            </w:r>
          </w:p>
        </w:tc>
        <w:tc>
          <w:tcPr>
            <w:tcW w:type="dxa" w:w="4500"/>
            <w:shd w:fill="E2F0D9"/>
          </w:tcPr>
          <w:p>
            <w:r>
              <w:rPr>
                <w:rFonts w:ascii="Calibri" w:hAnsi="Calibri"/>
                <w:b w:val="0"/>
                <w:i w:val="0"/>
                <w:color w:val="1F2937"/>
                <w:sz w:val="15"/>
              </w:rPr>
              <w:t>Scheduling hours and time off</w:t>
              <w:br/>
              <w:t>Vacation denial</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14</w:t>
            </w:r>
          </w:p>
        </w:tc>
        <w:tc>
          <w:tcPr>
            <w:tcW w:type="dxa" w:w="620"/>
          </w:tcPr>
          <w:p>
            <w:r>
              <w:rPr>
                <w:rFonts w:ascii="Calibri" w:hAnsi="Calibri"/>
                <w:b/>
                <w:i w:val="0"/>
                <w:color w:val="1F2937"/>
                <w:sz w:val="15"/>
              </w:rPr>
              <w:t>614</w:t>
            </w:r>
          </w:p>
        </w:tc>
        <w:tc>
          <w:tcPr>
            <w:tcW w:type="dxa" w:w="2050"/>
          </w:tcPr>
          <w:p>
            <w:r>
              <w:rPr>
                <w:rFonts w:ascii="Calibri" w:hAnsi="Calibri"/>
                <w:b w:val="0"/>
                <w:i w:val="0"/>
                <w:color w:val="1F2937"/>
                <w:sz w:val="15"/>
              </w:rPr>
              <w:t>union unions strike unionize workers unionizing</w:t>
            </w:r>
          </w:p>
        </w:tc>
        <w:tc>
          <w:tcPr>
            <w:tcW w:type="dxa" w:w="4500"/>
            <w:shd w:fill="E2F0D9"/>
          </w:tcPr>
          <w:p>
            <w:r>
              <w:rPr>
                <w:rFonts w:ascii="Calibri" w:hAnsi="Calibri"/>
                <w:b w:val="0"/>
                <w:i w:val="0"/>
                <w:color w:val="1F2937"/>
                <w:sz w:val="15"/>
              </w:rPr>
              <w:t>Collective worker power and rights</w:t>
              <w:br/>
              <w:t>Unionization and strikes</w:t>
            </w:r>
          </w:p>
        </w:tc>
        <w:tc>
          <w:tcPr>
            <w:tcW w:type="dxa" w:w="1570"/>
          </w:tcPr>
          <w:p>
            <w:r>
              <w:rPr>
                <w:rFonts w:ascii="Calibri" w:hAnsi="Calibri"/>
                <w:b w:val="0"/>
                <w:i w:val="0"/>
                <w:color w:val="1F2937"/>
                <w:sz w:val="15"/>
              </w:rPr>
              <w:t>Include</w:t>
              <w:br/>
              <w:t>high confidence</w:t>
            </w:r>
          </w:p>
        </w:tc>
      </w:tr>
    </w:tbl>
    <w:p>
      <w:r>
        <w:br w:type="page"/>
      </w:r>
    </w:p>
    <w:p>
      <w:pPr>
        <w:pStyle w:val="Heading2"/>
      </w:pPr>
      <w:r>
        <w:rPr>
          <w:rFonts w:ascii="Calibri" w:hAnsi="Calibri"/>
          <w:b/>
          <w:i w:val="0"/>
          <w:color w:val="17365D"/>
          <w:sz w:val="25"/>
        </w:rPr>
        <w:t>Reviewed clusters 16-30</w:t>
      </w:r>
    </w:p>
    <w:tbl>
      <w:tblPr>
        <w:tblW w:type="dxa" w:w="9360"/>
        <w:jc w:val="left"/>
        <w:tblLayout w:type="fixed"/>
        <w:tblLook w:firstColumn="1" w:firstRow="1" w:lastColumn="0" w:lastRow="0" w:noHBand="0" w:noVBand="1" w:val="04A0"/>
      </w:tblPr>
      <w:tblGrid>
        <w:gridCol w:w="620"/>
        <w:gridCol w:w="620"/>
        <w:gridCol w:w="2050"/>
        <w:gridCol w:w="4500"/>
        <w:gridCol w:w="1570"/>
      </w:tblGrid>
      <w:tr>
        <w:tc>
          <w:tcPr>
            <w:tcW w:type="dxa" w:w="620"/>
            <w:tcMar>
              <w:top w:w="80" w:type="dxa"/>
              <w:start w:w="120" w:type="dxa"/>
              <w:bottom w:w="80" w:type="dxa"/>
              <w:end w:w="120" w:type="dxa"/>
            </w:tcMar>
            <w:vAlign w:val="center"/>
            <w:shd w:fill="E8EEF5"/>
          </w:tcPr>
          <w:p>
            <w:r>
              <w:rPr>
                <w:rFonts w:ascii="Calibri" w:hAnsi="Calibri"/>
                <w:b/>
                <w:i w:val="0"/>
                <w:color w:val="17365D"/>
                <w:sz w:val="16"/>
              </w:rPr>
              <w:t>ID</w:t>
            </w:r>
          </w:p>
        </w:tc>
        <w:tc>
          <w:tcPr>
            <w:tcW w:type="dxa" w:w="620"/>
            <w:tcMar>
              <w:top w:w="80" w:type="dxa"/>
              <w:start w:w="120" w:type="dxa"/>
              <w:bottom w:w="80" w:type="dxa"/>
              <w:end w:w="120" w:type="dxa"/>
            </w:tcMar>
            <w:vAlign w:val="center"/>
            <w:shd w:fill="E8EEF5"/>
          </w:tcPr>
          <w:p>
            <w:r>
              <w:rPr>
                <w:rFonts w:ascii="Calibri" w:hAnsi="Calibri"/>
                <w:b/>
                <w:i w:val="0"/>
                <w:color w:val="17365D"/>
                <w:sz w:val="16"/>
              </w:rPr>
              <w:t>n</w:t>
            </w:r>
          </w:p>
        </w:tc>
        <w:tc>
          <w:tcPr>
            <w:tcW w:type="dxa" w:w="2050"/>
            <w:tcMar>
              <w:top w:w="80" w:type="dxa"/>
              <w:start w:w="120" w:type="dxa"/>
              <w:bottom w:w="80" w:type="dxa"/>
              <w:end w:w="120" w:type="dxa"/>
            </w:tcMar>
            <w:vAlign w:val="center"/>
            <w:shd w:fill="E8EEF5"/>
          </w:tcPr>
          <w:p>
            <w:r>
              <w:rPr>
                <w:rFonts w:ascii="Calibri" w:hAnsi="Calibri"/>
                <w:b/>
                <w:i w:val="0"/>
                <w:color w:val="17365D"/>
                <w:sz w:val="16"/>
              </w:rPr>
              <w:t>Representative terms</w:t>
            </w:r>
          </w:p>
        </w:tc>
        <w:tc>
          <w:tcPr>
            <w:tcW w:type="dxa" w:w="4500"/>
            <w:tcMar>
              <w:top w:w="80" w:type="dxa"/>
              <w:start w:w="120" w:type="dxa"/>
              <w:bottom w:w="80" w:type="dxa"/>
              <w:end w:w="120" w:type="dxa"/>
            </w:tcMar>
            <w:vAlign w:val="center"/>
            <w:shd w:fill="E8EEF5"/>
          </w:tcPr>
          <w:p>
            <w:r>
              <w:rPr>
                <w:rFonts w:ascii="Calibri" w:hAnsi="Calibri"/>
                <w:b/>
                <w:i w:val="0"/>
                <w:color w:val="17365D"/>
                <w:sz w:val="16"/>
              </w:rPr>
              <w:t>Candidate theme and subtheme</w:t>
            </w:r>
          </w:p>
        </w:tc>
        <w:tc>
          <w:tcPr>
            <w:tcW w:type="dxa" w:w="1570"/>
            <w:tcMar>
              <w:top w:w="80" w:type="dxa"/>
              <w:start w:w="120" w:type="dxa"/>
              <w:bottom w:w="80" w:type="dxa"/>
              <w:end w:w="120" w:type="dxa"/>
            </w:tcMar>
            <w:vAlign w:val="center"/>
            <w:shd w:fill="E8EEF5"/>
          </w:tcPr>
          <w:p>
            <w:r>
              <w:rPr>
                <w:rFonts w:ascii="Calibri" w:hAnsi="Calibri"/>
                <w:b/>
                <w:i w:val="0"/>
                <w:color w:val="17365D"/>
                <w:sz w:val="16"/>
              </w:rPr>
              <w:t>Decision</w:t>
            </w:r>
          </w:p>
        </w:tc>
      </w:tr>
      <w:tr>
        <w:tc>
          <w:tcPr>
            <w:tcW w:type="dxa" w:w="620"/>
          </w:tcPr>
          <w:p>
            <w:r>
              <w:rPr>
                <w:rFonts w:ascii="Calibri" w:hAnsi="Calibri"/>
                <w:b/>
                <w:i w:val="0"/>
                <w:color w:val="1F2937"/>
                <w:sz w:val="15"/>
              </w:rPr>
              <w:t>15</w:t>
            </w:r>
          </w:p>
        </w:tc>
        <w:tc>
          <w:tcPr>
            <w:tcW w:type="dxa" w:w="620"/>
          </w:tcPr>
          <w:p>
            <w:r>
              <w:rPr>
                <w:rFonts w:ascii="Calibri" w:hAnsi="Calibri"/>
                <w:b/>
                <w:i w:val="0"/>
                <w:color w:val="1F2937"/>
                <w:sz w:val="15"/>
              </w:rPr>
              <w:t>603</w:t>
            </w:r>
          </w:p>
        </w:tc>
        <w:tc>
          <w:tcPr>
            <w:tcW w:type="dxa" w:w="2050"/>
          </w:tcPr>
          <w:p>
            <w:r>
              <w:rPr>
                <w:rFonts w:ascii="Calibri" w:hAnsi="Calibri"/>
                <w:b w:val="0"/>
                <w:i w:val="0"/>
                <w:color w:val="1F2937"/>
                <w:sz w:val="15"/>
              </w:rPr>
              <w:t>restaurant kitchen chef cook food bar</w:t>
            </w:r>
          </w:p>
        </w:tc>
        <w:tc>
          <w:tcPr>
            <w:tcW w:type="dxa" w:w="4500"/>
            <w:shd w:fill="E2F0D9"/>
          </w:tcPr>
          <w:p>
            <w:r>
              <w:rPr>
                <w:rFonts w:ascii="Calibri" w:hAnsi="Calibri"/>
                <w:b w:val="0"/>
                <w:i w:val="0"/>
                <w:color w:val="1F2937"/>
                <w:sz w:val="15"/>
              </w:rPr>
              <w:t>Service work and tips</w:t>
              <w:br/>
              <w:t>Hospitality and restaurant conditions</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16</w:t>
            </w:r>
          </w:p>
        </w:tc>
        <w:tc>
          <w:tcPr>
            <w:tcW w:type="dxa" w:w="620"/>
            <w:shd w:fill="FAFBFC"/>
          </w:tcPr>
          <w:p>
            <w:r>
              <w:rPr>
                <w:rFonts w:ascii="Calibri" w:hAnsi="Calibri"/>
                <w:b/>
                <w:i w:val="0"/>
                <w:color w:val="1F2937"/>
                <w:sz w:val="15"/>
              </w:rPr>
              <w:t>503</w:t>
            </w:r>
          </w:p>
        </w:tc>
        <w:tc>
          <w:tcPr>
            <w:tcW w:type="dxa" w:w="2050"/>
            <w:shd w:fill="FAFBFC"/>
          </w:tcPr>
          <w:p>
            <w:r>
              <w:rPr>
                <w:rFonts w:ascii="Calibri" w:hAnsi="Calibri"/>
                <w:b w:val="0"/>
                <w:i w:val="0"/>
                <w:color w:val="1F2937"/>
                <w:sz w:val="15"/>
              </w:rPr>
              <w:t>break breaks lunch minute 30 minutes</w:t>
            </w:r>
          </w:p>
        </w:tc>
        <w:tc>
          <w:tcPr>
            <w:tcW w:type="dxa" w:w="4500"/>
            <w:shd w:fill="E2F0D9"/>
          </w:tcPr>
          <w:p>
            <w:r>
              <w:rPr>
                <w:rFonts w:ascii="Calibri" w:hAnsi="Calibri"/>
                <w:b w:val="0"/>
                <w:i w:val="0"/>
                <w:color w:val="1F2937"/>
                <w:sz w:val="15"/>
              </w:rPr>
              <w:t>Scheduling hours and time off</w:t>
              <w:br/>
              <w:t>Meal and rest breaks</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17</w:t>
            </w:r>
          </w:p>
        </w:tc>
        <w:tc>
          <w:tcPr>
            <w:tcW w:type="dxa" w:w="620"/>
          </w:tcPr>
          <w:p>
            <w:r>
              <w:rPr>
                <w:rFonts w:ascii="Calibri" w:hAnsi="Calibri"/>
                <w:b/>
                <w:i w:val="0"/>
                <w:color w:val="1F2937"/>
                <w:sz w:val="15"/>
              </w:rPr>
              <w:t>473</w:t>
            </w:r>
          </w:p>
        </w:tc>
        <w:tc>
          <w:tcPr>
            <w:tcW w:type="dxa" w:w="2050"/>
          </w:tcPr>
          <w:p>
            <w:r>
              <w:rPr>
                <w:rFonts w:ascii="Calibri" w:hAnsi="Calibri"/>
                <w:b w:val="0"/>
                <w:i w:val="0"/>
                <w:color w:val="1F2937"/>
                <w:sz w:val="15"/>
              </w:rPr>
              <w:t>review reviews performance glassdoor feedback rating</w:t>
            </w:r>
          </w:p>
        </w:tc>
        <w:tc>
          <w:tcPr>
            <w:tcW w:type="dxa" w:w="4500"/>
            <w:shd w:fill="E2F0D9"/>
          </w:tcPr>
          <w:p>
            <w:r>
              <w:rPr>
                <w:rFonts w:ascii="Calibri" w:hAnsi="Calibri"/>
                <w:b w:val="0"/>
                <w:i w:val="0"/>
                <w:color w:val="1F2937"/>
                <w:sz w:val="15"/>
              </w:rPr>
              <w:t>Workplace authority and interpersonal conflict</w:t>
              <w:br/>
              <w:t>Performance reviews feedback and employer reputation</w:t>
            </w:r>
          </w:p>
        </w:tc>
        <w:tc>
          <w:tcPr>
            <w:tcW w:type="dxa" w:w="1570"/>
          </w:tcPr>
          <w:p>
            <w:r>
              <w:rPr>
                <w:rFonts w:ascii="Calibri" w:hAnsi="Calibri"/>
                <w:b w:val="0"/>
                <w:i w:val="0"/>
                <w:color w:val="1F2937"/>
                <w:sz w:val="15"/>
              </w:rPr>
              <w:t>Include</w:t>
              <w:br/>
              <w:t>medium confidence</w:t>
            </w:r>
          </w:p>
        </w:tc>
      </w:tr>
      <w:tr>
        <w:tc>
          <w:tcPr>
            <w:tcW w:type="dxa" w:w="620"/>
            <w:shd w:fill="FAFBFC"/>
          </w:tcPr>
          <w:p>
            <w:r>
              <w:rPr>
                <w:rFonts w:ascii="Calibri" w:hAnsi="Calibri"/>
                <w:b/>
                <w:i w:val="0"/>
                <w:color w:val="1F2937"/>
                <w:sz w:val="15"/>
              </w:rPr>
              <w:t>18</w:t>
            </w:r>
          </w:p>
        </w:tc>
        <w:tc>
          <w:tcPr>
            <w:tcW w:type="dxa" w:w="620"/>
            <w:shd w:fill="FAFBFC"/>
          </w:tcPr>
          <w:p>
            <w:r>
              <w:rPr>
                <w:rFonts w:ascii="Calibri" w:hAnsi="Calibri"/>
                <w:b/>
                <w:i w:val="0"/>
                <w:color w:val="1F2937"/>
                <w:sz w:val="15"/>
              </w:rPr>
              <w:t>469</w:t>
            </w:r>
          </w:p>
        </w:tc>
        <w:tc>
          <w:tcPr>
            <w:tcW w:type="dxa" w:w="2050"/>
            <w:shd w:fill="FAFBFC"/>
          </w:tcPr>
          <w:p>
            <w:r>
              <w:rPr>
                <w:rFonts w:ascii="Calibri" w:hAnsi="Calibri"/>
                <w:b w:val="0"/>
                <w:i w:val="0"/>
                <w:color w:val="1F2937"/>
                <w:sz w:val="15"/>
              </w:rPr>
              <w:t>quit quitting resign leaving tell today</w:t>
            </w:r>
          </w:p>
        </w:tc>
        <w:tc>
          <w:tcPr>
            <w:tcW w:type="dxa" w:w="4500"/>
            <w:shd w:fill="E2F0D9"/>
          </w:tcPr>
          <w:p>
            <w:r>
              <w:rPr>
                <w:rFonts w:ascii="Calibri" w:hAnsi="Calibri"/>
                <w:b w:val="0"/>
                <w:i w:val="0"/>
                <w:color w:val="1F2937"/>
                <w:sz w:val="15"/>
              </w:rPr>
              <w:t>Career precarity and exit</w:t>
              <w:br/>
              <w:t>Quitting decisions</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19</w:t>
            </w:r>
          </w:p>
        </w:tc>
        <w:tc>
          <w:tcPr>
            <w:tcW w:type="dxa" w:w="620"/>
          </w:tcPr>
          <w:p>
            <w:r>
              <w:rPr>
                <w:rFonts w:ascii="Calibri" w:hAnsi="Calibri"/>
                <w:b/>
                <w:i w:val="0"/>
                <w:color w:val="1F2937"/>
                <w:sz w:val="15"/>
              </w:rPr>
              <w:t>466</w:t>
            </w:r>
          </w:p>
        </w:tc>
        <w:tc>
          <w:tcPr>
            <w:tcW w:type="dxa" w:w="2050"/>
          </w:tcPr>
          <w:p>
            <w:r>
              <w:rPr>
                <w:rFonts w:ascii="Calibri" w:hAnsi="Calibri"/>
                <w:b w:val="0"/>
                <w:i w:val="0"/>
                <w:color w:val="1F2937"/>
                <w:sz w:val="15"/>
              </w:rPr>
              <w:t>funeral bereavement died mom passed family</w:t>
            </w:r>
          </w:p>
        </w:tc>
        <w:tc>
          <w:tcPr>
            <w:tcW w:type="dxa" w:w="4500"/>
            <w:shd w:fill="E2F0D9"/>
          </w:tcPr>
          <w:p>
            <w:r>
              <w:rPr>
                <w:rFonts w:ascii="Calibri" w:hAnsi="Calibri"/>
                <w:b w:val="0"/>
                <w:i w:val="0"/>
                <w:color w:val="1F2937"/>
                <w:sz w:val="15"/>
              </w:rPr>
              <w:t>Health safety and attendance</w:t>
              <w:br/>
              <w:t>Bereavement and compassionate leave</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20</w:t>
            </w:r>
          </w:p>
        </w:tc>
        <w:tc>
          <w:tcPr>
            <w:tcW w:type="dxa" w:w="620"/>
            <w:shd w:fill="FAFBFC"/>
          </w:tcPr>
          <w:p>
            <w:r>
              <w:rPr>
                <w:rFonts w:ascii="Calibri" w:hAnsi="Calibri"/>
                <w:b/>
                <w:i w:val="0"/>
                <w:color w:val="1F2937"/>
                <w:sz w:val="15"/>
              </w:rPr>
              <w:t>428</w:t>
            </w:r>
          </w:p>
        </w:tc>
        <w:tc>
          <w:tcPr>
            <w:tcW w:type="dxa" w:w="2050"/>
            <w:shd w:fill="FAFBFC"/>
          </w:tcPr>
          <w:p>
            <w:r>
              <w:rPr>
                <w:rFonts w:ascii="Calibri" w:hAnsi="Calibri"/>
                <w:b w:val="0"/>
                <w:i w:val="0"/>
                <w:color w:val="1F2937"/>
                <w:sz w:val="15"/>
              </w:rPr>
              <w:t>promotion promoted position role team level</w:t>
            </w:r>
          </w:p>
        </w:tc>
        <w:tc>
          <w:tcPr>
            <w:tcW w:type="dxa" w:w="4500"/>
            <w:shd w:fill="E2F0D9"/>
          </w:tcPr>
          <w:p>
            <w:r>
              <w:rPr>
                <w:rFonts w:ascii="Calibri" w:hAnsi="Calibri"/>
                <w:b w:val="0"/>
                <w:i w:val="0"/>
                <w:color w:val="1F2937"/>
                <w:sz w:val="15"/>
              </w:rPr>
              <w:t>Career precarity and exit</w:t>
              <w:br/>
              <w:t>Promotion and advancement</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21</w:t>
            </w:r>
          </w:p>
        </w:tc>
        <w:tc>
          <w:tcPr>
            <w:tcW w:type="dxa" w:w="620"/>
          </w:tcPr>
          <w:p>
            <w:r>
              <w:rPr>
                <w:rFonts w:ascii="Calibri" w:hAnsi="Calibri"/>
                <w:b/>
                <w:i w:val="0"/>
                <w:color w:val="1F2937"/>
                <w:sz w:val="15"/>
              </w:rPr>
              <w:t>394</w:t>
            </w:r>
          </w:p>
        </w:tc>
        <w:tc>
          <w:tcPr>
            <w:tcW w:type="dxa" w:w="2050"/>
          </w:tcPr>
          <w:p>
            <w:r>
              <w:rPr>
                <w:rFonts w:ascii="Calibri" w:hAnsi="Calibri"/>
                <w:b w:val="0"/>
                <w:i w:val="0"/>
                <w:color w:val="1F2937"/>
                <w:sz w:val="15"/>
              </w:rPr>
              <w:t>mental health autistic disability autism disabled</w:t>
            </w:r>
          </w:p>
        </w:tc>
        <w:tc>
          <w:tcPr>
            <w:tcW w:type="dxa" w:w="4500"/>
            <w:shd w:fill="E2F0D9"/>
          </w:tcPr>
          <w:p>
            <w:r>
              <w:rPr>
                <w:rFonts w:ascii="Calibri" w:hAnsi="Calibri"/>
                <w:b w:val="0"/>
                <w:i w:val="0"/>
                <w:color w:val="1F2937"/>
                <w:sz w:val="15"/>
              </w:rPr>
              <w:t>Health safety and attendance</w:t>
              <w:br/>
              <w:t>Mental health and disability</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22</w:t>
            </w:r>
          </w:p>
        </w:tc>
        <w:tc>
          <w:tcPr>
            <w:tcW w:type="dxa" w:w="620"/>
            <w:shd w:fill="FAFBFC"/>
          </w:tcPr>
          <w:p>
            <w:r>
              <w:rPr>
                <w:rFonts w:ascii="Calibri" w:hAnsi="Calibri"/>
                <w:b/>
                <w:i w:val="0"/>
                <w:color w:val="1F2937"/>
                <w:sz w:val="15"/>
              </w:rPr>
              <w:t>387</w:t>
            </w:r>
          </w:p>
        </w:tc>
        <w:tc>
          <w:tcPr>
            <w:tcW w:type="dxa" w:w="2050"/>
            <w:shd w:fill="FAFBFC"/>
          </w:tcPr>
          <w:p>
            <w:r>
              <w:rPr>
                <w:rFonts w:ascii="Calibri" w:hAnsi="Calibri"/>
                <w:b w:val="0"/>
                <w:i w:val="0"/>
                <w:color w:val="1F2937"/>
                <w:sz w:val="15"/>
              </w:rPr>
              <w:t>wages discuss discussing illegal nlrb pay</w:t>
            </w:r>
          </w:p>
        </w:tc>
        <w:tc>
          <w:tcPr>
            <w:tcW w:type="dxa" w:w="4500"/>
            <w:shd w:fill="E2F0D9"/>
          </w:tcPr>
          <w:p>
            <w:r>
              <w:rPr>
                <w:rFonts w:ascii="Calibri" w:hAnsi="Calibri"/>
                <w:b w:val="0"/>
                <w:i w:val="0"/>
                <w:color w:val="1F2937"/>
                <w:sz w:val="15"/>
              </w:rPr>
              <w:t>Compensation and pay rights</w:t>
              <w:br/>
              <w:t>Pay transparency and wage discussion rights</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23</w:t>
            </w:r>
          </w:p>
        </w:tc>
        <w:tc>
          <w:tcPr>
            <w:tcW w:type="dxa" w:w="620"/>
          </w:tcPr>
          <w:p>
            <w:r>
              <w:rPr>
                <w:rFonts w:ascii="Calibri" w:hAnsi="Calibri"/>
                <w:b/>
                <w:i w:val="0"/>
                <w:color w:val="1F2937"/>
                <w:sz w:val="15"/>
              </w:rPr>
              <w:t>383</w:t>
            </w:r>
          </w:p>
        </w:tc>
        <w:tc>
          <w:tcPr>
            <w:tcW w:type="dxa" w:w="2050"/>
          </w:tcPr>
          <w:p>
            <w:r>
              <w:rPr>
                <w:rFonts w:ascii="Calibri" w:hAnsi="Calibri"/>
                <w:b w:val="0"/>
                <w:i w:val="0"/>
                <w:color w:val="1F2937"/>
                <w:sz w:val="15"/>
              </w:rPr>
              <w:t>pregnant pregnancy baby maternity leave paternity</w:t>
            </w:r>
          </w:p>
        </w:tc>
        <w:tc>
          <w:tcPr>
            <w:tcW w:type="dxa" w:w="4500"/>
            <w:shd w:fill="E2F0D9"/>
          </w:tcPr>
          <w:p>
            <w:r>
              <w:rPr>
                <w:rFonts w:ascii="Calibri" w:hAnsi="Calibri"/>
                <w:b w:val="0"/>
                <w:i w:val="0"/>
                <w:color w:val="1F2937"/>
                <w:sz w:val="15"/>
              </w:rPr>
              <w:t>Health safety and attendance</w:t>
              <w:br/>
              <w:t>Pregnancy and parental leave</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24</w:t>
            </w:r>
          </w:p>
        </w:tc>
        <w:tc>
          <w:tcPr>
            <w:tcW w:type="dxa" w:w="620"/>
            <w:shd w:fill="FAFBFC"/>
          </w:tcPr>
          <w:p>
            <w:r>
              <w:rPr>
                <w:rFonts w:ascii="Calibri" w:hAnsi="Calibri"/>
                <w:b/>
                <w:i w:val="0"/>
                <w:color w:val="1F2937"/>
                <w:sz w:val="15"/>
              </w:rPr>
              <w:t>366</w:t>
            </w:r>
          </w:p>
        </w:tc>
        <w:tc>
          <w:tcPr>
            <w:tcW w:type="dxa" w:w="2050"/>
            <w:shd w:fill="FAFBFC"/>
          </w:tcPr>
          <w:p>
            <w:r>
              <w:rPr>
                <w:rFonts w:ascii="Calibri" w:hAnsi="Calibri"/>
                <w:b w:val="0"/>
                <w:i w:val="0"/>
                <w:color w:val="1F2937"/>
                <w:sz w:val="15"/>
              </w:rPr>
              <w:t>snow weather storm roads hurricane ice</w:t>
            </w:r>
          </w:p>
        </w:tc>
        <w:tc>
          <w:tcPr>
            <w:tcW w:type="dxa" w:w="4500"/>
            <w:shd w:fill="E2F0D9"/>
          </w:tcPr>
          <w:p>
            <w:r>
              <w:rPr>
                <w:rFonts w:ascii="Calibri" w:hAnsi="Calibri"/>
                <w:b w:val="0"/>
                <w:i w:val="0"/>
                <w:color w:val="1F2937"/>
                <w:sz w:val="15"/>
              </w:rPr>
              <w:t>Health safety and attendance</w:t>
              <w:br/>
              <w:t>Weather and commute safety</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25</w:t>
            </w:r>
          </w:p>
        </w:tc>
        <w:tc>
          <w:tcPr>
            <w:tcW w:type="dxa" w:w="620"/>
          </w:tcPr>
          <w:p>
            <w:r>
              <w:rPr>
                <w:rFonts w:ascii="Calibri" w:hAnsi="Calibri"/>
                <w:b/>
                <w:i w:val="0"/>
                <w:color w:val="1F2937"/>
                <w:sz w:val="15"/>
              </w:rPr>
              <w:t>364</w:t>
            </w:r>
          </w:p>
        </w:tc>
        <w:tc>
          <w:tcPr>
            <w:tcW w:type="dxa" w:w="2050"/>
          </w:tcPr>
          <w:p>
            <w:r>
              <w:rPr>
                <w:rFonts w:ascii="Calibri" w:hAnsi="Calibri"/>
                <w:b w:val="0"/>
                <w:i w:val="0"/>
                <w:color w:val="1F2937"/>
                <w:sz w:val="15"/>
              </w:rPr>
              <w:t>sick calling called come days feeling</w:t>
            </w:r>
          </w:p>
        </w:tc>
        <w:tc>
          <w:tcPr>
            <w:tcW w:type="dxa" w:w="4500"/>
            <w:shd w:fill="E2F0D9"/>
          </w:tcPr>
          <w:p>
            <w:r>
              <w:rPr>
                <w:rFonts w:ascii="Calibri" w:hAnsi="Calibri"/>
                <w:b w:val="0"/>
                <w:i w:val="0"/>
                <w:color w:val="1F2937"/>
                <w:sz w:val="15"/>
              </w:rPr>
              <w:t>Health safety and attendance</w:t>
              <w:br/>
              <w:t>Sick leave and attendance pressure</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26</w:t>
            </w:r>
          </w:p>
        </w:tc>
        <w:tc>
          <w:tcPr>
            <w:tcW w:type="dxa" w:w="620"/>
            <w:shd w:fill="FAFBFC"/>
          </w:tcPr>
          <w:p>
            <w:r>
              <w:rPr>
                <w:rFonts w:ascii="Calibri" w:hAnsi="Calibri"/>
                <w:b/>
                <w:i w:val="0"/>
                <w:color w:val="1F2937"/>
                <w:sz w:val="15"/>
              </w:rPr>
              <w:t>363</w:t>
            </w:r>
          </w:p>
        </w:tc>
        <w:tc>
          <w:tcPr>
            <w:tcW w:type="dxa" w:w="2050"/>
            <w:shd w:fill="FAFBFC"/>
          </w:tcPr>
          <w:p>
            <w:r>
              <w:rPr>
                <w:rFonts w:ascii="Calibri" w:hAnsi="Calibri"/>
                <w:b w:val="0"/>
                <w:i w:val="0"/>
                <w:color w:val="1F2937"/>
                <w:sz w:val="15"/>
              </w:rPr>
              <w:t>fired firing got adverse threatened activity</w:t>
            </w:r>
          </w:p>
        </w:tc>
        <w:tc>
          <w:tcPr>
            <w:tcW w:type="dxa" w:w="4500"/>
            <w:shd w:fill="E2F0D9"/>
          </w:tcPr>
          <w:p>
            <w:r>
              <w:rPr>
                <w:rFonts w:ascii="Calibri" w:hAnsi="Calibri"/>
                <w:b w:val="0"/>
                <w:i w:val="0"/>
                <w:color w:val="1F2937"/>
                <w:sz w:val="15"/>
              </w:rPr>
              <w:t>Career precarity and exit</w:t>
              <w:br/>
              <w:t>Firing retaliation and termination</w:t>
            </w:r>
          </w:p>
        </w:tc>
        <w:tc>
          <w:tcPr>
            <w:tcW w:type="dxa" w:w="1570"/>
            <w:shd w:fill="FAFBFC"/>
          </w:tcPr>
          <w:p>
            <w:r>
              <w:rPr>
                <w:rFonts w:ascii="Calibri" w:hAnsi="Calibri"/>
                <w:b w:val="0"/>
                <w:i w:val="0"/>
                <w:color w:val="1F2937"/>
                <w:sz w:val="15"/>
              </w:rPr>
              <w:t>Include</w:t>
              <w:br/>
              <w:t>medium confidence</w:t>
            </w:r>
          </w:p>
        </w:tc>
      </w:tr>
      <w:tr>
        <w:tc>
          <w:tcPr>
            <w:tcW w:type="dxa" w:w="620"/>
          </w:tcPr>
          <w:p>
            <w:r>
              <w:rPr>
                <w:rFonts w:ascii="Calibri" w:hAnsi="Calibri"/>
                <w:b/>
                <w:i w:val="0"/>
                <w:color w:val="1F2937"/>
                <w:sz w:val="15"/>
              </w:rPr>
              <w:t>27</w:t>
            </w:r>
          </w:p>
        </w:tc>
        <w:tc>
          <w:tcPr>
            <w:tcW w:type="dxa" w:w="620"/>
          </w:tcPr>
          <w:p>
            <w:r>
              <w:rPr>
                <w:rFonts w:ascii="Calibri" w:hAnsi="Calibri"/>
                <w:b/>
                <w:i w:val="0"/>
                <w:color w:val="1F2937"/>
                <w:sz w:val="15"/>
              </w:rPr>
              <w:t>338</w:t>
            </w:r>
          </w:p>
        </w:tc>
        <w:tc>
          <w:tcPr>
            <w:tcW w:type="dxa" w:w="2050"/>
          </w:tcPr>
          <w:p>
            <w:r>
              <w:rPr>
                <w:rFonts w:ascii="Calibri" w:hAnsi="Calibri"/>
                <w:b w:val="0"/>
                <w:i w:val="0"/>
                <w:color w:val="1F2937"/>
                <w:sz w:val="15"/>
              </w:rPr>
              <w:t>overtime exempt ot hours salaried 40</w:t>
            </w:r>
          </w:p>
        </w:tc>
        <w:tc>
          <w:tcPr>
            <w:tcW w:type="dxa" w:w="4500"/>
            <w:shd w:fill="E2F0D9"/>
          </w:tcPr>
          <w:p>
            <w:r>
              <w:rPr>
                <w:rFonts w:ascii="Calibri" w:hAnsi="Calibri"/>
                <w:b w:val="0"/>
                <w:i w:val="0"/>
                <w:color w:val="1F2937"/>
                <w:sz w:val="15"/>
              </w:rPr>
              <w:t>Compensation and pay rights</w:t>
              <w:br/>
              <w:t>Overtime and exempt status</w:t>
            </w:r>
          </w:p>
        </w:tc>
        <w:tc>
          <w:tcPr>
            <w:tcW w:type="dxa" w:w="1570"/>
          </w:tcPr>
          <w:p>
            <w:r>
              <w:rPr>
                <w:rFonts w:ascii="Calibri" w:hAnsi="Calibri"/>
                <w:b w:val="0"/>
                <w:i w:val="0"/>
                <w:color w:val="1F2937"/>
                <w:sz w:val="15"/>
              </w:rPr>
              <w:t>Include</w:t>
              <w:br/>
              <w:t>high confidence</w:t>
            </w:r>
          </w:p>
        </w:tc>
      </w:tr>
      <w:tr>
        <w:tc>
          <w:tcPr>
            <w:tcW w:type="dxa" w:w="620"/>
            <w:shd w:fill="FAFBFC"/>
          </w:tcPr>
          <w:p>
            <w:r>
              <w:rPr>
                <w:rFonts w:ascii="Calibri" w:hAnsi="Calibri"/>
                <w:b/>
                <w:i w:val="0"/>
                <w:color w:val="1F2937"/>
                <w:sz w:val="15"/>
              </w:rPr>
              <w:t>28</w:t>
            </w:r>
          </w:p>
        </w:tc>
        <w:tc>
          <w:tcPr>
            <w:tcW w:type="dxa" w:w="620"/>
            <w:shd w:fill="FAFBFC"/>
          </w:tcPr>
          <w:p>
            <w:r>
              <w:rPr>
                <w:rFonts w:ascii="Calibri" w:hAnsi="Calibri"/>
                <w:b/>
                <w:i w:val="0"/>
                <w:color w:val="1F2937"/>
                <w:sz w:val="15"/>
              </w:rPr>
              <w:t>328</w:t>
            </w:r>
          </w:p>
        </w:tc>
        <w:tc>
          <w:tcPr>
            <w:tcW w:type="dxa" w:w="2050"/>
            <w:shd w:fill="FAFBFC"/>
          </w:tcPr>
          <w:p>
            <w:r>
              <w:rPr>
                <w:rFonts w:ascii="Calibri" w:hAnsi="Calibri"/>
                <w:b w:val="0"/>
                <w:i w:val="0"/>
                <w:color w:val="1F2937"/>
                <w:sz w:val="15"/>
              </w:rPr>
              <w:t>phone phones personal cell app number</w:t>
            </w:r>
          </w:p>
        </w:tc>
        <w:tc>
          <w:tcPr>
            <w:tcW w:type="dxa" w:w="4500"/>
            <w:shd w:fill="E2F0D9"/>
          </w:tcPr>
          <w:p>
            <w:r>
              <w:rPr>
                <w:rFonts w:ascii="Calibri" w:hAnsi="Calibri"/>
                <w:b w:val="0"/>
                <w:i w:val="0"/>
                <w:color w:val="1F2937"/>
                <w:sz w:val="15"/>
              </w:rPr>
              <w:t>Work arrangements and control</w:t>
              <w:br/>
              <w:t>Personal-phone and off-hours boundaries</w:t>
            </w:r>
          </w:p>
        </w:tc>
        <w:tc>
          <w:tcPr>
            <w:tcW w:type="dxa" w:w="1570"/>
            <w:shd w:fill="FAFBFC"/>
          </w:tcPr>
          <w:p>
            <w:r>
              <w:rPr>
                <w:rFonts w:ascii="Calibri" w:hAnsi="Calibri"/>
                <w:b w:val="0"/>
                <w:i w:val="0"/>
                <w:color w:val="1F2937"/>
                <w:sz w:val="15"/>
              </w:rPr>
              <w:t>Include</w:t>
              <w:br/>
              <w:t>high confidence</w:t>
            </w:r>
          </w:p>
        </w:tc>
      </w:tr>
      <w:tr>
        <w:tc>
          <w:tcPr>
            <w:tcW w:type="dxa" w:w="620"/>
          </w:tcPr>
          <w:p>
            <w:r>
              <w:rPr>
                <w:rFonts w:ascii="Calibri" w:hAnsi="Calibri"/>
                <w:b/>
                <w:i w:val="0"/>
                <w:color w:val="1F2937"/>
                <w:sz w:val="15"/>
              </w:rPr>
              <w:t>29</w:t>
            </w:r>
          </w:p>
        </w:tc>
        <w:tc>
          <w:tcPr>
            <w:tcW w:type="dxa" w:w="620"/>
          </w:tcPr>
          <w:p>
            <w:r>
              <w:rPr>
                <w:rFonts w:ascii="Calibri" w:hAnsi="Calibri"/>
                <w:b/>
                <w:i w:val="0"/>
                <w:color w:val="1F2937"/>
                <w:sz w:val="15"/>
              </w:rPr>
              <w:t>321</w:t>
            </w:r>
          </w:p>
        </w:tc>
        <w:tc>
          <w:tcPr>
            <w:tcW w:type="dxa" w:w="2050"/>
          </w:tcPr>
          <w:p>
            <w:r>
              <w:rPr>
                <w:rFonts w:ascii="Calibri" w:hAnsi="Calibri"/>
                <w:b w:val="0"/>
                <w:i w:val="0"/>
                <w:color w:val="1F2937"/>
                <w:sz w:val="15"/>
              </w:rPr>
              <w:t>antiwork sub anti movement subreddit society</w:t>
            </w:r>
          </w:p>
        </w:tc>
        <w:tc>
          <w:tcPr>
            <w:tcW w:type="dxa" w:w="4500"/>
            <w:shd w:fill="F2F4F7"/>
          </w:tcPr>
          <w:p>
            <w:r>
              <w:rPr>
                <w:rFonts w:ascii="Calibri" w:hAnsi="Calibri"/>
                <w:b w:val="0"/>
                <w:i w:val="0"/>
                <w:color w:val="1F2937"/>
                <w:sz w:val="15"/>
              </w:rPr>
              <w:t>Other</w:t>
              <w:br/>
              <w:t>Community meta-discussion</w:t>
            </w:r>
          </w:p>
        </w:tc>
        <w:tc>
          <w:tcPr>
            <w:tcW w:type="dxa" w:w="1570"/>
          </w:tcPr>
          <w:p>
            <w:r>
              <w:rPr>
                <w:rFonts w:ascii="Calibri" w:hAnsi="Calibri"/>
                <w:b w:val="0"/>
                <w:i w:val="0"/>
                <w:color w:val="1F2937"/>
                <w:sz w:val="15"/>
              </w:rPr>
              <w:t>Exclude</w:t>
              <w:br/>
              <w:t>high confidence</w:t>
            </w:r>
          </w:p>
        </w:tc>
      </w:tr>
    </w:tbl>
    <w:sectPr w:rsidR="00FC693F" w:rsidRPr="0006063C" w:rsidSect="00034616">
      <w:headerReference w:type="default" r:id="rId9"/>
      <w:headerReference w:type="even" r:id="rId10"/>
      <w:footerReference w:type="default" r:id="rId11"/>
      <w:footerReference w:type="even" r:id="rId12"/>
      <w:pgSz w:w="12240" w:h="15840"/>
      <w:pgMar w:top="1094" w:right="1181" w:bottom="1008" w:left="1181"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D6B7A"/>
        <w:sz w:val="16"/>
      </w:rPr>
      <w:t>Updated 11 September 2026 | Exploratory evidence package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D6B7A"/>
        <w:sz w:val="16"/>
      </w:rPr>
      <w:t>Updated 11 September 2026 | Exploratory evidence package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D6B7A"/>
        <w:sz w:val="16"/>
      </w:rPr>
      <w:t>Antiwork topic modeling | Analysis brief</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D6B7A"/>
        <w:sz w:val="16"/>
      </w:rPr>
      <w:t>Antiwork topic modeling | Analysis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7365D"/>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github.com/tristowww/antiwork-topic-mode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