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i w:val="0"/>
          <w:color w:val="000000"/>
          <w:sz w:val="48"/>
        </w:rPr>
        <w:t>Antiwork Visual Analysis Appendix</w:t>
      </w:r>
    </w:p>
    <w:p>
      <w:pPr>
        <w:spacing w:after="320"/>
      </w:pPr>
      <w:r>
        <w:rPr>
          <w:rFonts w:ascii="Aptos" w:hAnsi="Aptos"/>
          <w:b w:val="0"/>
          <w:i w:val="0"/>
          <w:color w:val="4B5563"/>
          <w:sz w:val="24"/>
        </w:rPr>
        <w:t>Exploratory topic-modeling figures for collaborator review</w:t>
      </w:r>
    </w:p>
    <w:p>
      <w:pPr>
        <w:spacing w:after="200"/>
      </w:pPr>
      <w:r>
        <w:rPr>
          <w:rFonts w:ascii="Aptos" w:hAnsi="Aptos"/>
          <w:b w:val="0"/>
          <w:i w:val="0"/>
          <w:color w:val="000000"/>
          <w:sz w:val="22"/>
        </w:rPr>
        <w:t>This appendix gathers the available aggregate graphics used to assess the corpus, document the reviewed theme map, describe longitudinal patterns, and evaluate topic-model stability. It is intended to accompany the analysis brief and manuscript, not replace their methods and limitations.</w:t>
      </w:r>
    </w:p>
    <w:p>
      <w:pPr>
        <w:spacing w:after="200"/>
      </w:pPr>
      <w:r>
        <w:rPr>
          <w:rFonts w:ascii="Aptos" w:hAnsi="Aptos"/>
          <w:b w:val="0"/>
          <w:i w:val="0"/>
          <w:color w:val="000000"/>
          <w:sz w:val="21"/>
        </w:rPr>
        <w:t>Scope note. The primary corpus contains 97,254 management-term r/antiwork posts from March 2021 through February 2025. Topic prevalence figures use all filtered posts as the denominator unless their captions state otherwise. The reviewed candidate-theme codebook contains 27 clusters and covers 18,506 posts (19.0% of the filtered corpus).</w:t>
      </w:r>
    </w:p>
    <w:p>
      <w:pPr>
        <w:spacing w:after="0"/>
      </w:pPr>
      <w:r>
        <w:rPr>
          <w:rFonts w:ascii="Aptos" w:hAnsi="Aptos"/>
          <w:b w:val="0"/>
          <w:i/>
          <w:color w:val="4B5563"/>
          <w:sz w:val="21"/>
        </w:rPr>
        <w:t>The appendix also includes the completed fixed RoBERTa whole-post polarity check. These estimates provide descriptive evidence about the problem-oriented sampling frame; they are not human-validated, management-targeted, or causal measures. Per-post labels and the four-post smoke-test graphic remain local.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i w:val="0"/>
          <w:color w:val="000000"/>
          <w:sz w:val="30"/>
        </w:rPr>
        <w:t>Figure 1  From collection to estimates</w:t>
      </w:r>
    </w:p>
    <w:p>
      <w:r>
        <w:drawing>
          <wp:inline xmlns:a="http://schemas.openxmlformats.org/drawingml/2006/main" xmlns:pic="http://schemas.openxmlformats.org/drawingml/2006/picture">
            <wp:extent cx="5852160" cy="2142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ef_collection_to_results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42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ptos" w:hAnsi="Aptos"/>
          <w:b w:val="0"/>
          <w:i/>
          <w:color w:val="4B5563"/>
          <w:sz w:val="18"/>
        </w:rPr>
        <w:t>Collection, filtering, topic discovery, review, and descriptive estimation. The appendix uses aggregate evidence only; raw post text remains local.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i w:val="0"/>
          <w:color w:val="000000"/>
          <w:sz w:val="30"/>
        </w:rPr>
        <w:t>Figure 2  Topic assignment coverage</w:t>
      </w:r>
    </w:p>
    <w:p>
      <w:r>
        <w:drawing>
          <wp:inline xmlns:a="http://schemas.openxmlformats.org/drawingml/2006/main" xmlns:pic="http://schemas.openxmlformats.org/drawingml/2006/picture">
            <wp:extent cx="5806440" cy="29205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assignment_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20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ptos" w:hAnsi="Aptos"/>
          <w:b w:val="0"/>
          <w:i/>
          <w:color w:val="4B5563"/>
          <w:sz w:val="18"/>
        </w:rPr>
        <w:t>The share of filtered posts assigned to a non-outlier BERTopic cluster by month. Unassigned posts are a coverage limitation rather than a substantive category.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i w:val="0"/>
          <w:color w:val="000000"/>
          <w:sz w:val="30"/>
        </w:rPr>
        <w:t>Figure 3  Main theme trends</w:t>
      </w:r>
    </w:p>
    <w:p>
      <w:r>
        <w:drawing>
          <wp:inline xmlns:a="http://schemas.openxmlformats.org/drawingml/2006/main" xmlns:pic="http://schemas.openxmlformats.org/drawingml/2006/picture">
            <wp:extent cx="5806440" cy="17263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ief_key_theme_monthly_tren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26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ptos" w:hAnsi="Aptos"/>
          <w:b w:val="0"/>
          <w:i/>
          <w:color w:val="4B5563"/>
          <w:sz w:val="18"/>
        </w:rPr>
        <w:t>Three-month rolling prevalence for the themes central to the descriptive interpretation. Each series is divided by all filtered posts in that month.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i w:val="0"/>
          <w:color w:val="000000"/>
          <w:sz w:val="30"/>
        </w:rPr>
        <w:t>Figure 4  Ten largest reviewed subthemes by month</w:t>
      </w:r>
    </w:p>
    <w:p>
      <w:r>
        <w:drawing>
          <wp:inline xmlns:a="http://schemas.openxmlformats.org/drawingml/2006/main" xmlns:pic="http://schemas.openxmlformats.org/drawingml/2006/picture">
            <wp:extent cx="5806440" cy="27158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0_reviewed_subtheme_monthly_preval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15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ptos" w:hAnsi="Aptos"/>
          <w:b w:val="0"/>
          <w:i/>
          <w:color w:val="4B5563"/>
          <w:sz w:val="18"/>
        </w:rPr>
        <w:t>Exact month-by-month prevalence for the ten largest included BERTopic clusters, which are subthemes nested within the nine reviewed themes. Panel n values are full-period cluster sizes.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i w:val="0"/>
          <w:color w:val="000000"/>
          <w:sz w:val="30"/>
        </w:rPr>
        <w:t>Figure 5  All reviewed theme trends</w:t>
      </w:r>
    </w:p>
    <w:p>
      <w:r>
        <w:drawing>
          <wp:inline xmlns:a="http://schemas.openxmlformats.org/drawingml/2006/main" xmlns:pic="http://schemas.openxmlformats.org/drawingml/2006/picture">
            <wp:extent cx="5806440" cy="402180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theme_monthly_prevalen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1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ptos" w:hAnsi="Aptos"/>
          <w:b w:val="0"/>
          <w:i/>
          <w:color w:val="4B5563"/>
          <w:sz w:val="18"/>
        </w:rPr>
        <w:t>Monthly prevalence for all included candidate themes. The codebook covers 18,506 posts, or 19.0% of the filtered corpus.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i w:val="0"/>
          <w:color w:val="000000"/>
          <w:sz w:val="30"/>
        </w:rPr>
        <w:t>Figure 6  Theme prevalence by rolling window</w:t>
      </w:r>
    </w:p>
    <w:p>
      <w:r>
        <w:drawing>
          <wp:inline xmlns:a="http://schemas.openxmlformats.org/drawingml/2006/main" xmlns:pic="http://schemas.openxmlformats.org/drawingml/2006/picture">
            <wp:extent cx="5120640" cy="26920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theme_rolling_window_preval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92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ptos" w:hAnsi="Aptos"/>
          <w:b w:val="0"/>
          <w:i/>
          <w:color w:val="4B5563"/>
          <w:sz w:val="18"/>
        </w:rPr>
        <w:t>Exploratory theme prevalence across the four March-to-February rolling windows. These are shares of all filtered posts, not the full content taxonomy.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i w:val="0"/>
          <w:color w:val="000000"/>
          <w:sz w:val="30"/>
        </w:rPr>
        <w:t>Figure 7  Y1 and Y4 theme comparison</w:t>
      </w:r>
    </w:p>
    <w:p>
      <w:r>
        <w:drawing>
          <wp:inline xmlns:a="http://schemas.openxmlformats.org/drawingml/2006/main" xmlns:pic="http://schemas.openxmlformats.org/drawingml/2006/picture">
            <wp:extent cx="5806440" cy="30241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theme_y1_y4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24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ptos" w:hAnsi="Aptos"/>
          <w:b w:val="0"/>
          <w:i/>
          <w:color w:val="4B5563"/>
          <w:sz w:val="18"/>
        </w:rPr>
        <w:t>Exploratory Y1-to-Y4 comparison of candidate-theme prevalence. Y1 is labeled as the Great Resignation period (March 2021-February 2022); connecting lines show descriptive percentage-point change, not causal effects.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i w:val="0"/>
          <w:color w:val="000000"/>
          <w:sz w:val="30"/>
        </w:rPr>
        <w:t>Figure 8  Anchor topic prevalence</w:t>
      </w:r>
    </w:p>
    <w:p>
      <w:r>
        <w:drawing>
          <wp:inline xmlns:a="http://schemas.openxmlformats.org/drawingml/2006/main" xmlns:pic="http://schemas.openxmlformats.org/drawingml/2006/picture">
            <wp:extent cx="5806440" cy="53429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anchor_topic_preval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42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ptos" w:hAnsi="Aptos"/>
          <w:b w:val="0"/>
          <w:i/>
          <w:color w:val="4B5563"/>
          <w:sz w:val="18"/>
        </w:rPr>
        <w:t>Monthly prevalence of selected anchor topics from the full-corpus model. This provides topic-level context alongside the reviewed-theme map.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i w:val="0"/>
          <w:color w:val="000000"/>
          <w:sz w:val="30"/>
        </w:rPr>
        <w:t>Figure 9  Largest topic prevalence</w:t>
      </w:r>
    </w:p>
    <w:p>
      <w:r>
        <w:drawing>
          <wp:inline xmlns:a="http://schemas.openxmlformats.org/drawingml/2006/main" xmlns:pic="http://schemas.openxmlformats.org/drawingml/2006/picture">
            <wp:extent cx="5806440" cy="29032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topic_prevalence_top20_fu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ptos" w:hAnsi="Aptos"/>
          <w:b w:val="0"/>
          <w:i/>
          <w:color w:val="4B5563"/>
          <w:sz w:val="18"/>
        </w:rPr>
        <w:t>Monthly prevalence across the 20 most prevalent full-corpus model topics. This is exploratory descriptive context, not a codebook of final themes.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i w:val="0"/>
          <w:color w:val="000000"/>
          <w:sz w:val="30"/>
        </w:rPr>
        <w:t>Figure 10  Theme and subtheme hierarchy</w:t>
      </w:r>
    </w:p>
    <w:p>
      <w:r>
        <w:drawing>
          <wp:inline xmlns:a="http://schemas.openxmlformats.org/drawingml/2006/main" xmlns:pic="http://schemas.openxmlformats.org/drawingml/2006/picture">
            <wp:extent cx="4663440" cy="58788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ewed_theme_hierarch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5878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ptos" w:hAnsi="Aptos"/>
          <w:b w:val="0"/>
          <w:i/>
          <w:color w:val="4B5563"/>
          <w:sz w:val="18"/>
        </w:rPr>
        <w:t>The nine reviewed candidate themes, their included subthemes, and full-corpus cluster sizes. Node area scales with cluster n.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i w:val="0"/>
          <w:color w:val="000000"/>
          <w:sz w:val="30"/>
        </w:rPr>
        <w:t>Figure 11  Whole-corpus polarity by rolling window</w:t>
      </w:r>
    </w:p>
    <w:p>
      <w:r>
        <w:drawing>
          <wp:inline xmlns:a="http://schemas.openxmlformats.org/drawingml/2006/main" xmlns:pic="http://schemas.openxmlformats.org/drawingml/2006/picture">
            <wp:extent cx="5806440" cy="24252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_by_rolling_wind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25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ptos" w:hAnsi="Aptos"/>
          <w:b w:val="0"/>
          <w:i/>
          <w:color w:val="4B5563"/>
          <w:sz w:val="18"/>
        </w:rPr>
        <w:t>Context-aware whole-post RoBERTa polarity estimates for all 97,254 retained posts. They are model-based, not human-validated or management-targeted sentiment labels.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i w:val="0"/>
          <w:color w:val="000000"/>
          <w:sz w:val="30"/>
        </w:rPr>
        <w:t>Figure 12  Polarity within reviewed themes</w:t>
      </w:r>
    </w:p>
    <w:p>
      <w:r>
        <w:drawing>
          <wp:inline xmlns:a="http://schemas.openxmlformats.org/drawingml/2006/main" xmlns:pic="http://schemas.openxmlformats.org/drawingml/2006/picture">
            <wp:extent cx="5806440" cy="34568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theme_negative_probability_by_month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56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ptos" w:hAnsi="Aptos"/>
          <w:b w:val="0"/>
          <w:i/>
          <w:color w:val="4B5563"/>
          <w:sz w:val="18"/>
        </w:rPr>
        <w:t>Three-month rolling mean of model-estimated negative whole-post polarity within each reviewed theme. It is conditional on theme assignment and distinct from theme prevalence.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i w:val="0"/>
          <w:color w:val="000000"/>
          <w:sz w:val="30"/>
        </w:rPr>
        <w:t>Figure 13  Window alignment Y1 to Y2</w:t>
      </w:r>
    </w:p>
    <w:p>
      <w:r>
        <w:drawing>
          <wp:inline xmlns:a="http://schemas.openxmlformats.org/drawingml/2006/main" xmlns:pic="http://schemas.openxmlformats.org/drawingml/2006/picture">
            <wp:extent cx="4297680" cy="358789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ignment_Y1_2021-22_vs_Y2_2022-2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587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ptos" w:hAnsi="Aptos"/>
          <w:b w:val="0"/>
          <w:i/>
          <w:color w:val="4B5563"/>
          <w:sz w:val="18"/>
        </w:rPr>
        <w:t>Conservative top-term alignment between adjacent rolling-window topic fits. It is supporting context for stability, not evidence of a persistent construct.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i w:val="0"/>
          <w:color w:val="000000"/>
          <w:sz w:val="30"/>
        </w:rPr>
        <w:t>Figure 14  Window alignment Y2 to Y3</w:t>
      </w:r>
    </w:p>
    <w:p>
      <w:r>
        <w:drawing>
          <wp:inline xmlns:a="http://schemas.openxmlformats.org/drawingml/2006/main" xmlns:pic="http://schemas.openxmlformats.org/drawingml/2006/picture">
            <wp:extent cx="4297680" cy="65149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ignment_Y2_2022-23_vs_Y3_2023-2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6514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ptos" w:hAnsi="Aptos"/>
          <w:b w:val="0"/>
          <w:i/>
          <w:color w:val="4B5563"/>
          <w:sz w:val="18"/>
        </w:rPr>
        <w:t>Conservative top-term alignment between adjacent rolling-window topic fits. It is supporting context for stability, not evidence of a persistent construct.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i w:val="0"/>
          <w:color w:val="000000"/>
          <w:sz w:val="30"/>
        </w:rPr>
        <w:t>Figure 15  Window alignment Y3 to Y4</w:t>
      </w:r>
    </w:p>
    <w:p>
      <w:r>
        <w:drawing>
          <wp:inline xmlns:a="http://schemas.openxmlformats.org/drawingml/2006/main" xmlns:pic="http://schemas.openxmlformats.org/drawingml/2006/picture">
            <wp:extent cx="4297680" cy="61868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ignment_Y3_2023-24_vs_Y4_2024-2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6186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ptos" w:hAnsi="Aptos"/>
          <w:b w:val="0"/>
          <w:i/>
          <w:color w:val="4B5563"/>
          <w:sz w:val="18"/>
        </w:rPr>
        <w:t>Conservative top-term alignment between adjacent rolling-window topic fits. It is supporting context for stability, not evidence of a persistent construct.</w:t>
      </w:r>
    </w:p>
    <w:p>
      <w:r>
        <w:br w:type="page"/>
      </w:r>
    </w:p>
    <w:p>
      <w:pPr>
        <w:pStyle w:val="Heading1"/>
      </w:pPr>
      <w:r>
        <w:rPr>
          <w:rFonts w:ascii="Aptos" w:hAnsi="Aptos"/>
          <w:b/>
          <w:i w:val="0"/>
          <w:color w:val="000000"/>
          <w:sz w:val="30"/>
        </w:rPr>
        <w:t>Figure 16  Window alignment Y1 to Y4</w:t>
      </w:r>
    </w:p>
    <w:p>
      <w:r>
        <w:drawing>
          <wp:inline xmlns:a="http://schemas.openxmlformats.org/drawingml/2006/main" xmlns:pic="http://schemas.openxmlformats.org/drawingml/2006/picture">
            <wp:extent cx="4297680" cy="78298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ignment_Y1_2021-22_vs_Y4_2024-2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7829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Aptos" w:hAnsi="Aptos"/>
          <w:b w:val="0"/>
          <w:i/>
          <w:color w:val="4B5563"/>
          <w:sz w:val="18"/>
        </w:rPr>
        <w:t>A long-range alignment comparison between the first and fourth rolling-window fits. Use this as a robustness diagnostic, not a claim of stable themes across all years.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4B5563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i w:val="0"/>
        <w:color w:val="4B5563"/>
        <w:sz w:val="16"/>
      </w:rPr>
      <w:t>Antiwork topic modeling visual appendix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