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i w:val="0"/>
          <w:color w:val="4978A8"/>
          <w:sz w:val="19"/>
        </w:rPr>
        <w:t>ANALYSIS BRIEF</w:t>
      </w:r>
    </w:p>
    <w:p>
      <w:pPr>
        <w:spacing w:after="40"/>
      </w:pPr>
      <w:r>
        <w:rPr>
          <w:rFonts w:ascii="Calibri" w:hAnsi="Calibri"/>
          <w:b/>
          <w:i w:val="0"/>
          <w:color w:val="17365D"/>
          <w:sz w:val="52"/>
        </w:rPr>
        <w:t>Antiwork Topic Modeling</w:t>
      </w:r>
    </w:p>
    <w:p>
      <w:pPr>
        <w:spacing w:after="280"/>
      </w:pPr>
      <w:r>
        <w:rPr>
          <w:rFonts w:ascii="Calibri" w:hAnsi="Calibri"/>
          <w:b w:val="0"/>
          <w:i w:val="0"/>
          <w:color w:val="5D6B7A"/>
          <w:sz w:val="26"/>
        </w:rPr>
        <w:t>Exploratory longitudinal findings and writing handoff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97,254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filtered posts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199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non-outlier clusters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38.6%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topic assignment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19.0%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theme-map coverage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Bottom line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1"/>
        </w:rPr>
        <w:t>Across 97,254 management-related r/antiwork posts from March 2021 through February 2025, the updated BERTopic analysis identifies a descriptive shift away from COVID-centered health and safety discussion and toward scheduling and time-off discussion. Compensation, career precarity, and recruitment remain present across the four rolling windows.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What I completed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Rebuilt the analysis with a modern BERTopic pipeline; exported document-level assignments and four rolling-window fits; finalized a 27-cluster, nine-theme codebook; and generated trends, figures, and a reproducibility record.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What the paper should claim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Descriptive prevalence patterns within the documented theme map. The paper should not claim causal effects, full-conversation prevalence, or sentiment change.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Headline patterns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300"/>
        <w:gridCol w:w="1500"/>
        <w:gridCol w:w="1500"/>
        <w:gridCol w:w="3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Theme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Descriptive readout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Health safety and attendance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4.97%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2.50%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Down 2.47 pp; early COVID/illness concentration contracts.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Scheduling hours and time off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1.71%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3.20%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Up 1.49 pp; largest mapped theme in Y4.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Compensation and pay rights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3.52%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3.04%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Remains substantial in every window after a Y2 high.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Career precarity and exit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2.54%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2.47%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Broadly stable across four rolling windows.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5D6B7A"/>
          <w:sz w:val="17"/>
        </w:rPr>
        <w:t>All percentages use every filtered post in each rolling window as the denominator. They describe the mapped subset, not all potentially relevant content in the corpus.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Analysis steps completed</w:t>
      </w:r>
    </w:p>
    <w:p>
      <w:pPr>
        <w:spacing w:after="160"/>
      </w:pPr>
      <w:r>
        <w:rPr>
          <w:rFonts w:ascii="Calibri" w:hAnsi="Calibri"/>
          <w:b w:val="0"/>
          <w:i w:val="0"/>
          <w:color w:val="5D6B7A"/>
          <w:sz w:val="19"/>
        </w:rPr>
        <w:t>This sequence was completed before the writing handoff. It separates deterministic corpus checks, model-based topic discovery, descriptive prevalence estimates, and robustness evidence.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1. Freeze and audit the corpus. </w:t>
      </w:r>
      <w:r>
        <w:rPr>
          <w:rFonts w:ascii="Calibri" w:hAnsi="Calibri"/>
          <w:b w:val="0"/>
          <w:i w:val="0"/>
          <w:color w:val="1F2937"/>
          <w:sz w:val="19"/>
        </w:rPr>
        <w:t>Matched the management-related filter to the preprocessed analysis corpus and confirmed 97,254 unique post IDs. A duplicate audit found 1.2% residual duplicate non-placeholder texts; this is reported rather than silently removed.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2. Construct the primary text field. </w:t>
      </w:r>
      <w:r>
        <w:rPr>
          <w:rFonts w:ascii="Calibri" w:hAnsi="Calibri"/>
          <w:b w:val="0"/>
          <w:i w:val="0"/>
          <w:color w:val="1F2937"/>
          <w:sz w:val="19"/>
        </w:rPr>
        <w:t>Used post title plus body after handling deleted and placeholder content. A title-only run was retained as a sensitivity analysis, not substituted for the primary representation.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3. Discover topics with a current topic-modeling pipeline. </w:t>
      </w:r>
      <w:r>
        <w:rPr>
          <w:rFonts w:ascii="Calibri" w:hAnsi="Calibri"/>
          <w:b w:val="0"/>
          <w:i w:val="0"/>
          <w:color w:val="1F2937"/>
          <w:sz w:val="19"/>
        </w:rPr>
        <w:t>Embedded documents with all-MiniLM-L6-v2, reduced the embedding space with UMAP, clustered with HDBSCAN, and represented topics with BERTopic c-TF-IDF. The full-corpus model produced 199 non-outlier clusters and assigned 38.6% of posts.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4. Document the theme map. </w:t>
      </w:r>
      <w:r>
        <w:rPr>
          <w:rFonts w:ascii="Calibri" w:hAnsi="Calibri"/>
          <w:b w:val="0"/>
          <w:i w:val="0"/>
          <w:color w:val="1F2937"/>
          <w:sz w:val="19"/>
        </w:rPr>
        <w:t>Reviewed the largest 30 clusters and retained 27 interpretable clusters in a nine-theme candidate codebook. Generic, deleted, and community-meta clusters were excluded, yielding 18,506 mapped posts (19.0% of the full filtered corpus).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5. Estimate descriptive longitudinal patterns. </w:t>
      </w:r>
      <w:r>
        <w:rPr>
          <w:rFonts w:ascii="Calibri" w:hAnsi="Calibri"/>
          <w:b w:val="0"/>
          <w:i w:val="0"/>
          <w:color w:val="1F2937"/>
          <w:sz w:val="19"/>
        </w:rPr>
        <w:t>Calculated each theme's share of every filtered post in four March-to-February rolling windows. Figure 1 shows the resulting exploratory prevalence patterns; Figure 2 shows monthly assignment coverage so the mapped share is visible.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6. Test stability and state the boundary. </w:t>
      </w:r>
      <w:r>
        <w:rPr>
          <w:rFonts w:ascii="Calibri" w:hAnsi="Calibri"/>
          <w:b w:val="0"/>
          <w:i w:val="0"/>
          <w:color w:val="1F2937"/>
          <w:sz w:val="19"/>
        </w:rPr>
        <w:t>Ran seed-stability checks, title-only sensitivity, and unique-post overlap checks across rolling windows. Sentiment was intentionally not analyzed, and the paper will make no causal or full-conversation prevalence claims.</w:t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7"/>
        </w:rPr>
        <w:t>The repository retains the reproducible scripts, codebook, diagnostics, and the evidence used for the brief; the brief itself contains the decisions and figures needed for a writing handoff.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60520" cy="2277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theme_rolling_window_preval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27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6"/>
        </w:rPr>
        <w:t>Figure 1. Exploratory prevalence by rolling window. The 27-cluster map excludes generic, deleted, and community-meta clusters.</w:t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Method and evidence boundary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Primary method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Sentence-transformer embeddings (all-MiniLM-L6-v2), UMAP, HDBSCAN, BERTopic topic representations, and a full-corpus model used for longitudinal prevalence. Per-window fits are supporting stability diagnostics.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Interpretation boundary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The model assigns 38.6% of posts to non-outlier clusters. The final theme map covers 18,506 posts: 19.0% of all filtered posts and 49.3% of assigned posts.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Coverage is visible, not hidden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286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assignment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28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  <w:color w:val="5D6B7A"/>
          <w:sz w:val="16"/>
        </w:rPr>
        <w:t>Figure 2. Assignment coverage varied from 33.1% to 44.0% by month. Outliers are a coverage limitation, not a substantive category.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Robustness checks completed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Check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Result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Corpus audit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Inputs contain 97,254 matching unique post IDs; the management-term filter re-matches 100% of retained posts.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Seed stability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Across three UMAP seeds on the same 10,000-post stratified sample, joint-inlier ARI was 0.900 to 0.966.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Window alignment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Conservative one-to-one term matching is supporting context, not proof of substantive persistence.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Text sensitivity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Titles-only clustering was stable but materially different from title-plus-body; title-plus-body remains the primary representation.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color w:val="5D6B7A"/>
          <w:sz w:val="17"/>
        </w:rPr>
        <w:t>A larger all-mpnet-base-v2 encoder check was attempted but did not complete within the available CPU bound, so it is deferred and not treated as evidence.</w:t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What is left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Ready now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Results, figures, a theme codebook, coverage diagnostics, seed stability, text-mode sensitivity, and a bounded writing frame. The collaborator meeting can focus on interpretation and drafting.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Defer unless claims broaden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Sentiment annotation, a larger codebook, saved-model refit, TopicGPT comparison, and the MPNet check are useful extensions, not blockers for this exploratory paper.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Manuscript 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Draft updated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 revised manuscript draft now includes the updated title and abstract; current-study framing and research question; Methods, Results, Discussion, implications, limitations; figures; and primary BERTopic references.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Final editorial pass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Before external circulation, harmonize retained Background language with the paper's exploratory, descriptive scope. Historical theory and prior turnover findings should remain context, not claims tested by this study.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Writing handoff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>Draft in this order: method and sampling frame; coverage and descriptive results; limitations; then an exploratory discussion. Use the documented theme map and avoid causal, full-conversation, or sentiment claims.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 xml:space="preserve">Reproducible code and shareable evidence: </w:t>
      </w:r>
      <w:hyperlink r:id="rId13">
        <w:r>
          <w:rPr>
            <w:color w:val="2E74B5"/>
            <w:u w:val="single"/>
          </w:rPr>
          <w:t>https://github.com/v-tristow_microsoft/antiwork-topic-modeling</w:t>
        </w:r>
      </w:hyperlink>
    </w:p>
    <w:p>
      <w:pPr>
        <w:spacing w:after="60"/>
      </w:pPr>
      <w:r>
        <w:rPr>
          <w:rFonts w:ascii="Calibri" w:hAnsi="Calibri"/>
          <w:b w:val="0"/>
          <w:i w:val="0"/>
          <w:color w:val="5D6B7A"/>
          <w:sz w:val="17"/>
        </w:rPr>
        <w:t>Core references: planning/WRITING_HANDOFF.md, planning/ROBUSTNESS.md, and planning/CANDIDATE_THEME_CODEBOOK.csv.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19"/>
        </w:rPr>
        <w:t>Meeting frame: the updated exploratory analysis is complete and ready to become a bounded, reproducible topic-prevalence paper, without sentiment or causal claims.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94" w:right="1181" w:bottom="1008" w:left="1181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D6B7A"/>
        <w:sz w:val="16"/>
      </w:rPr>
      <w:t>Prepared 1 September 2026 | Exploratory evidence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D6B7A"/>
        <w:sz w:val="16"/>
      </w:rPr>
      <w:t>ANTIWORK TOPIC MODELING | EXPLORATORY ANALYSIS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-tristow_microsoft/antiwork-topic-model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