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i w:val="0"/>
          <w:color w:val="4978A8"/>
          <w:sz w:val="19"/>
        </w:rPr>
        <w:t>ANALYSIS BRIEF</w:t>
      </w:r>
    </w:p>
    <w:p>
      <w:pPr>
        <w:spacing w:after="40"/>
      </w:pPr>
      <w:r>
        <w:rPr>
          <w:rFonts w:ascii="Calibri" w:hAnsi="Calibri"/>
          <w:b/>
          <w:i w:val="0"/>
          <w:color w:val="17365D"/>
          <w:sz w:val="52"/>
        </w:rPr>
        <w:t>Antiwork Topic Modeling</w:t>
      </w:r>
    </w:p>
    <w:p>
      <w:pPr>
        <w:spacing w:after="280"/>
      </w:pPr>
      <w:r>
        <w:rPr>
          <w:rFonts w:ascii="Calibri" w:hAnsi="Calibri"/>
          <w:b w:val="0"/>
          <w:i w:val="0"/>
          <w:color w:val="5D6B7A"/>
          <w:sz w:val="26"/>
        </w:rPr>
        <w:t>Exploratory longitudinal findings and writing handoff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97,254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filtered posts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199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non-outlier clusters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38.6%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topic assignment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19.0%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theme-map coverage</w:t>
            </w:r>
          </w:p>
        </w:tc>
      </w:tr>
    </w:tbl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Bottom line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1"/>
        </w:rPr>
        <w:t>Across 97,254 management-related r/antiwork posts from March 2021 through February 2025, the updated BERTopic analysis identifies a descriptive shift away from COVID-centered health and safety discussion and toward scheduling and time-off discussion. Compensation, career precarity, and recruitment remain present across the four rolling windows.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What I completed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Rebuilt the analysis with a modern BERTopic pipeline; exported document-level assignments and four rolling-window fits; finalized a 27-cluster, nine-theme codebook; and generated trends, figures, and a reproducibility record.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What the paper should claim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Descriptive prevalence patterns within the documented theme map. The paper should not claim causal effects, full-conversation prevalence, or sentiment change.</w:t>
            </w:r>
          </w:p>
        </w:tc>
      </w:tr>
    </w:tbl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Headline patterns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300"/>
        <w:gridCol w:w="1500"/>
        <w:gridCol w:w="1500"/>
        <w:gridCol w:w="3060"/>
      </w:tblGrid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Theme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Y1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Y4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Descriptive readout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Health safety and attendance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4.97%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2.50%</w:t>
            </w:r>
          </w:p>
        </w:tc>
        <w:tc>
          <w:tcPr>
            <w:tcW w:type="dxa" w:w="3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Down 2.47 pp; early COVID/illness concentration contracts.</w:t>
            </w:r>
          </w:p>
        </w:tc>
      </w:tr>
      <w:tr>
        <w:tc>
          <w:tcPr>
            <w:tcW w:type="dxa" w:w="33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Scheduling hours and time off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1.71%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3.20%</w:t>
            </w:r>
          </w:p>
        </w:tc>
        <w:tc>
          <w:tcPr>
            <w:tcW w:type="dxa" w:w="30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Up 1.49 pp; largest mapped theme in Y4.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Compensation and pay rights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3.52%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3.04%</w:t>
            </w:r>
          </w:p>
        </w:tc>
        <w:tc>
          <w:tcPr>
            <w:tcW w:type="dxa" w:w="3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Remains substantial in every window after a Y2 high.</w:t>
            </w:r>
          </w:p>
        </w:tc>
      </w:tr>
      <w:tr>
        <w:tc>
          <w:tcPr>
            <w:tcW w:type="dxa" w:w="33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Career precarity and exit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2.54%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2.47%</w:t>
            </w:r>
          </w:p>
        </w:tc>
        <w:tc>
          <w:tcPr>
            <w:tcW w:type="dxa" w:w="30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Broadly stable across four rolling windows.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/>
          <w:color w:val="5D6B7A"/>
          <w:sz w:val="17"/>
        </w:rPr>
        <w:t>All percentages use every filtered post in each rolling window as the denominator. They describe the mapped subset, not all potentially relevant content in the corpus.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60520" cy="2277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theme_rolling_window_preval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227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Calibri" w:hAnsi="Calibri"/>
          <w:b w:val="0"/>
          <w:i/>
          <w:color w:val="5D6B7A"/>
          <w:sz w:val="16"/>
        </w:rPr>
        <w:t>Figure 1. Exploratory prevalence by rolling window. The 27-cluster map excludes generic, deleted, and community-meta clusters.</w:t>
      </w:r>
    </w:p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Method and evidence boundary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Primary method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Sentence-transformer embeddings (all-MiniLM-L6-v2), UMAP, HDBSCAN, BERTopic topic representations, and a full-corpus model used for longitudinal prevalence. Per-window fits are supporting stability diagnostics.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Interpretation boundary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The model assigns 38.6% of posts to non-outlier clusters. The final theme map covers 18,506 posts: 19.0% of all filtered posts and 49.3% of assigned posts.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Coverage is visible, not hidden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286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hly_assignment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28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 w:val="0"/>
          <w:i/>
          <w:color w:val="5D6B7A"/>
          <w:sz w:val="16"/>
        </w:rPr>
        <w:t>Figure 2. Assignment coverage varied from 33.1% to 44.0% by month. Outliers are a coverage limitation, not a substantive category.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Robustness checks completed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Check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Result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Corpus audit</w:t>
            </w:r>
          </w:p>
        </w:tc>
        <w:tc>
          <w:tcPr>
            <w:tcW w:type="dxa" w:w="68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Inputs contain 97,254 matching unique post IDs; the management-term filter re-matches 100% of retained posts.</w:t>
            </w:r>
          </w:p>
        </w:tc>
      </w:tr>
      <w:tr>
        <w:tc>
          <w:tcPr>
            <w:tcW w:type="dxa" w:w="2500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Seed stability</w:t>
            </w:r>
          </w:p>
        </w:tc>
        <w:tc>
          <w:tcPr>
            <w:tcW w:type="dxa" w:w="68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Across three UMAP seeds on the same 10,000-post stratified sample, joint-inlier ARI was 0.900 to 0.966.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Window alignment</w:t>
            </w:r>
          </w:p>
        </w:tc>
        <w:tc>
          <w:tcPr>
            <w:tcW w:type="dxa" w:w="68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Conservative one-to-one term matching is supporting context, not proof of substantive persistence.</w:t>
            </w:r>
          </w:p>
        </w:tc>
      </w:tr>
      <w:tr>
        <w:tc>
          <w:tcPr>
            <w:tcW w:type="dxa" w:w="2500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Text sensitivity</w:t>
            </w:r>
          </w:p>
        </w:tc>
        <w:tc>
          <w:tcPr>
            <w:tcW w:type="dxa" w:w="68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Titles-only clustering was stable but materially different from title-plus-body; title-plus-body remains the primary representation.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/>
          <w:color w:val="5D6B7A"/>
          <w:sz w:val="17"/>
        </w:rPr>
        <w:t>A larger all-mpnet-base-v2 encoder check was attempted but did not complete within the available CPU bound, so it is deferred and not treated as evidence.</w:t>
      </w:r>
    </w:p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What is left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Ready now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Results, figures, a theme codebook, coverage diagnostics, seed stability, text-mode sensitivity, and a bounded writing frame. The collaborator meeting can focus on interpretation and drafting.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Defer unless claims broaden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Sentiment annotation, a larger codebook, saved-model refit, TopicGPT comparison, and the MPNet check are useful extensions, not blockers for this exploratory paper.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Writing handoff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18"/>
        </w:rPr>
        <w:t>Draft in this order: method and sampling frame; coverage and descriptive results; limitations; then an exploratory discussion. Use the documented theme map and avoid causal, full-conversation, or sentiment claims.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18"/>
        </w:rPr>
        <w:t xml:space="preserve">Reproducible code and shareable evidence: </w:t>
      </w:r>
      <w:hyperlink r:id="rId13">
        <w:r>
          <w:rPr>
            <w:color w:val="2E74B5"/>
            <w:u w:val="single"/>
          </w:rPr>
          <w:t>https://github.com/v-tristow_microsoft/antiwork-topic-modeling</w:t>
        </w:r>
      </w:hyperlink>
    </w:p>
    <w:p>
      <w:pPr>
        <w:spacing w:after="60"/>
      </w:pPr>
      <w:r>
        <w:rPr>
          <w:rFonts w:ascii="Calibri" w:hAnsi="Calibri"/>
          <w:b w:val="0"/>
          <w:i w:val="0"/>
          <w:color w:val="5D6B7A"/>
          <w:sz w:val="17"/>
        </w:rPr>
        <w:t>Core references: planning/WRITING_HANDOFF.md, planning/ROBUSTNESS.md, and planning/CANDIDATE_THEME_CODEBOOK.csv.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19"/>
        </w:rPr>
        <w:t>Meeting frame: the updated exploratory analysis is complete and ready to become a bounded, reproducible topic-prevalence paper, without sentiment or causal claims.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94" w:right="1181" w:bottom="1008" w:left="1181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D6B7A"/>
        <w:sz w:val="16"/>
      </w:rPr>
      <w:t>Prepared 26 August 2026 | Exploratory evidence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5D6B7A"/>
        <w:sz w:val="16"/>
      </w:rPr>
      <w:t>ANTIWORK TOPIC MODELING | EXPLORATORY ANALYSIS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v-tristow_microsoft/antiwork-topic-model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