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eastAsia="Arial"/>
          <w:b/>
          <w:color w:val="19652B"/>
          <w:sz w:val="36"/>
        </w:rPr>
        <w:t>PROJECT FEATURE OVERVIEW REPORT</w:t>
      </w:r>
    </w:p>
    <w:p>
      <w:pPr>
        <w:spacing w:after="280"/>
        <w:jc w:val="center"/>
      </w:pPr>
      <w:r>
        <w:rPr>
          <w:rFonts w:ascii="Arial" w:hAnsi="Arial" w:eastAsia="Arial"/>
          <w:b/>
          <w:sz w:val="24"/>
        </w:rPr>
        <w:t>SmartTeam PIMS - Intelligent Project Management &amp; Team Matching Platform</w:t>
      </w:r>
    </w:p>
    <w:tbl>
      <w:tblPr>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040"/>
        <w:gridCol w:w="5040"/>
      </w:tblGrid>
      <w:tr>
        <w:tc>
          <w:tcPr>
            <w:tcW w:type="dxa" w:w="2304"/>
            <w:shd w:fill="19652B"/>
            <w:vAlign w:val="center"/>
          </w:tcPr>
          <w:p>
            <w:pPr>
              <w:spacing w:after="0"/>
            </w:pPr>
            <w:r/>
            <w:r>
              <w:rPr>
                <w:rFonts w:ascii="Arial" w:hAnsi="Arial" w:eastAsia="Arial"/>
                <w:b/>
                <w:color w:val="FFFFFF"/>
                <w:sz w:val="21"/>
              </w:rPr>
              <w:t>Project Name</w:t>
            </w:r>
          </w:p>
        </w:tc>
        <w:tc>
          <w:tcPr>
            <w:tcW w:type="dxa" w:w="7776"/>
            <w:vAlign w:val="center"/>
          </w:tcPr>
          <w:p>
            <w:pPr>
              <w:spacing w:after="0"/>
            </w:pPr>
            <w:r/>
            <w:r>
              <w:rPr>
                <w:rFonts w:ascii="Arial" w:hAnsi="Arial" w:eastAsia="Arial"/>
                <w:b w:val="0"/>
                <w:color w:val="1F1F1F"/>
                <w:sz w:val="21"/>
              </w:rPr>
              <w:t>SmartTeam PIMS - Intelligent Project Management &amp; Team Matching Platform</w:t>
            </w:r>
          </w:p>
        </w:tc>
      </w:tr>
      <w:tr>
        <w:tc>
          <w:tcPr>
            <w:tcW w:type="dxa" w:w="2304"/>
            <w:shd w:fill="19652B"/>
            <w:vAlign w:val="center"/>
          </w:tcPr>
          <w:p>
            <w:pPr>
              <w:spacing w:after="0"/>
            </w:pPr>
            <w:r/>
            <w:r>
              <w:rPr>
                <w:rFonts w:ascii="Arial" w:hAnsi="Arial" w:eastAsia="Arial"/>
                <w:b/>
                <w:color w:val="FFFFFF"/>
                <w:sz w:val="21"/>
              </w:rPr>
              <w:t>Abbreviation</w:t>
            </w:r>
          </w:p>
        </w:tc>
        <w:tc>
          <w:tcPr>
            <w:tcW w:type="dxa" w:w="7776"/>
            <w:vAlign w:val="center"/>
          </w:tcPr>
          <w:p>
            <w:pPr>
              <w:spacing w:after="0"/>
            </w:pPr>
            <w:r/>
            <w:r>
              <w:rPr>
                <w:rFonts w:ascii="Arial" w:hAnsi="Arial" w:eastAsia="Arial"/>
                <w:b w:val="0"/>
                <w:color w:val="1F1F1F"/>
                <w:sz w:val="21"/>
              </w:rPr>
              <w:t>PIMS</w:t>
            </w:r>
          </w:p>
        </w:tc>
      </w:tr>
      <w:tr>
        <w:tc>
          <w:tcPr>
            <w:tcW w:type="dxa" w:w="2304"/>
            <w:shd w:fill="19652B"/>
            <w:vAlign w:val="center"/>
          </w:tcPr>
          <w:p>
            <w:pPr>
              <w:spacing w:after="0"/>
            </w:pPr>
            <w:r/>
            <w:r>
              <w:rPr>
                <w:rFonts w:ascii="Arial" w:hAnsi="Arial" w:eastAsia="Arial"/>
                <w:b/>
                <w:color w:val="FFFFFF"/>
                <w:sz w:val="21"/>
              </w:rPr>
              <w:t>Class</w:t>
            </w:r>
          </w:p>
        </w:tc>
        <w:tc>
          <w:tcPr>
            <w:tcW w:type="dxa" w:w="7776"/>
            <w:vAlign w:val="center"/>
          </w:tcPr>
          <w:p>
            <w:pPr>
              <w:spacing w:after="0"/>
            </w:pPr>
            <w:r/>
            <w:r>
              <w:rPr>
                <w:rFonts w:ascii="Arial" w:hAnsi="Arial" w:eastAsia="Arial"/>
                <w:b w:val="0"/>
                <w:color w:val="1F1F1F"/>
                <w:sz w:val="21"/>
              </w:rPr>
              <w:t>SE20A05</w:t>
            </w:r>
          </w:p>
        </w:tc>
      </w:tr>
      <w:tr>
        <w:tc>
          <w:tcPr>
            <w:tcW w:type="dxa" w:w="2304"/>
            <w:shd w:fill="19652B"/>
            <w:vAlign w:val="center"/>
          </w:tcPr>
          <w:p>
            <w:pPr>
              <w:spacing w:after="0"/>
            </w:pPr>
            <w:r/>
            <w:r>
              <w:rPr>
                <w:rFonts w:ascii="Arial" w:hAnsi="Arial" w:eastAsia="Arial"/>
                <w:b/>
                <w:color w:val="FFFFFF"/>
                <w:sz w:val="21"/>
              </w:rPr>
              <w:t>Industry</w:t>
            </w:r>
          </w:p>
        </w:tc>
        <w:tc>
          <w:tcPr>
            <w:tcW w:type="dxa" w:w="7776"/>
            <w:vAlign w:val="center"/>
          </w:tcPr>
          <w:p>
            <w:pPr>
              <w:spacing w:after="0"/>
            </w:pPr>
            <w:r/>
            <w:r>
              <w:rPr>
                <w:rFonts w:ascii="Arial" w:hAnsi="Arial" w:eastAsia="Arial"/>
                <w:b w:val="0"/>
                <w:color w:val="1F1F1F"/>
                <w:sz w:val="21"/>
              </w:rPr>
              <w:t>Information Technology</w:t>
            </w:r>
          </w:p>
        </w:tc>
      </w:tr>
      <w:tr>
        <w:tc>
          <w:tcPr>
            <w:tcW w:type="dxa" w:w="2304"/>
            <w:shd w:fill="19652B"/>
            <w:vAlign w:val="center"/>
          </w:tcPr>
          <w:p>
            <w:pPr>
              <w:spacing w:after="0"/>
            </w:pPr>
            <w:r/>
            <w:r>
              <w:rPr>
                <w:rFonts w:ascii="Arial" w:hAnsi="Arial" w:eastAsia="Arial"/>
                <w:b/>
                <w:color w:val="FFFFFF"/>
                <w:sz w:val="21"/>
              </w:rPr>
              <w:t>Team</w:t>
            </w:r>
          </w:p>
        </w:tc>
        <w:tc>
          <w:tcPr>
            <w:tcW w:type="dxa" w:w="7776"/>
            <w:vAlign w:val="center"/>
          </w:tcPr>
          <w:p>
            <w:pPr>
              <w:spacing w:after="0"/>
            </w:pPr>
            <w:r/>
            <w:r>
              <w:rPr>
                <w:rFonts w:ascii="Arial" w:hAnsi="Arial" w:eastAsia="Arial"/>
                <w:b w:val="0"/>
                <w:color w:val="1F1F1F"/>
                <w:sz w:val="21"/>
              </w:rPr>
              <w:t>Group 3</w:t>
            </w:r>
          </w:p>
        </w:tc>
      </w:tr>
    </w:tbl>
    <w:p/>
    <w:p>
      <w:pPr>
        <w:pStyle w:val="Heading1"/>
        <w:spacing w:before="240" w:after="120"/>
      </w:pPr>
      <w:r>
        <w:rPr>
          <w:rFonts w:ascii="Arial" w:hAnsi="Arial" w:eastAsia="Arial"/>
          <w:b/>
          <w:color w:val="19652B"/>
          <w:sz w:val="28"/>
        </w:rPr>
        <w:t>1. Problem Statement and Project Objectives</w:t>
      </w:r>
    </w:p>
    <w:p>
      <w:pPr>
        <w:pStyle w:val="Heading2"/>
        <w:spacing w:before="120" w:after="120"/>
      </w:pPr>
      <w:r>
        <w:rPr>
          <w:rFonts w:ascii="Arial" w:hAnsi="Arial" w:eastAsia="Arial"/>
          <w:b/>
          <w:color w:val="1F1F1F"/>
          <w:sz w:val="24"/>
        </w:rPr>
        <w:t>1.1. Background</w:t>
      </w:r>
    </w:p>
    <w:p>
      <w:pPr>
        <w:spacing w:after="100" w:line="259" w:lineRule="auto"/>
      </w:pPr>
      <w:r>
        <w:rPr>
          <w:rFonts w:ascii="Arial" w:hAnsi="Arial" w:eastAsia="Arial"/>
          <w:color w:val="1F1F1F"/>
          <w:sz w:val="21"/>
        </w:rPr>
        <w:t>University software engineering projects are commonly managed through fragmented tools such as spreadsheets, chat groups, personal cloud folders, and manual instructor tracking. This creates duplicated data, unclear team membership, inconsistent milestone evidence, delayed mentor feedback, and limited visibility for committee evaluation. When students form teams manually, compatibility is often based on friendship or availability alone, while important academic factors such as technical skills, GPA, schedule alignment, project interest, and working style are not evaluated systematically.</w:t>
      </w:r>
    </w:p>
    <w:p>
      <w:pPr>
        <w:spacing w:after="100" w:line="259" w:lineRule="auto"/>
      </w:pPr>
      <w:r>
        <w:rPr>
          <w:rFonts w:ascii="Arial" w:hAnsi="Arial" w:eastAsia="Arial"/>
          <w:color w:val="1F1F1F"/>
          <w:sz w:val="21"/>
        </w:rPr>
        <w:t>SmartTeam PIMS addresses these challenges by centralizing the full student project lifecycle in one Java Web platform. The system supports secure authentication, role-based access control, student profiling, team formation, mentor assignment, project submission, progress review, and final evaluation. The added AI capability strengthens the workflow by recommending suitable teammates and mentors using structured profile and project data.</w:t>
      </w:r>
    </w:p>
    <w:p>
      <w:pPr>
        <w:pStyle w:val="Heading2"/>
        <w:spacing w:before="120" w:after="120"/>
      </w:pPr>
      <w:r>
        <w:rPr>
          <w:rFonts w:ascii="Arial" w:hAnsi="Arial" w:eastAsia="Arial"/>
          <w:b/>
          <w:color w:val="1F1F1F"/>
          <w:sz w:val="24"/>
        </w:rPr>
        <w:t>1.2. System Objectives</w:t>
      </w:r>
    </w:p>
    <w:p>
      <w:pPr>
        <w:pStyle w:val="ListBullet"/>
        <w:spacing w:after="60"/>
        <w:ind w:left="360"/>
      </w:pPr>
      <w:r>
        <w:rPr>
          <w:rFonts w:ascii="Arial" w:hAnsi="Arial" w:eastAsia="Arial"/>
          <w:color w:val="1F1F1F"/>
          <w:sz w:val="21"/>
        </w:rPr>
        <w:t>Digitize the end-to-end academic project lifecycle from account registration, course enrollment, team formation, mentorship, milestone submission, and final grading.</w:t>
      </w:r>
    </w:p>
    <w:p>
      <w:pPr>
        <w:pStyle w:val="ListBullet"/>
        <w:spacing w:after="60"/>
        <w:ind w:left="360"/>
      </w:pPr>
      <w:r>
        <w:rPr>
          <w:rFonts w:ascii="Arial" w:hAnsi="Arial" w:eastAsia="Arial"/>
          <w:color w:val="1F1F1F"/>
          <w:sz w:val="21"/>
        </w:rPr>
        <w:t>Reduce manual coordination effort for teachers, mentors, committee members, and administrators through centralized dashboards and workflow-driven status tracking.</w:t>
      </w:r>
    </w:p>
    <w:p>
      <w:pPr>
        <w:pStyle w:val="ListBullet"/>
        <w:spacing w:after="60"/>
        <w:ind w:left="360"/>
      </w:pPr>
      <w:r>
        <w:rPr>
          <w:rFonts w:ascii="Arial" w:hAnsi="Arial" w:eastAsia="Arial"/>
          <w:color w:val="1F1F1F"/>
          <w:sz w:val="21"/>
        </w:rPr>
        <w:t>Improve team formation quality by using AI-based compatibility scoring built from skills, GPA, availability, project interests, and profile completeness.</w:t>
      </w:r>
    </w:p>
    <w:p>
      <w:pPr>
        <w:pStyle w:val="ListBullet"/>
        <w:spacing w:after="60"/>
        <w:ind w:left="360"/>
      </w:pPr>
      <w:r>
        <w:rPr>
          <w:rFonts w:ascii="Arial" w:hAnsi="Arial" w:eastAsia="Arial"/>
          <w:color w:val="1F1F1F"/>
          <w:sz w:val="21"/>
        </w:rPr>
        <w:t>Improve mentorship allocation by matching project topics and required technologies with mentor expertise and experience.</w:t>
      </w:r>
    </w:p>
    <w:p>
      <w:pPr>
        <w:pStyle w:val="ListBullet"/>
        <w:spacing w:after="60"/>
        <w:ind w:left="360"/>
      </w:pPr>
      <w:r>
        <w:rPr>
          <w:rFonts w:ascii="Arial" w:hAnsi="Arial" w:eastAsia="Arial"/>
          <w:color w:val="1F1F1F"/>
          <w:sz w:val="21"/>
        </w:rPr>
        <w:t>Ensure secure access through JWT-based authentication, role-based route guarding, controlled permissions, and auditable system activity logs.</w:t>
      </w:r>
    </w:p>
    <w:p>
      <w:pPr>
        <w:pStyle w:val="ListBullet"/>
        <w:spacing w:after="60"/>
        <w:ind w:left="360"/>
      </w:pPr>
      <w:r>
        <w:rPr>
          <w:rFonts w:ascii="Arial" w:hAnsi="Arial" w:eastAsia="Arial"/>
          <w:color w:val="1F1F1F"/>
          <w:sz w:val="21"/>
        </w:rPr>
        <w:t>Maintain reliable academic evidence through structured project file uploads, milestone review records, feedback history, notifications, and locked final score publication.</w:t>
      </w:r>
    </w:p>
    <w:p>
      <w:pPr>
        <w:pStyle w:val="Heading1"/>
        <w:spacing w:before="240" w:after="120"/>
      </w:pPr>
      <w:r>
        <w:rPr>
          <w:rFonts w:ascii="Arial" w:hAnsi="Arial" w:eastAsia="Arial"/>
          <w:b/>
          <w:color w:val="19652B"/>
          <w:sz w:val="28"/>
        </w:rPr>
        <w:t>2. Functional Analysis by User Object</w:t>
      </w:r>
    </w:p>
    <w:p>
      <w:pPr>
        <w:spacing w:after="100" w:line="259" w:lineRule="auto"/>
      </w:pPr>
      <w:r>
        <w:rPr>
          <w:rFonts w:ascii="Arial" w:hAnsi="Arial" w:eastAsia="Arial"/>
          <w:color w:val="1F1F1F"/>
          <w:sz w:val="21"/>
        </w:rPr>
        <w:t>PIMS is decomposed into role-oriented subsystems. Each subsystem exposes only the screens, actions, and data required by that user object, ensuring strong separation of responsibility and clear RBAC enforcement.</w:t>
      </w:r>
    </w:p>
    <w:p>
      <w:r>
        <w:br w:type="page"/>
      </w:r>
    </w:p>
    <w:p>
      <w:pPr>
        <w:pStyle w:val="Heading2"/>
        <w:spacing w:before="120" w:after="120"/>
      </w:pPr>
      <w:r>
        <w:rPr>
          <w:rFonts w:ascii="Arial" w:hAnsi="Arial" w:eastAsia="Arial"/>
          <w:b/>
          <w:color w:val="1F1F1F"/>
          <w:sz w:val="24"/>
        </w:rPr>
        <w:t>Functional Coverage Summary</w:t>
      </w:r>
    </w:p>
    <w:tbl>
      <w:tblPr>
        <w:tblW w:type="auto" w:w="0"/>
        <w:jc w:val="center"/>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520"/>
        <w:gridCol w:w="2520"/>
        <w:gridCol w:w="2520"/>
        <w:gridCol w:w="2520"/>
      </w:tblGrid>
      <w:tr>
        <w:trPr>
          <w:tblHeader w:val="true"/>
        </w:trPr>
        <w:tc>
          <w:tcPr>
            <w:tcW w:type="dxa" w:w="1944"/>
            <w:shd w:fill="19652B"/>
            <w:vAlign w:val="center"/>
          </w:tcPr>
          <w:p>
            <w:pPr>
              <w:spacing w:after="0"/>
            </w:pPr>
            <w:r/>
            <w:r>
              <w:rPr>
                <w:rFonts w:ascii="Arial" w:hAnsi="Arial" w:eastAsia="Arial"/>
                <w:b/>
                <w:color w:val="FFFFFF"/>
                <w:sz w:val="19"/>
              </w:rPr>
              <w:t>Subsystem</w:t>
            </w:r>
          </w:p>
        </w:tc>
        <w:tc>
          <w:tcPr>
            <w:tcW w:type="dxa" w:w="1944"/>
            <w:shd w:fill="19652B"/>
            <w:vAlign w:val="center"/>
          </w:tcPr>
          <w:p>
            <w:pPr>
              <w:spacing w:after="0"/>
            </w:pPr>
            <w:r/>
            <w:r>
              <w:rPr>
                <w:rFonts w:ascii="Arial" w:hAnsi="Arial" w:eastAsia="Arial"/>
                <w:b/>
                <w:color w:val="FFFFFF"/>
                <w:sz w:val="19"/>
              </w:rPr>
              <w:t>Primary Users</w:t>
            </w:r>
          </w:p>
        </w:tc>
        <w:tc>
          <w:tcPr>
            <w:tcW w:type="dxa" w:w="4608"/>
            <w:shd w:fill="19652B"/>
            <w:vAlign w:val="center"/>
          </w:tcPr>
          <w:p>
            <w:pPr>
              <w:spacing w:after="0"/>
            </w:pPr>
            <w:r/>
            <w:r>
              <w:rPr>
                <w:rFonts w:ascii="Arial" w:hAnsi="Arial" w:eastAsia="Arial"/>
                <w:b/>
                <w:color w:val="FFFFFF"/>
                <w:sz w:val="19"/>
              </w:rPr>
              <w:t>Core Features</w:t>
            </w:r>
          </w:p>
        </w:tc>
        <w:tc>
          <w:tcPr>
            <w:tcW w:type="dxa" w:w="2304"/>
            <w:shd w:fill="19652B"/>
            <w:vAlign w:val="center"/>
          </w:tcPr>
          <w:p>
            <w:pPr>
              <w:spacing w:after="0"/>
            </w:pPr>
            <w:r/>
            <w:r>
              <w:rPr>
                <w:rFonts w:ascii="Arial" w:hAnsi="Arial" w:eastAsia="Arial"/>
                <w:b/>
                <w:color w:val="FFFFFF"/>
                <w:sz w:val="19"/>
              </w:rPr>
              <w:t>Key Outputs</w:t>
            </w:r>
          </w:p>
        </w:tc>
      </w:tr>
      <w:tr>
        <w:tc>
          <w:tcPr>
            <w:tcW w:type="dxa" w:w="2520"/>
            <w:vAlign w:val="center"/>
            <w:shd w:fill="E9F3EC"/>
          </w:tcPr>
          <w:p>
            <w:pPr>
              <w:spacing w:after="0"/>
            </w:pPr>
            <w:r>
              <w:rPr>
                <w:b/>
              </w:rPr>
            </w:r>
            <w:r>
              <w:rPr>
                <w:rFonts w:ascii="Arial" w:hAnsi="Arial" w:eastAsia="Arial"/>
                <w:b w:val="0"/>
                <w:sz w:val="18"/>
              </w:rPr>
              <w:t>Student</w:t>
            </w:r>
          </w:p>
        </w:tc>
        <w:tc>
          <w:tcPr>
            <w:tcW w:type="dxa" w:w="2520"/>
            <w:vAlign w:val="center"/>
          </w:tcPr>
          <w:p>
            <w:pPr>
              <w:spacing w:after="0"/>
            </w:pPr>
            <w:r/>
            <w:r>
              <w:rPr>
                <w:rFonts w:ascii="Arial" w:hAnsi="Arial" w:eastAsia="Arial"/>
                <w:b w:val="0"/>
                <w:sz w:val="18"/>
              </w:rPr>
              <w:t>Student</w:t>
            </w:r>
          </w:p>
        </w:tc>
        <w:tc>
          <w:tcPr>
            <w:tcW w:type="dxa" w:w="2520"/>
            <w:vAlign w:val="center"/>
          </w:tcPr>
          <w:p>
            <w:pPr>
              <w:spacing w:after="0"/>
            </w:pPr>
            <w:r/>
            <w:r>
              <w:rPr>
                <w:rFonts w:ascii="Arial" w:hAnsi="Arial" w:eastAsia="Arial"/>
                <w:b w:val="0"/>
                <w:sz w:val="18"/>
              </w:rPr>
              <w:t>Register/Login, update profile, join course, create team, invite members, team workspace, upload project files, view notifications.</w:t>
            </w:r>
          </w:p>
        </w:tc>
        <w:tc>
          <w:tcPr>
            <w:tcW w:type="dxa" w:w="2520"/>
            <w:vAlign w:val="center"/>
          </w:tcPr>
          <w:p>
            <w:pPr>
              <w:spacing w:after="0"/>
            </w:pPr>
            <w:r/>
            <w:r>
              <w:rPr>
                <w:rFonts w:ascii="Arial" w:hAnsi="Arial" w:eastAsia="Arial"/>
                <w:b w:val="0"/>
                <w:sz w:val="18"/>
              </w:rPr>
              <w:t>Active team, complete profile, submissions.</w:t>
            </w:r>
          </w:p>
        </w:tc>
      </w:tr>
      <w:tr>
        <w:tc>
          <w:tcPr>
            <w:tcW w:type="dxa" w:w="2520"/>
            <w:vAlign w:val="center"/>
            <w:shd w:fill="E9F3EC"/>
          </w:tcPr>
          <w:p>
            <w:pPr>
              <w:spacing w:after="0"/>
            </w:pPr>
            <w:r>
              <w:rPr>
                <w:b/>
              </w:rPr>
            </w:r>
            <w:r>
              <w:rPr>
                <w:rFonts w:ascii="Arial" w:hAnsi="Arial" w:eastAsia="Arial"/>
                <w:b w:val="0"/>
                <w:sz w:val="18"/>
              </w:rPr>
              <w:t>Teacher/Mentor</w:t>
            </w:r>
          </w:p>
        </w:tc>
        <w:tc>
          <w:tcPr>
            <w:tcW w:type="dxa" w:w="2520"/>
            <w:vAlign w:val="center"/>
          </w:tcPr>
          <w:p>
            <w:pPr>
              <w:spacing w:after="0"/>
            </w:pPr>
            <w:r/>
            <w:r>
              <w:rPr>
                <w:rFonts w:ascii="Arial" w:hAnsi="Arial" w:eastAsia="Arial"/>
                <w:b w:val="0"/>
                <w:sz w:val="18"/>
              </w:rPr>
              <w:t>Teacher, Mentor</w:t>
            </w:r>
          </w:p>
        </w:tc>
        <w:tc>
          <w:tcPr>
            <w:tcW w:type="dxa" w:w="2520"/>
            <w:vAlign w:val="center"/>
          </w:tcPr>
          <w:p>
            <w:pPr>
              <w:spacing w:after="0"/>
            </w:pPr>
            <w:r/>
            <w:r>
              <w:rPr>
                <w:rFonts w:ascii="Arial" w:hAnsi="Arial" w:eastAsia="Arial"/>
                <w:b w:val="0"/>
                <w:sz w:val="18"/>
              </w:rPr>
              <w:t>Create course, generate class code, upload materials, import enrollments, approve mentor requests, review milestones.</w:t>
            </w:r>
          </w:p>
        </w:tc>
        <w:tc>
          <w:tcPr>
            <w:tcW w:type="dxa" w:w="2520"/>
            <w:vAlign w:val="center"/>
          </w:tcPr>
          <w:p>
            <w:pPr>
              <w:spacing w:after="0"/>
            </w:pPr>
            <w:r/>
            <w:r>
              <w:rPr>
                <w:rFonts w:ascii="Arial" w:hAnsi="Arial" w:eastAsia="Arial"/>
                <w:b w:val="0"/>
                <w:sz w:val="18"/>
              </w:rPr>
              <w:t>Courses, feedback, progress grades.</w:t>
            </w:r>
          </w:p>
        </w:tc>
      </w:tr>
      <w:tr>
        <w:tc>
          <w:tcPr>
            <w:tcW w:type="dxa" w:w="2520"/>
            <w:vAlign w:val="center"/>
            <w:shd w:fill="E9F3EC"/>
          </w:tcPr>
          <w:p>
            <w:pPr>
              <w:spacing w:after="0"/>
            </w:pPr>
            <w:r>
              <w:rPr>
                <w:b/>
              </w:rPr>
            </w:r>
            <w:r>
              <w:rPr>
                <w:rFonts w:ascii="Arial" w:hAnsi="Arial" w:eastAsia="Arial"/>
                <w:b w:val="0"/>
                <w:sz w:val="18"/>
              </w:rPr>
              <w:t>Committee</w:t>
            </w:r>
          </w:p>
        </w:tc>
        <w:tc>
          <w:tcPr>
            <w:tcW w:type="dxa" w:w="2520"/>
            <w:vAlign w:val="center"/>
          </w:tcPr>
          <w:p>
            <w:pPr>
              <w:spacing w:after="0"/>
            </w:pPr>
            <w:r/>
            <w:r>
              <w:rPr>
                <w:rFonts w:ascii="Arial" w:hAnsi="Arial" w:eastAsia="Arial"/>
                <w:b w:val="0"/>
                <w:sz w:val="18"/>
              </w:rPr>
              <w:t>Committee Member</w:t>
            </w:r>
          </w:p>
        </w:tc>
        <w:tc>
          <w:tcPr>
            <w:tcW w:type="dxa" w:w="2520"/>
            <w:vAlign w:val="center"/>
          </w:tcPr>
          <w:p>
            <w:pPr>
              <w:spacing w:after="0"/>
            </w:pPr>
            <w:r/>
            <w:r>
              <w:rPr>
                <w:rFonts w:ascii="Arial" w:hAnsi="Arial" w:eastAsia="Arial"/>
                <w:b w:val="0"/>
                <w:sz w:val="18"/>
              </w:rPr>
              <w:t>Review final submissions, inspect mentor reports, grade final defenses, publish locked final scores.</w:t>
            </w:r>
          </w:p>
        </w:tc>
        <w:tc>
          <w:tcPr>
            <w:tcW w:type="dxa" w:w="2520"/>
            <w:vAlign w:val="center"/>
          </w:tcPr>
          <w:p>
            <w:pPr>
              <w:spacing w:after="0"/>
            </w:pPr>
            <w:r/>
            <w:r>
              <w:rPr>
                <w:rFonts w:ascii="Arial" w:hAnsi="Arial" w:eastAsia="Arial"/>
                <w:b w:val="0"/>
                <w:sz w:val="18"/>
              </w:rPr>
              <w:t>Final grades and published results.</w:t>
            </w:r>
          </w:p>
        </w:tc>
      </w:tr>
      <w:tr>
        <w:tc>
          <w:tcPr>
            <w:tcW w:type="dxa" w:w="2520"/>
            <w:vAlign w:val="center"/>
            <w:shd w:fill="E9F3EC"/>
          </w:tcPr>
          <w:p>
            <w:pPr>
              <w:spacing w:after="0"/>
            </w:pPr>
            <w:r>
              <w:rPr>
                <w:b/>
              </w:rPr>
            </w:r>
            <w:r>
              <w:rPr>
                <w:rFonts w:ascii="Arial" w:hAnsi="Arial" w:eastAsia="Arial"/>
                <w:b w:val="0"/>
                <w:sz w:val="18"/>
              </w:rPr>
              <w:t>Admin</w:t>
            </w:r>
          </w:p>
        </w:tc>
        <w:tc>
          <w:tcPr>
            <w:tcW w:type="dxa" w:w="2520"/>
            <w:vAlign w:val="center"/>
          </w:tcPr>
          <w:p>
            <w:pPr>
              <w:spacing w:after="0"/>
            </w:pPr>
            <w:r/>
            <w:r>
              <w:rPr>
                <w:rFonts w:ascii="Arial" w:hAnsi="Arial" w:eastAsia="Arial"/>
                <w:b w:val="0"/>
                <w:sz w:val="18"/>
              </w:rPr>
              <w:t>Admin</w:t>
            </w:r>
          </w:p>
        </w:tc>
        <w:tc>
          <w:tcPr>
            <w:tcW w:type="dxa" w:w="2520"/>
            <w:vAlign w:val="center"/>
          </w:tcPr>
          <w:p>
            <w:pPr>
              <w:spacing w:after="0"/>
            </w:pPr>
            <w:r/>
            <w:r>
              <w:rPr>
                <w:rFonts w:ascii="Arial" w:hAnsi="Arial" w:eastAsia="Arial"/>
                <w:b w:val="0"/>
                <w:sz w:val="18"/>
              </w:rPr>
              <w:t>Manage users, roles, master data, system configuration, audit logs, dashboards, and maintenance rules.</w:t>
            </w:r>
          </w:p>
        </w:tc>
        <w:tc>
          <w:tcPr>
            <w:tcW w:type="dxa" w:w="2520"/>
            <w:vAlign w:val="center"/>
          </w:tcPr>
          <w:p>
            <w:pPr>
              <w:spacing w:after="0"/>
            </w:pPr>
            <w:r/>
            <w:r>
              <w:rPr>
                <w:rFonts w:ascii="Arial" w:hAnsi="Arial" w:eastAsia="Arial"/>
                <w:b w:val="0"/>
                <w:sz w:val="18"/>
              </w:rPr>
              <w:t>Controlled access, traceable operations.</w:t>
            </w:r>
          </w:p>
        </w:tc>
      </w:tr>
      <w:tr>
        <w:tc>
          <w:tcPr>
            <w:tcW w:type="dxa" w:w="2520"/>
            <w:vAlign w:val="center"/>
            <w:shd w:fill="E9F3EC"/>
          </w:tcPr>
          <w:p>
            <w:pPr>
              <w:spacing w:after="0"/>
            </w:pPr>
            <w:r>
              <w:rPr>
                <w:b/>
              </w:rPr>
            </w:r>
            <w:r>
              <w:rPr>
                <w:rFonts w:ascii="Arial" w:hAnsi="Arial" w:eastAsia="Arial"/>
                <w:b w:val="0"/>
                <w:sz w:val="18"/>
              </w:rPr>
              <w:t>AI Module</w:t>
            </w:r>
          </w:p>
        </w:tc>
        <w:tc>
          <w:tcPr>
            <w:tcW w:type="dxa" w:w="2520"/>
            <w:vAlign w:val="center"/>
          </w:tcPr>
          <w:p>
            <w:pPr>
              <w:spacing w:after="0"/>
            </w:pPr>
            <w:r/>
            <w:r>
              <w:rPr>
                <w:rFonts w:ascii="Arial" w:hAnsi="Arial" w:eastAsia="Arial"/>
                <w:b w:val="0"/>
                <w:sz w:val="18"/>
              </w:rPr>
              <w:t>Student, Mentor</w:t>
            </w:r>
          </w:p>
        </w:tc>
        <w:tc>
          <w:tcPr>
            <w:tcW w:type="dxa" w:w="2520"/>
            <w:vAlign w:val="center"/>
          </w:tcPr>
          <w:p>
            <w:pPr>
              <w:spacing w:after="0"/>
            </w:pPr>
            <w:r/>
            <w:r>
              <w:rPr>
                <w:rFonts w:ascii="Arial" w:hAnsi="Arial" w:eastAsia="Arial"/>
                <w:b w:val="0"/>
                <w:sz w:val="18"/>
              </w:rPr>
              <w:t>Teammate matching and mentor recommendation based on profile, availability, skills, GPA, project topic, and expertise.</w:t>
            </w:r>
          </w:p>
        </w:tc>
        <w:tc>
          <w:tcPr>
            <w:tcW w:type="dxa" w:w="2520"/>
            <w:vAlign w:val="center"/>
          </w:tcPr>
          <w:p>
            <w:pPr>
              <w:spacing w:after="0"/>
            </w:pPr>
            <w:r/>
            <w:r>
              <w:rPr>
                <w:rFonts w:ascii="Arial" w:hAnsi="Arial" w:eastAsia="Arial"/>
                <w:b w:val="0"/>
                <w:sz w:val="18"/>
              </w:rPr>
              <w:t>Ranked recommendations and compatibility scores.</w:t>
            </w:r>
          </w:p>
        </w:tc>
      </w:tr>
    </w:tbl>
    <w:p/>
    <w:p>
      <w:pPr>
        <w:pStyle w:val="Heading2"/>
        <w:spacing w:before="120" w:after="120"/>
      </w:pPr>
      <w:r>
        <w:rPr>
          <w:rFonts w:ascii="Arial" w:hAnsi="Arial" w:eastAsia="Arial"/>
          <w:b/>
          <w:color w:val="1F1F1F"/>
          <w:sz w:val="24"/>
        </w:rPr>
        <w:t>2.1. Student Subsystem</w:t>
      </w:r>
    </w:p>
    <w:p>
      <w:pPr>
        <w:spacing w:after="100" w:line="259" w:lineRule="auto"/>
      </w:pPr>
      <w:r>
        <w:rPr>
          <w:rFonts w:ascii="Arial" w:hAnsi="Arial" w:eastAsia="Arial"/>
          <w:color w:val="1F1F1F"/>
          <w:sz w:val="21"/>
        </w:rPr>
        <w:t>The Student Subsystem provides self-service functions for academic project participation, from account creation to project delivery.</w:t>
      </w:r>
    </w:p>
    <w:p>
      <w:pPr>
        <w:pStyle w:val="ListBullet"/>
        <w:spacing w:after="60"/>
        <w:ind w:left="360"/>
      </w:pPr>
      <w:r>
        <w:rPr>
          <w:rFonts w:ascii="Arial" w:hAnsi="Arial" w:eastAsia="Arial"/>
          <w:color w:val="1F1F1F"/>
          <w:sz w:val="21"/>
        </w:rPr>
        <w:t>Registration/Login: Students create accounts, verify email, log in securely, and access only student-authorized screens through JWT-based authentication.</w:t>
      </w:r>
    </w:p>
    <w:p>
      <w:pPr>
        <w:pStyle w:val="ListBullet"/>
        <w:spacing w:after="60"/>
        <w:ind w:left="360"/>
      </w:pPr>
      <w:r>
        <w:rPr>
          <w:rFonts w:ascii="Arial" w:hAnsi="Arial" w:eastAsia="Arial"/>
          <w:color w:val="1F1F1F"/>
          <w:sz w:val="21"/>
        </w:rPr>
        <w:t>Personal Profile Management: Students maintain skills, GPA, GitHub profile, CV, availability, and working preferences. These profile attributes are used directly by the AI Matching Engine.</w:t>
      </w:r>
    </w:p>
    <w:p>
      <w:pPr>
        <w:pStyle w:val="ListBullet"/>
        <w:spacing w:after="60"/>
        <w:ind w:left="360"/>
      </w:pPr>
      <w:r>
        <w:rPr>
          <w:rFonts w:ascii="Arial" w:hAnsi="Arial" w:eastAsia="Arial"/>
          <w:color w:val="1F1F1F"/>
          <w:sz w:val="21"/>
        </w:rPr>
        <w:t>Course Enrollment: Students join active courses using teacher-provided class codes or through teacher/admin enrollment import.</w:t>
      </w:r>
    </w:p>
    <w:p>
      <w:pPr>
        <w:pStyle w:val="ListBullet"/>
        <w:spacing w:after="60"/>
        <w:ind w:left="360"/>
      </w:pPr>
      <w:r>
        <w:rPr>
          <w:rFonts w:ascii="Arial" w:hAnsi="Arial" w:eastAsia="Arial"/>
          <w:color w:val="1F1F1F"/>
          <w:sz w:val="21"/>
        </w:rPr>
        <w:t>Team Creation and Invitation: Students create project teams with the required 4-5 member constraint, invite eligible classmates, and monitor pending member responses.</w:t>
      </w:r>
    </w:p>
    <w:p>
      <w:pPr>
        <w:pStyle w:val="ListBullet"/>
        <w:spacing w:after="60"/>
        <w:ind w:left="360"/>
      </w:pPr>
      <w:r>
        <w:rPr>
          <w:rFonts w:ascii="Arial" w:hAnsi="Arial" w:eastAsia="Arial"/>
          <w:color w:val="1F1F1F"/>
          <w:sz w:val="21"/>
        </w:rPr>
        <w:t>Intelligent Team Discovery: Students use AI suggestions to identify compatible teammates based on skill gaps, GPA range, schedule availability, and course membership.</w:t>
      </w:r>
    </w:p>
    <w:p>
      <w:pPr>
        <w:pStyle w:val="ListBullet"/>
        <w:spacing w:after="60"/>
        <w:ind w:left="360"/>
      </w:pPr>
      <w:r>
        <w:rPr>
          <w:rFonts w:ascii="Arial" w:hAnsi="Arial" w:eastAsia="Arial"/>
          <w:color w:val="1F1F1F"/>
          <w:sz w:val="21"/>
        </w:rPr>
        <w:t>Internal Workspace and Discussion: Matched team members use a shared workspace for team chat, internal task assignment, progress notes, and preparation before milestone submission.</w:t>
      </w:r>
    </w:p>
    <w:p>
      <w:pPr>
        <w:pStyle w:val="ListBullet"/>
        <w:spacing w:after="60"/>
        <w:ind w:left="360"/>
      </w:pPr>
      <w:r>
        <w:rPr>
          <w:rFonts w:ascii="Arial" w:hAnsi="Arial" w:eastAsia="Arial"/>
          <w:color w:val="1F1F1F"/>
          <w:sz w:val="21"/>
        </w:rPr>
        <w:t>Project File Submission: Teams upload proposals, reports, source code, presentation files, and demo videos according to milestone deadlines.</w:t>
      </w:r>
    </w:p>
    <w:p>
      <w:pPr>
        <w:pStyle w:val="ListBullet"/>
        <w:spacing w:after="60"/>
        <w:ind w:left="360"/>
      </w:pPr>
      <w:r>
        <w:rPr>
          <w:rFonts w:ascii="Arial" w:hAnsi="Arial" w:eastAsia="Arial"/>
          <w:color w:val="1F1F1F"/>
          <w:sz w:val="21"/>
        </w:rPr>
        <w:t>Notification and Feedback Access: Students receive in-app alerts for invitations, mentor decisions, feedback, grading updates, and upcoming deadlines.</w:t>
      </w:r>
    </w:p>
    <w:p>
      <w:pPr>
        <w:pStyle w:val="Heading2"/>
        <w:spacing w:before="120" w:after="120"/>
      </w:pPr>
      <w:r>
        <w:rPr>
          <w:rFonts w:ascii="Arial" w:hAnsi="Arial" w:eastAsia="Arial"/>
          <w:b/>
          <w:color w:val="1F1F1F"/>
          <w:sz w:val="24"/>
        </w:rPr>
        <w:t>2.2. Teacher/Mentor Subsystem</w:t>
      </w:r>
    </w:p>
    <w:p>
      <w:pPr>
        <w:spacing w:after="100" w:line="259" w:lineRule="auto"/>
      </w:pPr>
      <w:r>
        <w:rPr>
          <w:rFonts w:ascii="Arial" w:hAnsi="Arial" w:eastAsia="Arial"/>
          <w:color w:val="1F1F1F"/>
          <w:sz w:val="21"/>
        </w:rPr>
        <w:t>The Teacher/Mentor Subsystem supports course initialization, learning material distribution, team supervision, mentoring request handling, and continuous project review.</w:t>
      </w:r>
    </w:p>
    <w:p>
      <w:pPr>
        <w:pStyle w:val="ListBullet"/>
        <w:spacing w:after="60"/>
        <w:ind w:left="360"/>
      </w:pPr>
      <w:r>
        <w:rPr>
          <w:rFonts w:ascii="Arial" w:hAnsi="Arial" w:eastAsia="Arial"/>
          <w:color w:val="1F1F1F"/>
          <w:sz w:val="21"/>
        </w:rPr>
        <w:t>Course and Class Management: Teachers create courses, generate class codes, configure semester/project phases, upload guidelines, and import student enrollment lists.</w:t>
      </w:r>
    </w:p>
    <w:p>
      <w:pPr>
        <w:pStyle w:val="ListBullet"/>
        <w:spacing w:after="60"/>
        <w:ind w:left="360"/>
      </w:pPr>
      <w:r>
        <w:rPr>
          <w:rFonts w:ascii="Arial" w:hAnsi="Arial" w:eastAsia="Arial"/>
          <w:color w:val="1F1F1F"/>
          <w:sz w:val="21"/>
        </w:rPr>
        <w:t>Material Management: Teachers upload academic documents such as project requirements, slides, rubrics, templates, and milestone instructions.</w:t>
      </w:r>
    </w:p>
    <w:p>
      <w:pPr>
        <w:pStyle w:val="ListBullet"/>
        <w:spacing w:after="60"/>
        <w:ind w:left="360"/>
      </w:pPr>
      <w:r>
        <w:rPr>
          <w:rFonts w:ascii="Arial" w:hAnsi="Arial" w:eastAsia="Arial"/>
          <w:color w:val="1F1F1F"/>
          <w:sz w:val="21"/>
        </w:rPr>
        <w:t>Mentor Profile and Expertise: Mentors maintain expertise domains, project supervision capacity, experience, and availability to support AI mentor recommendation.</w:t>
      </w:r>
    </w:p>
    <w:p>
      <w:pPr>
        <w:pStyle w:val="ListBullet"/>
        <w:spacing w:after="60"/>
        <w:ind w:left="360"/>
      </w:pPr>
      <w:r>
        <w:rPr>
          <w:rFonts w:ascii="Arial" w:hAnsi="Arial" w:eastAsia="Arial"/>
          <w:color w:val="1F1F1F"/>
          <w:sz w:val="21"/>
        </w:rPr>
        <w:t>Mentoring Request Review: Mentors accept or reject student team requests and provide reasons or guidance when requests cannot be approved.</w:t>
      </w:r>
    </w:p>
    <w:p>
      <w:pPr>
        <w:pStyle w:val="ListBullet"/>
        <w:spacing w:after="60"/>
        <w:ind w:left="360"/>
      </w:pPr>
      <w:r>
        <w:rPr>
          <w:rFonts w:ascii="Arial" w:hAnsi="Arial" w:eastAsia="Arial"/>
          <w:color w:val="1F1F1F"/>
          <w:sz w:val="21"/>
        </w:rPr>
        <w:t>Milestone Review and Progress Grading: Mentors review submitted deliverables, inspect documentation and repository links, provide written feedback, and assign progress grades throughout the project period.</w:t>
      </w:r>
    </w:p>
    <w:p>
      <w:pPr>
        <w:pStyle w:val="ListBullet"/>
        <w:spacing w:after="60"/>
        <w:ind w:left="360"/>
      </w:pPr>
      <w:r>
        <w:rPr>
          <w:rFonts w:ascii="Arial" w:hAnsi="Arial" w:eastAsia="Arial"/>
          <w:color w:val="1F1F1F"/>
          <w:sz w:val="21"/>
        </w:rPr>
        <w:t>Supervision Dashboard: Mentors view pending review queues, flagged inactive teams, upcoming milestone schedules, and feedback publication status.</w:t>
      </w:r>
    </w:p>
    <w:p>
      <w:pPr>
        <w:pStyle w:val="ListBullet"/>
        <w:spacing w:after="60"/>
        <w:ind w:left="360"/>
      </w:pPr>
      <w:r>
        <w:rPr>
          <w:rFonts w:ascii="Arial" w:hAnsi="Arial" w:eastAsia="Arial"/>
          <w:color w:val="1F1F1F"/>
          <w:sz w:val="21"/>
        </w:rPr>
        <w:t>Notification Workflow: The system notifies mentors when new submissions, requests, or review reminders require action.</w:t>
      </w:r>
    </w:p>
    <w:p>
      <w:pPr>
        <w:pStyle w:val="Heading2"/>
        <w:spacing w:before="120" w:after="120"/>
      </w:pPr>
      <w:r>
        <w:rPr>
          <w:rFonts w:ascii="Arial" w:hAnsi="Arial" w:eastAsia="Arial"/>
          <w:b/>
          <w:color w:val="1F1F1F"/>
          <w:sz w:val="24"/>
        </w:rPr>
        <w:t>2.3. Committee Member Subsystem</w:t>
      </w:r>
    </w:p>
    <w:p>
      <w:pPr>
        <w:spacing w:after="100" w:line="259" w:lineRule="auto"/>
      </w:pPr>
      <w:r>
        <w:rPr>
          <w:rFonts w:ascii="Arial" w:hAnsi="Arial" w:eastAsia="Arial"/>
          <w:color w:val="1F1F1F"/>
          <w:sz w:val="21"/>
        </w:rPr>
        <w:t>The Committee Member Subsystem focuses on final assessment authority and score publication at the end of the project lifecycle.</w:t>
      </w:r>
    </w:p>
    <w:p>
      <w:pPr>
        <w:pStyle w:val="ListBullet"/>
        <w:spacing w:after="60"/>
        <w:ind w:left="360"/>
      </w:pPr>
      <w:r>
        <w:rPr>
          <w:rFonts w:ascii="Arial" w:hAnsi="Arial" w:eastAsia="Arial"/>
          <w:color w:val="1F1F1F"/>
          <w:sz w:val="21"/>
        </w:rPr>
        <w:t>Final Evaluation Dashboard: Committee members view eligible teams, final project packages, mentor reports, and accumulated milestone history.</w:t>
      </w:r>
    </w:p>
    <w:p>
      <w:pPr>
        <w:pStyle w:val="ListBullet"/>
        <w:spacing w:after="60"/>
        <w:ind w:left="360"/>
      </w:pPr>
      <w:r>
        <w:rPr>
          <w:rFonts w:ascii="Arial" w:hAnsi="Arial" w:eastAsia="Arial"/>
          <w:color w:val="1F1F1F"/>
          <w:sz w:val="21"/>
        </w:rPr>
        <w:t>Defense Grading: Committee members record scores during final presentations using controlled grading forms and evaluation criteria.</w:t>
      </w:r>
    </w:p>
    <w:p>
      <w:pPr>
        <w:pStyle w:val="ListBullet"/>
        <w:spacing w:after="60"/>
        <w:ind w:left="360"/>
      </w:pPr>
      <w:r>
        <w:rPr>
          <w:rFonts w:ascii="Arial" w:hAnsi="Arial" w:eastAsia="Arial"/>
          <w:color w:val="1F1F1F"/>
          <w:sz w:val="21"/>
        </w:rPr>
        <w:t>Score Locking and Publication: Once final scores are confirmed, the system locks the evaluation record and publishes results to student dashboards.</w:t>
      </w:r>
    </w:p>
    <w:p>
      <w:pPr>
        <w:pStyle w:val="ListBullet"/>
        <w:spacing w:after="60"/>
        <w:ind w:left="360"/>
      </w:pPr>
      <w:r>
        <w:rPr>
          <w:rFonts w:ascii="Arial" w:hAnsi="Arial" w:eastAsia="Arial"/>
          <w:color w:val="1F1F1F"/>
          <w:sz w:val="21"/>
        </w:rPr>
        <w:t>Evaluation Traceability: Committee actions are stored with timestamped records to support academic transparency and post-defense review.</w:t>
      </w:r>
    </w:p>
    <w:p>
      <w:pPr>
        <w:pStyle w:val="ListBullet"/>
        <w:spacing w:after="60"/>
        <w:ind w:left="360"/>
      </w:pPr>
      <w:r>
        <w:rPr>
          <w:rFonts w:ascii="Arial" w:hAnsi="Arial" w:eastAsia="Arial"/>
          <w:color w:val="1F1F1F"/>
          <w:sz w:val="21"/>
        </w:rPr>
        <w:t>Report Access: Committee members can access summary statistics related to submitted projects, evaluation status, and final grading completion.</w:t>
      </w:r>
    </w:p>
    <w:p>
      <w:pPr>
        <w:pStyle w:val="Heading2"/>
        <w:spacing w:before="120" w:after="120"/>
      </w:pPr>
      <w:r>
        <w:rPr>
          <w:rFonts w:ascii="Arial" w:hAnsi="Arial" w:eastAsia="Arial"/>
          <w:b/>
          <w:color w:val="1F1F1F"/>
          <w:sz w:val="24"/>
        </w:rPr>
        <w:t>2.4. Admin Subsystem</w:t>
      </w:r>
    </w:p>
    <w:p>
      <w:pPr>
        <w:spacing w:after="100" w:line="259" w:lineRule="auto"/>
      </w:pPr>
      <w:r>
        <w:rPr>
          <w:rFonts w:ascii="Arial" w:hAnsi="Arial" w:eastAsia="Arial"/>
          <w:color w:val="1F1F1F"/>
          <w:sz w:val="21"/>
        </w:rPr>
        <w:t>The Admin Subsystem provides governance, configuration, monitoring, and security administration for the entire PIMS platform.</w:t>
      </w:r>
    </w:p>
    <w:p>
      <w:pPr>
        <w:pStyle w:val="ListBullet"/>
        <w:spacing w:after="60"/>
        <w:ind w:left="360"/>
      </w:pPr>
      <w:r>
        <w:rPr>
          <w:rFonts w:ascii="Arial" w:hAnsi="Arial" w:eastAsia="Arial"/>
          <w:color w:val="1F1F1F"/>
          <w:sz w:val="21"/>
        </w:rPr>
        <w:t>User and Role Management: Admin manages accounts, role assignments, account status, committee approvals, and permission boundaries for Admin, Student, Mentor, and Committee roles.</w:t>
      </w:r>
    </w:p>
    <w:p>
      <w:pPr>
        <w:pStyle w:val="ListBullet"/>
        <w:spacing w:after="60"/>
        <w:ind w:left="360"/>
      </w:pPr>
      <w:r>
        <w:rPr>
          <w:rFonts w:ascii="Arial" w:hAnsi="Arial" w:eastAsia="Arial"/>
          <w:color w:val="1F1F1F"/>
          <w:sz w:val="21"/>
        </w:rPr>
        <w:t>Master Data Management: Admin configures reusable system data such as semesters, course status values, project categories, skill taxonomies, milestone types, grading rubrics, notification templates, and file type rules.</w:t>
      </w:r>
    </w:p>
    <w:p>
      <w:pPr>
        <w:pStyle w:val="ListBullet"/>
        <w:spacing w:after="60"/>
        <w:ind w:left="360"/>
      </w:pPr>
      <w:r>
        <w:rPr>
          <w:rFonts w:ascii="Arial" w:hAnsi="Arial" w:eastAsia="Arial"/>
          <w:color w:val="1F1F1F"/>
          <w:sz w:val="21"/>
        </w:rPr>
        <w:t>System Parameter Configuration: Admin defines team size rules, project phase windows, JWT expiration policies, upload limits, and feature activation status.</w:t>
      </w:r>
    </w:p>
    <w:p>
      <w:pPr>
        <w:pStyle w:val="ListBullet"/>
        <w:spacing w:after="60"/>
        <w:ind w:left="360"/>
      </w:pPr>
      <w:r>
        <w:rPr>
          <w:rFonts w:ascii="Arial" w:hAnsi="Arial" w:eastAsia="Arial"/>
          <w:color w:val="1F1F1F"/>
          <w:sz w:val="21"/>
        </w:rPr>
        <w:t>Audit Log Monitoring: Important security and business events are recorded, including login activity, role changes, grading publication, system configuration updates, and file operations.</w:t>
      </w:r>
    </w:p>
    <w:p>
      <w:pPr>
        <w:pStyle w:val="ListBullet"/>
        <w:spacing w:after="60"/>
        <w:ind w:left="360"/>
      </w:pPr>
      <w:r>
        <w:rPr>
          <w:rFonts w:ascii="Arial" w:hAnsi="Arial" w:eastAsia="Arial"/>
          <w:color w:val="1F1F1F"/>
          <w:sz w:val="21"/>
        </w:rPr>
        <w:t>Reports and Statistics: Admin monitors system usage, enrollment status, team formation progress, mentor workload, submission completion, and evaluation readiness.</w:t>
      </w:r>
    </w:p>
    <w:p>
      <w:pPr>
        <w:pStyle w:val="ListBullet"/>
        <w:spacing w:after="60"/>
        <w:ind w:left="360"/>
      </w:pPr>
      <w:r>
        <w:rPr>
          <w:rFonts w:ascii="Arial" w:hAnsi="Arial" w:eastAsia="Arial"/>
          <w:color w:val="1F1F1F"/>
          <w:sz w:val="21"/>
        </w:rPr>
        <w:t>Maintenance Support: Admin supervises automated backup, expired file cleanup, notification services, and operational health indicators.</w:t>
      </w:r>
    </w:p>
    <w:p>
      <w:pPr>
        <w:pStyle w:val="Heading1"/>
        <w:spacing w:before="240" w:after="120"/>
      </w:pPr>
      <w:r>
        <w:rPr>
          <w:rFonts w:ascii="Arial" w:hAnsi="Arial" w:eastAsia="Arial"/>
          <w:b/>
          <w:color w:val="19652B"/>
          <w:sz w:val="28"/>
        </w:rPr>
        <w:t>3. Artificial Intelligence Application (AI Module)</w:t>
      </w:r>
    </w:p>
    <w:p>
      <w:pPr>
        <w:spacing w:after="100" w:line="259" w:lineRule="auto"/>
      </w:pPr>
      <w:r>
        <w:rPr>
          <w:rFonts w:ascii="Arial" w:hAnsi="Arial" w:eastAsia="Arial"/>
          <w:color w:val="1F1F1F"/>
          <w:sz w:val="21"/>
        </w:rPr>
        <w:t>The AI Module acts as an intelligent decision-support layer. It does not replace teacher or committee authority; instead, it improves discovery, prioritization, and recommendation quality during team formation and mentorship allocation.</w:t>
      </w:r>
    </w:p>
    <w:p>
      <w:pPr>
        <w:pStyle w:val="Heading2"/>
        <w:spacing w:before="120" w:after="120"/>
      </w:pPr>
      <w:r>
        <w:rPr>
          <w:rFonts w:ascii="Arial" w:hAnsi="Arial" w:eastAsia="Arial"/>
          <w:b/>
          <w:color w:val="1F1F1F"/>
          <w:sz w:val="24"/>
        </w:rPr>
        <w:t>3.1. Intelligent Teammate Matching</w:t>
      </w:r>
    </w:p>
    <w:p>
      <w:pPr>
        <w:spacing w:after="100" w:line="259" w:lineRule="auto"/>
      </w:pPr>
      <w:r>
        <w:rPr>
          <w:rFonts w:ascii="Arial" w:hAnsi="Arial" w:eastAsia="Arial"/>
          <w:color w:val="1F1F1F"/>
          <w:sz w:val="21"/>
        </w:rPr>
        <w:t>This function recommends suitable teammates for students and team leaders. The matching score is generated from structured student profile data and course constraints.</w:t>
      </w:r>
    </w:p>
    <w:p>
      <w:pPr>
        <w:pStyle w:val="ListBullet"/>
        <w:spacing w:after="60"/>
        <w:ind w:left="360"/>
      </w:pPr>
      <w:r>
        <w:rPr>
          <w:rFonts w:ascii="Arial" w:hAnsi="Arial" w:eastAsia="Arial"/>
          <w:color w:val="1F1F1F"/>
          <w:sz w:val="21"/>
        </w:rPr>
        <w:t>Input factors: technical skills, GPA, availability, preferred role, experience level, GitHub/CV evidence, course enrollment, and current team status.</w:t>
      </w:r>
    </w:p>
    <w:p>
      <w:pPr>
        <w:pStyle w:val="ListBullet"/>
        <w:spacing w:after="60"/>
        <w:ind w:left="360"/>
      </w:pPr>
      <w:r>
        <w:rPr>
          <w:rFonts w:ascii="Arial" w:hAnsi="Arial" w:eastAsia="Arial"/>
          <w:color w:val="1F1F1F"/>
          <w:sz w:val="21"/>
        </w:rPr>
        <w:t>Matching logic: the engine compares compatibility, complementary skills, schedule overlap, and whether the candidate can legally join a team under the 4-5 member rule.</w:t>
      </w:r>
    </w:p>
    <w:p>
      <w:pPr>
        <w:pStyle w:val="ListBullet"/>
        <w:spacing w:after="60"/>
        <w:ind w:left="360"/>
      </w:pPr>
      <w:r>
        <w:rPr>
          <w:rFonts w:ascii="Arial" w:hAnsi="Arial" w:eastAsia="Arial"/>
          <w:color w:val="1F1F1F"/>
          <w:sz w:val="21"/>
        </w:rPr>
        <w:t>Output: a ranked list of suggested teammates with compatibility scores and enough profile context for the team leader to invite suitable members.</w:t>
      </w:r>
    </w:p>
    <w:p>
      <w:pPr>
        <w:pStyle w:val="ListBullet"/>
        <w:spacing w:after="60"/>
        <w:ind w:left="360"/>
      </w:pPr>
      <w:r>
        <w:rPr>
          <w:rFonts w:ascii="Arial" w:hAnsi="Arial" w:eastAsia="Arial"/>
          <w:color w:val="1F1F1F"/>
          <w:sz w:val="21"/>
        </w:rPr>
        <w:t>Quality dependency: incomplete or outdated profiles reduce recommendation reliability; therefore, profile completion is treated as a prerequisite for accurate matching.</w:t>
      </w:r>
    </w:p>
    <w:p>
      <w:pPr>
        <w:pStyle w:val="Heading2"/>
        <w:spacing w:before="120" w:after="120"/>
      </w:pPr>
      <w:r>
        <w:rPr>
          <w:rFonts w:ascii="Arial" w:hAnsi="Arial" w:eastAsia="Arial"/>
          <w:b/>
          <w:color w:val="1F1F1F"/>
          <w:sz w:val="24"/>
        </w:rPr>
        <w:t>3.2. Mentor Recommendation</w:t>
      </w:r>
    </w:p>
    <w:p>
      <w:pPr>
        <w:spacing w:after="100" w:line="259" w:lineRule="auto"/>
      </w:pPr>
      <w:r>
        <w:rPr>
          <w:rFonts w:ascii="Arial" w:hAnsi="Arial" w:eastAsia="Arial"/>
          <w:color w:val="1F1F1F"/>
          <w:sz w:val="21"/>
        </w:rPr>
        <w:t>This function recommends mentors whose expertise aligns with the project topic and the team's technical requirements.</w:t>
      </w:r>
    </w:p>
    <w:p>
      <w:pPr>
        <w:pStyle w:val="ListBullet"/>
        <w:spacing w:after="60"/>
        <w:ind w:left="360"/>
      </w:pPr>
      <w:r>
        <w:rPr>
          <w:rFonts w:ascii="Arial" w:hAnsi="Arial" w:eastAsia="Arial"/>
          <w:color w:val="1F1F1F"/>
          <w:sz w:val="21"/>
        </w:rPr>
        <w:t>Input factors: project title, project description, required technologies, selected project category, mentor expertise, mentor experience, availability, and supervision capacity.</w:t>
      </w:r>
    </w:p>
    <w:p>
      <w:pPr>
        <w:pStyle w:val="ListBullet"/>
        <w:spacing w:after="60"/>
        <w:ind w:left="360"/>
      </w:pPr>
      <w:r>
        <w:rPr>
          <w:rFonts w:ascii="Arial" w:hAnsi="Arial" w:eastAsia="Arial"/>
          <w:color w:val="1F1F1F"/>
          <w:sz w:val="21"/>
        </w:rPr>
        <w:t>Matching logic: the recommendation service compares project requirements with mentor expertise and ranks mentors by compatibility score.</w:t>
      </w:r>
    </w:p>
    <w:p>
      <w:pPr>
        <w:pStyle w:val="ListBullet"/>
        <w:spacing w:after="60"/>
        <w:ind w:left="360"/>
      </w:pPr>
      <w:r>
        <w:rPr>
          <w:rFonts w:ascii="Arial" w:hAnsi="Arial" w:eastAsia="Arial"/>
          <w:color w:val="1F1F1F"/>
          <w:sz w:val="21"/>
        </w:rPr>
        <w:t>Output: a sorted list of suitable mentors, allowing the student team leader to view mentor profiles and submit a mentoring request directly.</w:t>
      </w:r>
    </w:p>
    <w:p>
      <w:pPr>
        <w:pStyle w:val="ListBullet"/>
        <w:spacing w:after="60"/>
        <w:ind w:left="360"/>
      </w:pPr>
      <w:r>
        <w:rPr>
          <w:rFonts w:ascii="Arial" w:hAnsi="Arial" w:eastAsia="Arial"/>
          <w:color w:val="1F1F1F"/>
          <w:sz w:val="21"/>
        </w:rPr>
        <w:t>Exception handling: if the project description is missing or too brief, the system should prompt the team to improve project details before AI recommendation is executed.</w:t>
      </w:r>
    </w:p>
    <w:p>
      <w:pPr>
        <w:pStyle w:val="Heading1"/>
        <w:spacing w:before="240" w:after="120"/>
      </w:pPr>
      <w:r>
        <w:rPr>
          <w:rFonts w:ascii="Arial" w:hAnsi="Arial" w:eastAsia="Arial"/>
          <w:b/>
          <w:color w:val="19652B"/>
          <w:sz w:val="28"/>
        </w:rPr>
        <w:t>Conclusion</w:t>
      </w:r>
    </w:p>
    <w:p>
      <w:pPr>
        <w:spacing w:after="100" w:line="259" w:lineRule="auto"/>
      </w:pPr>
      <w:r>
        <w:rPr>
          <w:rFonts w:ascii="Arial" w:hAnsi="Arial" w:eastAsia="Arial"/>
          <w:color w:val="1F1F1F"/>
          <w:sz w:val="21"/>
        </w:rPr>
        <w:t>SmartTeam PIMS provides a coherent, role-based platform for managing student project lifecycles in a university environment. By combining structured workflows, secure access control, project evidence management, milestone review, final evaluation, and AI-assisted matching, the system improves transparency, reduces manual coordination, and supports better academic project outcomes.</w:t>
      </w:r>
    </w:p>
    <w:sectPr w:rsidR="00FC693F" w:rsidRPr="0006063C" w:rsidSect="00034616">
      <w:headerReference w:type="default" r:id="rId9"/>
      <w:footerReference w:type="default" r:id="rId10"/>
      <w:pgSz w:w="12240" w:h="15840"/>
      <w:pgMar w:top="936" w:right="1080" w:bottom="864"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8"/>
      </w:rPr>
      <w:t>Feature_PIMS | SE20A05 - Group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color w:val="666666"/>
        <w:sz w:val="18"/>
      </w:rPr>
      <w:t>SmartTeam PIMS - Project Feature Overview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FEATURE OVERVIEW REPORT - SmartTeam PIMS</dc:title>
  <dc:subject>Feature overview report for SmartTeam PIMS</dc:subject>
  <dc:creator>OpenAI</dc:creator>
  <cp:keywords>SmartTeam PIMS, Feature Overview, AI Matching, Project Management</cp:keywords>
  <dc:description>generated by python-docx</dc:description>
  <cp:lastModifiedBy/>
  <cp:revision>1</cp:revision>
  <dcterms:created xsi:type="dcterms:W3CDTF">2013-12-23T23:15:00Z</dcterms:created>
  <dcterms:modified xsi:type="dcterms:W3CDTF">2013-12-23T23:15:00Z</dcterms:modified>
  <cp:category/>
</cp:coreProperties>
</file>