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AddRmsNorm算子设计方案</w:t>
      </w:r>
    </w:p>
    <w:p>
      <w:pPr>
        <w:pStyle w:val="Heading1"/>
      </w:pPr>
      <w:r>
        <w:t>1. 算子功能</w:t>
      </w:r>
    </w:p>
    <w:p>
      <w:r>
        <w:t>AddRmsNorm 计算 z = x1 + x2，并在 hidden 维上执行 RMSNorm，输出 yOut = z * rsqrt(mean(z*z)+epsilon) * gamma。输入输出均为 Ascend NPU 上的 BF16 连续三维张量。</w:t>
      </w:r>
    </w:p>
    <w:p>
      <w:pPr>
        <w:pStyle w:val="Heading1"/>
      </w:pPr>
      <w:r>
        <w:t>2. Triton-Ascend 实现</w:t>
      </w:r>
    </w:p>
    <w:p>
      <w:r>
        <w:t>当前实现对 H &lt;= 8192 使用单个融合 Triton-Ascend JIT kernel；对更宽 hidden 维保留同后端分块 partial-sum/reduce/apply 泛化路径。主路径在完成 FP32 reduction 和 rstd 后再加载 gamma，以降低归约前寄存器压力。</w:t>
      </w:r>
    </w:p>
    <w:p>
      <w:pPr>
        <w:pStyle w:val="Heading1"/>
      </w:pPr>
      <w:r>
        <w:t>3. 验证范围</w:t>
      </w:r>
    </w:p>
    <w:p>
      <w:r>
        <w:t>公开集覆盖 80 个 BF16 case：B in {1,8,16,32,64}，S in {1,8,32,128}，H in {3584,4096,5120,8192}。另有固定 seed=20260613 的 40 个非公开随机泛化 case。</w:t>
      </w:r>
    </w:p>
    <w:p>
      <w:pPr>
        <w:pStyle w:val="Heading1"/>
      </w:pPr>
      <w:r>
        <w:t>4. 评测结果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OpForge run id</w:t>
            </w:r>
          </w:p>
        </w:tc>
        <w:tc>
          <w:tcPr>
            <w:tcW w:type="dxa" w:w="4320"/>
          </w:tcPr>
          <w:p>
            <w:r>
              <w:t>eval_20260615_154048</w:t>
            </w:r>
          </w:p>
        </w:tc>
      </w:tr>
      <w:tr>
        <w:tc>
          <w:tcPr>
            <w:tcW w:type="dxa" w:w="4320"/>
          </w:tcPr>
          <w:p>
            <w:r>
              <w:t>OpForge 状态</w:t>
            </w:r>
          </w:p>
        </w:tc>
        <w:tc>
          <w:tcPr>
            <w:tcW w:type="dxa" w:w="4320"/>
          </w:tcPr>
          <w:p>
            <w:r>
              <w:t>PERF_REGRESSION</w:t>
            </w:r>
          </w:p>
        </w:tc>
      </w:tr>
      <w:tr>
        <w:tc>
          <w:tcPr>
            <w:tcW w:type="dxa" w:w="4320"/>
          </w:tcPr>
          <w:p>
            <w:r>
              <w:t>public 正确性</w:t>
            </w:r>
          </w:p>
        </w:tc>
        <w:tc>
          <w:tcPr>
            <w:tcW w:type="dxa" w:w="4320"/>
          </w:tcPr>
          <w:p>
            <w:r>
              <w:t>80/80 PASS</w:t>
            </w:r>
          </w:p>
        </w:tc>
      </w:tr>
      <w:tr>
        <w:tc>
          <w:tcPr>
            <w:tcW w:type="dxa" w:w="4320"/>
          </w:tcPr>
          <w:p>
            <w:r>
              <w:t>active/active geomean</w:t>
            </w:r>
          </w:p>
        </w:tc>
        <w:tc>
          <w:tcPr>
            <w:tcW w:type="dxa" w:w="4320"/>
          </w:tcPr>
          <w:p>
            <w:r>
              <w:t>15.578318x</w:t>
            </w:r>
          </w:p>
        </w:tc>
      </w:tr>
      <w:tr>
        <w:tc>
          <w:tcPr>
            <w:tcW w:type="dxa" w:w="4320"/>
          </w:tcPr>
          <w:p>
            <w:r>
              <w:t>kernel/kernel geomean</w:t>
            </w:r>
          </w:p>
        </w:tc>
        <w:tc>
          <w:tcPr>
            <w:tcW w:type="dxa" w:w="4320"/>
          </w:tcPr>
          <w:p>
            <w:r>
              <w:t>9.171818x</w:t>
            </w:r>
          </w:p>
        </w:tc>
      </w:tr>
      <w:tr>
        <w:tc>
          <w:tcPr>
            <w:tcW w:type="dxa" w:w="4320"/>
          </w:tcPr>
          <w:p>
            <w:r>
              <w:t>candidate active mean</w:t>
            </w:r>
          </w:p>
        </w:tc>
        <w:tc>
          <w:tcPr>
            <w:tcW w:type="dxa" w:w="4320"/>
          </w:tcPr>
          <w:p>
            <w:r>
              <w:t>50.138 us</w:t>
            </w:r>
          </w:p>
        </w:tc>
      </w:tr>
      <w:tr>
        <w:tc>
          <w:tcPr>
            <w:tcW w:type="dxa" w:w="4320"/>
          </w:tcPr>
          <w:p>
            <w:r>
              <w:t>candidate kernel mean</w:t>
            </w:r>
          </w:p>
        </w:tc>
        <w:tc>
          <w:tcPr>
            <w:tcW w:type="dxa" w:w="4320"/>
          </w:tcPr>
          <w:p>
            <w:r>
              <w:t>50.130 us</w:t>
            </w:r>
          </w:p>
        </w:tc>
      </w:tr>
      <w:tr>
        <w:tc>
          <w:tcPr>
            <w:tcW w:type="dxa" w:w="4320"/>
          </w:tcPr>
          <w:p>
            <w:r>
              <w:t>candidate mean gap</w:t>
            </w:r>
          </w:p>
        </w:tc>
        <w:tc>
          <w:tcPr>
            <w:tcW w:type="dxa" w:w="4320"/>
          </w:tcPr>
          <w:p>
            <w:r>
              <w:t>0.036 us</w:t>
            </w:r>
          </w:p>
        </w:tc>
      </w:tr>
      <w:tr>
        <w:tc>
          <w:tcPr>
            <w:tcW w:type="dxa" w:w="4320"/>
          </w:tcPr>
          <w:p>
            <w:r>
              <w:t>active regression cases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baseline source split</w:t>
            </w:r>
          </w:p>
        </w:tc>
        <w:tc>
          <w:tcPr>
            <w:tcW w:type="dxa" w:w="4320"/>
          </w:tcPr>
          <w:p>
            <w:r>
              <w:t>task_npu_baseline=47, pytorch_fallback=33</w:t>
            </w:r>
          </w:p>
        </w:tc>
      </w:tr>
      <w:tr>
        <w:tc>
          <w:tcPr>
            <w:tcW w:type="dxa" w:w="4320"/>
          </w:tcPr>
          <w:p>
            <w:r>
              <w:t>OpForge generalization audit</w:t>
            </w:r>
          </w:p>
        </w:tc>
        <w:tc>
          <w:tcPr>
            <w:tcW w:type="dxa" w:w="4320"/>
          </w:tcPr>
          <w:p>
            <w:r>
              <w:t>40/40 PASS</w:t>
            </w:r>
          </w:p>
        </w:tc>
      </w:tr>
      <w:tr>
        <w:tc>
          <w:tcPr>
            <w:tcW w:type="dxa" w:w="4320"/>
          </w:tcPr>
          <w:p>
            <w:r>
              <w:t>delivery correctness</w:t>
            </w:r>
          </w:p>
        </w:tc>
        <w:tc>
          <w:tcPr>
            <w:tcW w:type="dxa" w:w="4320"/>
          </w:tcPr>
          <w:p>
            <w:r>
              <w:t>120/120 PASS; public 80/80, random 40/40</w:t>
            </w:r>
          </w:p>
        </w:tc>
      </w:tr>
      <w:tr>
        <w:tc>
          <w:tcPr>
            <w:tcW w:type="dxa" w:w="4320"/>
          </w:tcPr>
          <w:p>
            <w:r>
              <w:t>delivery benchmark timing completeness</w:t>
            </w:r>
          </w:p>
        </w:tc>
        <w:tc>
          <w:tcPr>
            <w:tcW w:type="dxa" w:w="4320"/>
          </w:tcPr>
          <w:p>
            <w:r>
              <w:t>Triton active 74/80; missing cases 75-80 due blank Step Id</w:t>
            </w:r>
          </w:p>
        </w:tc>
      </w:tr>
    </w:tbl>
    <w:p>
      <w:pPr>
        <w:pStyle w:val="Heading1"/>
      </w:pPr>
      <w:r>
        <w:t>5. 边界说明</w:t>
      </w:r>
    </w:p>
    <w:p>
      <w:r>
        <w:t>被测路径不调用 PyTorch 等价实现、torch_npu helper、CANN/vendor AddRmsNorm、CPU fallback、任务 golden/reference、peer 或其他后端代码。当前官方状态仍为 PERF_REGRESSION，原因是 active-window 主指标存在 2 个 regression case。</w:t>
      </w:r>
    </w:p>
    <w:p>
      <w:r>
        <w:t>交付目录的 20260615 benchmark 日志严格拒绝 blank Step Id 的 profiler CSV，因此 cases 75-80 的 delivery candidate timing 为 N/A；完整逐 case 性能数据以 OpForge eval_20260615_154048 的 timing_artifacts/main_results.csv 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