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F9D42" w14:textId="77777777" w:rsidR="007D54C9" w:rsidRDefault="0080196C" w:rsidP="007D54C9">
      <w:pPr>
        <w:pStyle w:val="Title"/>
        <w:rPr>
          <w:b/>
          <w:bCs/>
          <w:u w:val="single"/>
        </w:rPr>
      </w:pPr>
      <w:r w:rsidRPr="00CF71E8">
        <w:rPr>
          <w:b/>
          <w:bCs/>
          <w:u w:val="single"/>
        </w:rPr>
        <w:t>BRD</w:t>
      </w:r>
    </w:p>
    <w:p w14:paraId="4EEAC5F5" w14:textId="77777777" w:rsidR="007D54C9" w:rsidRDefault="007D54C9" w:rsidP="007D54C9">
      <w:pPr>
        <w:pStyle w:val="Title"/>
        <w:rPr>
          <w:b/>
          <w:bCs/>
          <w:u w:val="single"/>
        </w:rPr>
      </w:pPr>
    </w:p>
    <w:p w14:paraId="3F70828E" w14:textId="77777777" w:rsidR="007D54C9" w:rsidRDefault="00F17ADA" w:rsidP="007D54C9">
      <w:pPr>
        <w:pStyle w:val="Title"/>
        <w:rPr>
          <w:b/>
          <w:bCs/>
          <w:sz w:val="32"/>
          <w:szCs w:val="32"/>
        </w:rPr>
      </w:pPr>
      <w:r w:rsidRPr="007D54C9">
        <w:rPr>
          <w:b/>
          <w:bCs/>
          <w:sz w:val="28"/>
          <w:szCs w:val="28"/>
        </w:rPr>
        <w:t>Executive Summary</w:t>
      </w:r>
      <w:r w:rsidRPr="007D54C9">
        <w:rPr>
          <w:sz w:val="28"/>
          <w:szCs w:val="28"/>
        </w:rPr>
        <w:br/>
      </w:r>
      <w:r w:rsidR="00CD016D" w:rsidRPr="007D54C9">
        <w:rPr>
          <w:sz w:val="28"/>
          <w:szCs w:val="28"/>
        </w:rPr>
        <w:t>AlphaScreen</w:t>
      </w:r>
      <w:r w:rsidR="00D50DE8" w:rsidRPr="007D54C9">
        <w:rPr>
          <w:sz w:val="28"/>
          <w:szCs w:val="28"/>
        </w:rPr>
        <w:t xml:space="preserve"> is a structured acquisition target screening platform modeled after a private equity workflow to introduce rigor and repeatability into the S&amp;P 500 deal sourcing process.</w:t>
      </w:r>
      <w:r w:rsidR="00AF3B11" w:rsidRPr="007D54C9">
        <w:rPr>
          <w:sz w:val="28"/>
          <w:szCs w:val="28"/>
        </w:rPr>
        <w:t xml:space="preserve"> It screens S&amp;P 500 companies using a composite Deal Score derived from EPS, EBITDA, and Price/Book, </w:t>
      </w:r>
      <w:r w:rsidR="00C8342B" w:rsidRPr="007D54C9">
        <w:rPr>
          <w:sz w:val="28"/>
          <w:szCs w:val="28"/>
        </w:rPr>
        <w:t xml:space="preserve">which helps in </w:t>
      </w:r>
      <w:r w:rsidR="001843BA" w:rsidRPr="007D54C9">
        <w:rPr>
          <w:sz w:val="28"/>
          <w:szCs w:val="28"/>
        </w:rPr>
        <w:t xml:space="preserve">finding out the most trust-worthy companies with a high score </w:t>
      </w:r>
      <w:r w:rsidR="00482079" w:rsidRPr="007D54C9">
        <w:rPr>
          <w:sz w:val="28"/>
          <w:szCs w:val="28"/>
        </w:rPr>
        <w:t xml:space="preserve">and </w:t>
      </w:r>
      <w:r w:rsidR="005F151C" w:rsidRPr="007D54C9">
        <w:rPr>
          <w:sz w:val="28"/>
          <w:szCs w:val="28"/>
        </w:rPr>
        <w:t xml:space="preserve">making them a </w:t>
      </w:r>
      <w:r w:rsidR="00482079" w:rsidRPr="007D54C9">
        <w:rPr>
          <w:sz w:val="28"/>
          <w:szCs w:val="28"/>
        </w:rPr>
        <w:t xml:space="preserve">reliable </w:t>
      </w:r>
      <w:r w:rsidR="00C4252E" w:rsidRPr="007D54C9">
        <w:rPr>
          <w:sz w:val="28"/>
          <w:szCs w:val="28"/>
        </w:rPr>
        <w:t xml:space="preserve">source to invest upon or buy stocks from. This process </w:t>
      </w:r>
      <w:r w:rsidR="00CD016D" w:rsidRPr="007D54C9">
        <w:rPr>
          <w:sz w:val="28"/>
          <w:szCs w:val="28"/>
        </w:rPr>
        <w:t>has</w:t>
      </w:r>
      <w:r w:rsidR="00C4252E" w:rsidRPr="007D54C9">
        <w:rPr>
          <w:sz w:val="28"/>
          <w:szCs w:val="28"/>
        </w:rPr>
        <w:t xml:space="preserve"> reduced the reliability of </w:t>
      </w:r>
      <w:r w:rsidR="00FA0A4C" w:rsidRPr="007D54C9">
        <w:rPr>
          <w:sz w:val="28"/>
          <w:szCs w:val="28"/>
        </w:rPr>
        <w:t xml:space="preserve">analyst who manually </w:t>
      </w:r>
      <w:r w:rsidR="00CD016D" w:rsidRPr="007D54C9">
        <w:rPr>
          <w:sz w:val="28"/>
          <w:szCs w:val="28"/>
        </w:rPr>
        <w:t>does Excel calculations</w:t>
      </w:r>
      <w:r w:rsidR="008A18C8" w:rsidRPr="007D54C9">
        <w:rPr>
          <w:sz w:val="28"/>
          <w:szCs w:val="28"/>
        </w:rPr>
        <w:t xml:space="preserve"> which often takes up-to 2 -3 </w:t>
      </w:r>
      <w:r w:rsidR="00A7626C" w:rsidRPr="007D54C9">
        <w:rPr>
          <w:sz w:val="28"/>
          <w:szCs w:val="28"/>
        </w:rPr>
        <w:t>days</w:t>
      </w:r>
      <w:r w:rsidR="004C639E" w:rsidRPr="007D54C9">
        <w:rPr>
          <w:sz w:val="28"/>
          <w:szCs w:val="28"/>
        </w:rPr>
        <w:t xml:space="preserve">. With the </w:t>
      </w:r>
      <w:r w:rsidR="0038579B" w:rsidRPr="007D54C9">
        <w:rPr>
          <w:sz w:val="28"/>
          <w:szCs w:val="28"/>
        </w:rPr>
        <w:t xml:space="preserve">automated </w:t>
      </w:r>
      <w:r w:rsidR="000F294D" w:rsidRPr="007D54C9">
        <w:rPr>
          <w:sz w:val="28"/>
          <w:szCs w:val="28"/>
        </w:rPr>
        <w:t>and standardize</w:t>
      </w:r>
      <w:r w:rsidR="00EC4088" w:rsidRPr="007D54C9">
        <w:rPr>
          <w:sz w:val="28"/>
          <w:szCs w:val="28"/>
        </w:rPr>
        <w:t>d</w:t>
      </w:r>
      <w:r w:rsidR="000F294D" w:rsidRPr="007D54C9">
        <w:rPr>
          <w:sz w:val="28"/>
          <w:szCs w:val="28"/>
        </w:rPr>
        <w:t xml:space="preserve"> </w:t>
      </w:r>
      <w:r w:rsidR="003961F6" w:rsidRPr="007D54C9">
        <w:rPr>
          <w:sz w:val="28"/>
          <w:szCs w:val="28"/>
        </w:rPr>
        <w:t>solution</w:t>
      </w:r>
      <w:r w:rsidR="0062594C" w:rsidRPr="007D54C9">
        <w:rPr>
          <w:sz w:val="28"/>
          <w:szCs w:val="28"/>
        </w:rPr>
        <w:t xml:space="preserve">, the important 3 metrics are derived and scored </w:t>
      </w:r>
      <w:r w:rsidR="00EC4088" w:rsidRPr="007D54C9">
        <w:rPr>
          <w:sz w:val="28"/>
          <w:szCs w:val="28"/>
        </w:rPr>
        <w:t>on</w:t>
      </w:r>
      <w:r w:rsidR="003961F6" w:rsidRPr="007D54C9">
        <w:rPr>
          <w:sz w:val="28"/>
          <w:szCs w:val="28"/>
        </w:rPr>
        <w:t>,</w:t>
      </w:r>
      <w:r w:rsidR="00EC4088" w:rsidRPr="007D54C9">
        <w:rPr>
          <w:sz w:val="28"/>
          <w:szCs w:val="28"/>
        </w:rPr>
        <w:t xml:space="preserve"> in turn making the process 2 hours long. </w:t>
      </w:r>
      <w:r w:rsidR="003961F6" w:rsidRPr="007D54C9">
        <w:rPr>
          <w:sz w:val="28"/>
          <w:szCs w:val="28"/>
        </w:rPr>
        <w:t xml:space="preserve"> This has reduced end-to-end screening cycle</w:t>
      </w:r>
      <w:r w:rsidR="00CF71E8" w:rsidRPr="007D54C9">
        <w:rPr>
          <w:sz w:val="28"/>
          <w:szCs w:val="28"/>
        </w:rPr>
        <w:t xml:space="preserve"> on a major length while establishing a reproducible, audit-ready framework for future deal origination cycles.</w:t>
      </w:r>
      <w:r w:rsidR="007D54C9" w:rsidRPr="007D54C9">
        <w:rPr>
          <w:sz w:val="28"/>
          <w:szCs w:val="28"/>
        </w:rPr>
        <w:br/>
      </w:r>
      <w:r w:rsidR="007D54C9">
        <w:br/>
      </w:r>
      <w:r w:rsidR="007D54C9" w:rsidRPr="009922C0">
        <w:rPr>
          <w:b/>
          <w:bCs/>
          <w:sz w:val="28"/>
          <w:szCs w:val="28"/>
        </w:rPr>
        <w:t>Business Problem Statement</w:t>
      </w:r>
    </w:p>
    <w:p w14:paraId="0BEACF12" w14:textId="1E926C72" w:rsidR="007D54C9" w:rsidRDefault="007D54C9" w:rsidP="007D54C9">
      <w:pPr>
        <w:pStyle w:val="Title"/>
        <w:rPr>
          <w:sz w:val="28"/>
          <w:szCs w:val="28"/>
        </w:rPr>
      </w:pPr>
      <w:r w:rsidRPr="007D54C9">
        <w:rPr>
          <w:sz w:val="28"/>
          <w:szCs w:val="28"/>
        </w:rPr>
        <w:t>The client's current M&amp;A target screening process is entirely manual and operationally inefficient. Analysts independently download raw financial data from disparate sources and apply ad-hoc filters based on individual judgement, with no agreed screening criteria or standardi</w:t>
      </w:r>
      <w:r>
        <w:rPr>
          <w:sz w:val="28"/>
          <w:szCs w:val="28"/>
        </w:rPr>
        <w:t>z</w:t>
      </w:r>
      <w:r w:rsidRPr="007D54C9">
        <w:rPr>
          <w:sz w:val="28"/>
          <w:szCs w:val="28"/>
        </w:rPr>
        <w:t xml:space="preserve">ed methodology in place. This unstructured approach means that each screening cycle consumes approximately three to four analyst days — time that could otherwise be directed toward deeper due diligence and deal evaluation. Compounding this, the absence of any audit trail means there is no reliable record of which criteria were applied, by whom, or at what point in time, leaving the process </w:t>
      </w:r>
      <w:r>
        <w:rPr>
          <w:sz w:val="28"/>
          <w:szCs w:val="28"/>
        </w:rPr>
        <w:t>hidden</w:t>
      </w:r>
      <w:r w:rsidRPr="007D54C9">
        <w:rPr>
          <w:sz w:val="28"/>
          <w:szCs w:val="28"/>
        </w:rPr>
        <w:t xml:space="preserve"> to both internal stakeholders and the client.</w:t>
      </w:r>
    </w:p>
    <w:p w14:paraId="6A49A1DC" w14:textId="4CA9B6E1" w:rsidR="0080196C" w:rsidRDefault="007D54C9" w:rsidP="009922C0">
      <w:pPr>
        <w:pStyle w:val="Title"/>
      </w:pPr>
      <w:r w:rsidRPr="007D54C9">
        <w:rPr>
          <w:sz w:val="28"/>
          <w:szCs w:val="28"/>
        </w:rPr>
        <w:t>The downstream impact of this approach is equally significant. The primary deliverable produced at the end of each cycle is a static</w:t>
      </w:r>
      <w:r>
        <w:rPr>
          <w:sz w:val="28"/>
          <w:szCs w:val="28"/>
        </w:rPr>
        <w:t xml:space="preserve"> and stale</w:t>
      </w:r>
      <w:r w:rsidRPr="007D54C9">
        <w:rPr>
          <w:sz w:val="28"/>
          <w:szCs w:val="28"/>
        </w:rPr>
        <w:t xml:space="preserve"> Excel file distributed to the client via email, which becomes outdated immediately upon delivery as market conditions and financial data continue to evolve. Furthermore, because screening logic varies from analyst to analyst, Deal Scores are not computed on a consistent basis and cannot be meaningfully compared across screening cycles. This analyst-to-analyst inconsistency undermines the credibility of the output and limits the client's ability to track target attractiveness over time. Collectively, these </w:t>
      </w:r>
      <w:r w:rsidR="009922C0">
        <w:rPr>
          <w:sz w:val="28"/>
          <w:szCs w:val="28"/>
        </w:rPr>
        <w:t xml:space="preserve">certain </w:t>
      </w:r>
      <w:r w:rsidRPr="007D54C9">
        <w:rPr>
          <w:sz w:val="28"/>
          <w:szCs w:val="28"/>
        </w:rPr>
        <w:t>deficiencies create a need for a centrali</w:t>
      </w:r>
      <w:r>
        <w:rPr>
          <w:sz w:val="28"/>
          <w:szCs w:val="28"/>
        </w:rPr>
        <w:t>z</w:t>
      </w:r>
      <w:r w:rsidRPr="007D54C9">
        <w:rPr>
          <w:sz w:val="28"/>
          <w:szCs w:val="28"/>
        </w:rPr>
        <w:t>ed, criteria-driven system that enforces methodological consistency, eliminates manual effort, and delivers output through a live</w:t>
      </w:r>
      <w:r w:rsidR="009922C0">
        <w:rPr>
          <w:sz w:val="28"/>
          <w:szCs w:val="28"/>
        </w:rPr>
        <w:t xml:space="preserve"> and </w:t>
      </w:r>
      <w:r w:rsidRPr="007D54C9">
        <w:rPr>
          <w:sz w:val="28"/>
          <w:szCs w:val="28"/>
        </w:rPr>
        <w:t>interactive reporting layer.</w:t>
      </w:r>
    </w:p>
    <w:p w14:paraId="024AC7A7" w14:textId="61B3379E" w:rsidR="008F24AA" w:rsidRPr="008F24AA" w:rsidRDefault="008F24AA" w:rsidP="008F24AA">
      <w:pPr>
        <w:pStyle w:val="Title"/>
        <w:rPr>
          <w:b/>
          <w:bCs/>
          <w:sz w:val="28"/>
          <w:szCs w:val="28"/>
        </w:rPr>
      </w:pPr>
      <w:r w:rsidRPr="008F24AA">
        <w:rPr>
          <w:b/>
          <w:bCs/>
          <w:sz w:val="28"/>
          <w:szCs w:val="28"/>
        </w:rPr>
        <w:lastRenderedPageBreak/>
        <w:t>Business Objectives</w:t>
      </w:r>
    </w:p>
    <w:p w14:paraId="09D9F842" w14:textId="7815BD70" w:rsidR="008F24AA" w:rsidRPr="008F24AA" w:rsidRDefault="008F24AA" w:rsidP="002B1441">
      <w:pPr>
        <w:pStyle w:val="Title"/>
        <w:numPr>
          <w:ilvl w:val="0"/>
          <w:numId w:val="3"/>
        </w:numPr>
        <w:rPr>
          <w:sz w:val="28"/>
          <w:szCs w:val="28"/>
        </w:rPr>
      </w:pPr>
      <w:r w:rsidRPr="008F24AA">
        <w:rPr>
          <w:sz w:val="28"/>
          <w:szCs w:val="28"/>
        </w:rPr>
        <w:t>Reduce acquisition target screening cycle time from 3–4 days to under 2 hours by automating financial data ingestion and Deal Score computation within the AlphaScreen system. This enables the deal team to evaluate a significantly larger target universe within each screening cycle without adding analyst headcount.</w:t>
      </w:r>
    </w:p>
    <w:p w14:paraId="4EFE499F" w14:textId="77777777" w:rsidR="002B1441" w:rsidRDefault="008F24AA" w:rsidP="002B1441">
      <w:pPr>
        <w:pStyle w:val="Title"/>
        <w:numPr>
          <w:ilvl w:val="0"/>
          <w:numId w:val="3"/>
        </w:numPr>
        <w:rPr>
          <w:sz w:val="28"/>
          <w:szCs w:val="28"/>
        </w:rPr>
      </w:pPr>
      <w:r w:rsidRPr="008F24AA">
        <w:rPr>
          <w:sz w:val="28"/>
          <w:szCs w:val="28"/>
        </w:rPr>
        <w:t>Standardi</w:t>
      </w:r>
      <w:r>
        <w:rPr>
          <w:sz w:val="28"/>
          <w:szCs w:val="28"/>
        </w:rPr>
        <w:t>z</w:t>
      </w:r>
      <w:r w:rsidRPr="008F24AA">
        <w:rPr>
          <w:sz w:val="28"/>
          <w:szCs w:val="28"/>
        </w:rPr>
        <w:t>e the Deal Score methodology so that outputs are consistent across all analysts and screening cycles. A single, formula-driven scoring model eliminates subjective variation and ensures comparability of results across engagements.</w:t>
      </w:r>
    </w:p>
    <w:p w14:paraId="7A09EAB2" w14:textId="77777777" w:rsidR="002B1441" w:rsidRDefault="008F24AA" w:rsidP="002B1441">
      <w:pPr>
        <w:pStyle w:val="Title"/>
        <w:numPr>
          <w:ilvl w:val="0"/>
          <w:numId w:val="3"/>
        </w:numPr>
        <w:rPr>
          <w:sz w:val="28"/>
          <w:szCs w:val="28"/>
        </w:rPr>
      </w:pPr>
      <w:r w:rsidRPr="002B1441">
        <w:rPr>
          <w:sz w:val="28"/>
          <w:szCs w:val="28"/>
        </w:rPr>
        <w:t>Enable PE fund client self-service by delivering an interactive Power BI dashboard that allows the client to filter, rank, and explore targets independently. This reduces dependency on analyst availability for ad-hoc data queries during the review process.</w:t>
      </w:r>
    </w:p>
    <w:p w14:paraId="211F76C3" w14:textId="068D6936" w:rsidR="008F24AA" w:rsidRPr="002B1441" w:rsidRDefault="008F24AA" w:rsidP="002B1441">
      <w:pPr>
        <w:pStyle w:val="Title"/>
        <w:numPr>
          <w:ilvl w:val="0"/>
          <w:numId w:val="3"/>
        </w:numPr>
        <w:rPr>
          <w:sz w:val="28"/>
          <w:szCs w:val="28"/>
        </w:rPr>
      </w:pPr>
      <w:r w:rsidRPr="002B1441">
        <w:rPr>
          <w:sz w:val="28"/>
          <w:szCs w:val="28"/>
        </w:rPr>
        <w:t>Establish a full audit trail so that every screening result is traceable to its source data and the underlying formula logic. This supports governance and regulatory requirements by ensuring transparency across all deal evaluation outputs.</w:t>
      </w:r>
    </w:p>
    <w:p w14:paraId="2802A86B" w14:textId="77777777" w:rsidR="007F2B94" w:rsidRDefault="007F2B94" w:rsidP="00FC6817">
      <w:pPr>
        <w:pStyle w:val="Title"/>
        <w:rPr>
          <w:b/>
          <w:bCs/>
          <w:sz w:val="28"/>
          <w:szCs w:val="28"/>
        </w:rPr>
      </w:pPr>
    </w:p>
    <w:p w14:paraId="34409088" w14:textId="7B2DD2F3" w:rsidR="00FC6817" w:rsidRPr="00FC6817" w:rsidRDefault="00FC6817" w:rsidP="00FC6817">
      <w:pPr>
        <w:pStyle w:val="Title"/>
        <w:rPr>
          <w:sz w:val="28"/>
          <w:szCs w:val="28"/>
        </w:rPr>
      </w:pPr>
      <w:r w:rsidRPr="00FC6817">
        <w:rPr>
          <w:b/>
          <w:bCs/>
          <w:sz w:val="28"/>
          <w:szCs w:val="28"/>
        </w:rPr>
        <w:t>User Stories</w:t>
      </w:r>
      <w:r>
        <w:br/>
      </w:r>
      <w:r w:rsidRPr="00FC6817">
        <w:rPr>
          <w:b/>
          <w:bCs/>
          <w:sz w:val="28"/>
          <w:szCs w:val="28"/>
        </w:rPr>
        <w:t>US-01:</w:t>
      </w:r>
      <w:r w:rsidRPr="00FC6817">
        <w:rPr>
          <w:sz w:val="28"/>
          <w:szCs w:val="28"/>
        </w:rPr>
        <w:br/>
        <w:t>As a Financial Analyst, I want to see companies ranked by their Deal Score, so that I can quickly find the best acquisition targets.</w:t>
      </w:r>
    </w:p>
    <w:p w14:paraId="2BF581F5" w14:textId="77777777" w:rsidR="00FC6817" w:rsidRPr="00FC6817" w:rsidRDefault="00FC6817" w:rsidP="00FC6817">
      <w:pPr>
        <w:pStyle w:val="Title"/>
        <w:rPr>
          <w:sz w:val="28"/>
          <w:szCs w:val="28"/>
        </w:rPr>
      </w:pPr>
      <w:r w:rsidRPr="00FC6817">
        <w:rPr>
          <w:b/>
          <w:bCs/>
          <w:sz w:val="28"/>
          <w:szCs w:val="28"/>
        </w:rPr>
        <w:t>US-02:</w:t>
      </w:r>
      <w:r w:rsidRPr="00FC6817">
        <w:rPr>
          <w:sz w:val="28"/>
          <w:szCs w:val="28"/>
        </w:rPr>
        <w:br/>
        <w:t>As a Deal Director, I want to filter companies by sector and valuation category, so that I can create a shortlist based on the investment requirements.</w:t>
      </w:r>
    </w:p>
    <w:p w14:paraId="04875199" w14:textId="77777777" w:rsidR="00FC6817" w:rsidRPr="00FC6817" w:rsidRDefault="00FC6817" w:rsidP="00FC6817">
      <w:pPr>
        <w:pStyle w:val="Title"/>
        <w:rPr>
          <w:sz w:val="28"/>
          <w:szCs w:val="28"/>
        </w:rPr>
      </w:pPr>
      <w:r w:rsidRPr="00FC6817">
        <w:rPr>
          <w:b/>
          <w:bCs/>
          <w:sz w:val="28"/>
          <w:szCs w:val="28"/>
        </w:rPr>
        <w:t>US-03:</w:t>
      </w:r>
      <w:r w:rsidRPr="00FC6817">
        <w:rPr>
          <w:sz w:val="28"/>
          <w:szCs w:val="28"/>
        </w:rPr>
        <w:br/>
        <w:t>As a PE Fund Client, I want to access the screening dashboard anytime, so that I can check the latest results without waiting for updates.</w:t>
      </w:r>
    </w:p>
    <w:p w14:paraId="62C72784" w14:textId="77777777" w:rsidR="00355209" w:rsidRDefault="00FC6817" w:rsidP="00FC6817">
      <w:pPr>
        <w:pStyle w:val="Title"/>
        <w:rPr>
          <w:sz w:val="28"/>
          <w:szCs w:val="28"/>
        </w:rPr>
      </w:pPr>
      <w:r w:rsidRPr="00FC6817">
        <w:rPr>
          <w:b/>
          <w:bCs/>
          <w:sz w:val="28"/>
          <w:szCs w:val="28"/>
        </w:rPr>
        <w:t>US-04:</w:t>
      </w:r>
      <w:r w:rsidRPr="00FC6817">
        <w:rPr>
          <w:sz w:val="28"/>
          <w:szCs w:val="28"/>
        </w:rPr>
        <w:br/>
        <w:t>As a Financial Analyst, I want companies with negative EPS or missing EBITDA to be marked as High Risk automatically, so that I can avoid selecting risky companies during screening.</w:t>
      </w:r>
      <w:r>
        <w:rPr>
          <w:sz w:val="28"/>
          <w:szCs w:val="28"/>
        </w:rPr>
        <w:br/>
      </w:r>
      <w:r>
        <w:rPr>
          <w:sz w:val="28"/>
          <w:szCs w:val="28"/>
        </w:rPr>
        <w:br/>
      </w:r>
    </w:p>
    <w:p w14:paraId="2506DCFC" w14:textId="77777777" w:rsidR="003238C5" w:rsidRDefault="003238C5" w:rsidP="003238C5"/>
    <w:p w14:paraId="437F3076" w14:textId="77777777" w:rsidR="003238C5" w:rsidRDefault="003238C5" w:rsidP="003238C5"/>
    <w:p w14:paraId="31437A5E" w14:textId="77777777" w:rsidR="003238C5" w:rsidRDefault="003238C5" w:rsidP="003238C5"/>
    <w:p w14:paraId="78DB8012" w14:textId="77777777" w:rsidR="003238C5" w:rsidRDefault="003238C5" w:rsidP="003238C5"/>
    <w:p w14:paraId="122D4A6B" w14:textId="6EAC2FF8" w:rsidR="003238C5" w:rsidRPr="003238C5" w:rsidRDefault="003238C5" w:rsidP="003238C5">
      <w:pPr>
        <w:pStyle w:val="Title"/>
        <w:rPr>
          <w:sz w:val="28"/>
          <w:szCs w:val="28"/>
        </w:rPr>
      </w:pPr>
      <w:r w:rsidRPr="003238C5">
        <w:rPr>
          <w:sz w:val="28"/>
          <w:szCs w:val="28"/>
        </w:rPr>
        <w:lastRenderedPageBreak/>
        <w:t>Stakeholder Register</w:t>
      </w:r>
    </w:p>
    <w:p w14:paraId="2AFAD33F" w14:textId="77777777" w:rsidR="003238C5" w:rsidRDefault="003238C5" w:rsidP="003238C5"/>
    <w:tbl>
      <w:tblPr>
        <w:tblStyle w:val="TableGridLight"/>
        <w:tblW w:w="0" w:type="auto"/>
        <w:tblLook w:val="04A0" w:firstRow="1" w:lastRow="0" w:firstColumn="1" w:lastColumn="0" w:noHBand="0" w:noVBand="1"/>
      </w:tblPr>
      <w:tblGrid>
        <w:gridCol w:w="1812"/>
        <w:gridCol w:w="1778"/>
        <w:gridCol w:w="1972"/>
        <w:gridCol w:w="3788"/>
      </w:tblGrid>
      <w:tr w:rsidR="00CD293B" w:rsidRPr="00CD293B" w14:paraId="40A3457C" w14:textId="77777777" w:rsidTr="00AC6AA4">
        <w:tc>
          <w:tcPr>
            <w:tcW w:w="0" w:type="auto"/>
            <w:hideMark/>
          </w:tcPr>
          <w:p w14:paraId="0F35FC1F" w14:textId="77777777" w:rsidR="00CD293B" w:rsidRPr="00CD293B" w:rsidRDefault="00CD293B" w:rsidP="00CD293B">
            <w:pPr>
              <w:spacing w:after="160" w:line="278" w:lineRule="auto"/>
              <w:rPr>
                <w:b/>
                <w:bCs/>
              </w:rPr>
            </w:pPr>
            <w:r w:rsidRPr="00CD293B">
              <w:rPr>
                <w:b/>
                <w:bCs/>
              </w:rPr>
              <w:t>Stakeholder</w:t>
            </w:r>
          </w:p>
        </w:tc>
        <w:tc>
          <w:tcPr>
            <w:tcW w:w="1778" w:type="dxa"/>
            <w:hideMark/>
          </w:tcPr>
          <w:p w14:paraId="2515FA3E" w14:textId="77777777" w:rsidR="00CD293B" w:rsidRPr="00CD293B" w:rsidRDefault="00CD293B" w:rsidP="00CD293B">
            <w:pPr>
              <w:spacing w:after="160" w:line="278" w:lineRule="auto"/>
              <w:rPr>
                <w:b/>
                <w:bCs/>
              </w:rPr>
            </w:pPr>
            <w:r w:rsidRPr="00CD293B">
              <w:rPr>
                <w:b/>
                <w:bCs/>
              </w:rPr>
              <w:t>Role</w:t>
            </w:r>
          </w:p>
        </w:tc>
        <w:tc>
          <w:tcPr>
            <w:tcW w:w="1972" w:type="dxa"/>
            <w:hideMark/>
          </w:tcPr>
          <w:p w14:paraId="572DF337" w14:textId="77777777" w:rsidR="00CD293B" w:rsidRPr="00CD293B" w:rsidRDefault="00CD293B" w:rsidP="00CD293B">
            <w:pPr>
              <w:spacing w:after="160" w:line="278" w:lineRule="auto"/>
              <w:rPr>
                <w:b/>
                <w:bCs/>
              </w:rPr>
            </w:pPr>
            <w:r w:rsidRPr="00CD293B">
              <w:rPr>
                <w:b/>
                <w:bCs/>
              </w:rPr>
              <w:t>Engagement Type</w:t>
            </w:r>
          </w:p>
        </w:tc>
        <w:tc>
          <w:tcPr>
            <w:tcW w:w="0" w:type="auto"/>
            <w:hideMark/>
          </w:tcPr>
          <w:p w14:paraId="18D864E4" w14:textId="77777777" w:rsidR="00CD293B" w:rsidRPr="00CD293B" w:rsidRDefault="00CD293B" w:rsidP="00CD293B">
            <w:pPr>
              <w:spacing w:after="160" w:line="278" w:lineRule="auto"/>
              <w:rPr>
                <w:b/>
                <w:bCs/>
              </w:rPr>
            </w:pPr>
            <w:r w:rsidRPr="00CD293B">
              <w:rPr>
                <w:b/>
                <w:bCs/>
              </w:rPr>
              <w:t>Interest / Concern</w:t>
            </w:r>
          </w:p>
        </w:tc>
      </w:tr>
      <w:tr w:rsidR="00CD293B" w:rsidRPr="00CD293B" w14:paraId="72A9B744" w14:textId="77777777" w:rsidTr="00AC6AA4">
        <w:tc>
          <w:tcPr>
            <w:tcW w:w="0" w:type="auto"/>
            <w:hideMark/>
          </w:tcPr>
          <w:p w14:paraId="52AD8AE6" w14:textId="77777777" w:rsidR="00CD293B" w:rsidRPr="00CD293B" w:rsidRDefault="00CD293B" w:rsidP="00CD293B">
            <w:pPr>
              <w:spacing w:after="160" w:line="278" w:lineRule="auto"/>
            </w:pPr>
            <w:r w:rsidRPr="00CD293B">
              <w:t>Deal Director</w:t>
            </w:r>
          </w:p>
        </w:tc>
        <w:tc>
          <w:tcPr>
            <w:tcW w:w="1778" w:type="dxa"/>
            <w:hideMark/>
          </w:tcPr>
          <w:p w14:paraId="66B68620" w14:textId="77777777" w:rsidR="00CD293B" w:rsidRPr="00CD293B" w:rsidRDefault="00CD293B" w:rsidP="00CD293B">
            <w:pPr>
              <w:spacing w:after="160" w:line="278" w:lineRule="auto"/>
            </w:pPr>
            <w:r w:rsidRPr="00CD293B">
              <w:t>Project Sponsor</w:t>
            </w:r>
          </w:p>
        </w:tc>
        <w:tc>
          <w:tcPr>
            <w:tcW w:w="1972" w:type="dxa"/>
            <w:hideMark/>
          </w:tcPr>
          <w:p w14:paraId="03445B09" w14:textId="77777777" w:rsidR="00CD293B" w:rsidRPr="00CD293B" w:rsidRDefault="00CD293B" w:rsidP="00CD293B">
            <w:pPr>
              <w:spacing w:after="160" w:line="278" w:lineRule="auto"/>
            </w:pPr>
            <w:r w:rsidRPr="00CD293B">
              <w:t>Approver</w:t>
            </w:r>
          </w:p>
        </w:tc>
        <w:tc>
          <w:tcPr>
            <w:tcW w:w="0" w:type="auto"/>
            <w:hideMark/>
          </w:tcPr>
          <w:p w14:paraId="706520D6" w14:textId="77777777" w:rsidR="00CD293B" w:rsidRPr="00CD293B" w:rsidRDefault="00CD293B" w:rsidP="00CD293B">
            <w:pPr>
              <w:spacing w:after="160" w:line="278" w:lineRule="auto"/>
            </w:pPr>
            <w:r w:rsidRPr="00CD293B">
              <w:t>Delivery quality, client satisfaction</w:t>
            </w:r>
          </w:p>
        </w:tc>
      </w:tr>
      <w:tr w:rsidR="00CD293B" w:rsidRPr="00CD293B" w14:paraId="0711D026" w14:textId="77777777" w:rsidTr="00AC6AA4">
        <w:tc>
          <w:tcPr>
            <w:tcW w:w="0" w:type="auto"/>
            <w:hideMark/>
          </w:tcPr>
          <w:p w14:paraId="73E8907B" w14:textId="77777777" w:rsidR="00CD293B" w:rsidRPr="00CD293B" w:rsidRDefault="00CD293B" w:rsidP="00CD293B">
            <w:pPr>
              <w:spacing w:after="160" w:line="278" w:lineRule="auto"/>
            </w:pPr>
            <w:r w:rsidRPr="00CD293B">
              <w:t>Financial Analyst</w:t>
            </w:r>
          </w:p>
        </w:tc>
        <w:tc>
          <w:tcPr>
            <w:tcW w:w="1778" w:type="dxa"/>
            <w:hideMark/>
          </w:tcPr>
          <w:p w14:paraId="3BFBA45D" w14:textId="77777777" w:rsidR="00CD293B" w:rsidRPr="00CD293B" w:rsidRDefault="00CD293B" w:rsidP="00CD293B">
            <w:pPr>
              <w:spacing w:after="160" w:line="278" w:lineRule="auto"/>
            </w:pPr>
            <w:r w:rsidRPr="00CD293B">
              <w:t>Primary User</w:t>
            </w:r>
          </w:p>
        </w:tc>
        <w:tc>
          <w:tcPr>
            <w:tcW w:w="1972" w:type="dxa"/>
            <w:hideMark/>
          </w:tcPr>
          <w:p w14:paraId="3FDD49FE" w14:textId="77777777" w:rsidR="00CD293B" w:rsidRPr="00CD293B" w:rsidRDefault="00CD293B" w:rsidP="00CD293B">
            <w:pPr>
              <w:spacing w:after="160" w:line="278" w:lineRule="auto"/>
            </w:pPr>
            <w:r w:rsidRPr="00CD293B">
              <w:t>Consulted &amp; Informed</w:t>
            </w:r>
          </w:p>
        </w:tc>
        <w:tc>
          <w:tcPr>
            <w:tcW w:w="0" w:type="auto"/>
            <w:hideMark/>
          </w:tcPr>
          <w:p w14:paraId="276C76AF" w14:textId="77777777" w:rsidR="00CD293B" w:rsidRPr="00CD293B" w:rsidRDefault="00CD293B" w:rsidP="00CD293B">
            <w:pPr>
              <w:spacing w:after="160" w:line="278" w:lineRule="auto"/>
            </w:pPr>
            <w:r w:rsidRPr="00CD293B">
              <w:t>Speed and accuracy of shortlist output</w:t>
            </w:r>
          </w:p>
        </w:tc>
      </w:tr>
      <w:tr w:rsidR="00CD293B" w:rsidRPr="00CD293B" w14:paraId="04F241AF" w14:textId="77777777" w:rsidTr="00AC6AA4">
        <w:tc>
          <w:tcPr>
            <w:tcW w:w="0" w:type="auto"/>
            <w:hideMark/>
          </w:tcPr>
          <w:p w14:paraId="516AFA99" w14:textId="77777777" w:rsidR="00CD293B" w:rsidRPr="00CD293B" w:rsidRDefault="00CD293B" w:rsidP="00CD293B">
            <w:pPr>
              <w:spacing w:after="160" w:line="278" w:lineRule="auto"/>
            </w:pPr>
            <w:r w:rsidRPr="00CD293B">
              <w:t>PE Fund Client</w:t>
            </w:r>
          </w:p>
        </w:tc>
        <w:tc>
          <w:tcPr>
            <w:tcW w:w="1778" w:type="dxa"/>
            <w:hideMark/>
          </w:tcPr>
          <w:p w14:paraId="101CB3A6" w14:textId="77777777" w:rsidR="00CD293B" w:rsidRPr="00CD293B" w:rsidRDefault="00CD293B" w:rsidP="00CD293B">
            <w:pPr>
              <w:spacing w:after="160" w:line="278" w:lineRule="auto"/>
            </w:pPr>
            <w:r w:rsidRPr="00CD293B">
              <w:t>Secondary User</w:t>
            </w:r>
          </w:p>
        </w:tc>
        <w:tc>
          <w:tcPr>
            <w:tcW w:w="1972" w:type="dxa"/>
            <w:hideMark/>
          </w:tcPr>
          <w:p w14:paraId="3824A8A5" w14:textId="77777777" w:rsidR="00CD293B" w:rsidRPr="00CD293B" w:rsidRDefault="00CD293B" w:rsidP="00CD293B">
            <w:pPr>
              <w:spacing w:after="160" w:line="278" w:lineRule="auto"/>
            </w:pPr>
            <w:r w:rsidRPr="00CD293B">
              <w:t>Informed</w:t>
            </w:r>
          </w:p>
        </w:tc>
        <w:tc>
          <w:tcPr>
            <w:tcW w:w="0" w:type="auto"/>
            <w:hideMark/>
          </w:tcPr>
          <w:p w14:paraId="71668466" w14:textId="77777777" w:rsidR="00CD293B" w:rsidRPr="00CD293B" w:rsidRDefault="00CD293B" w:rsidP="00CD293B">
            <w:pPr>
              <w:spacing w:after="160" w:line="278" w:lineRule="auto"/>
            </w:pPr>
            <w:r w:rsidRPr="00CD293B">
              <w:t>Reliable targets, clear scoring rationale</w:t>
            </w:r>
          </w:p>
        </w:tc>
      </w:tr>
      <w:tr w:rsidR="00CD293B" w:rsidRPr="00CD293B" w14:paraId="784D1D31" w14:textId="77777777" w:rsidTr="00AC6AA4">
        <w:tc>
          <w:tcPr>
            <w:tcW w:w="0" w:type="auto"/>
            <w:hideMark/>
          </w:tcPr>
          <w:p w14:paraId="5CCE772B" w14:textId="77777777" w:rsidR="00CD293B" w:rsidRPr="00CD293B" w:rsidRDefault="00CD293B" w:rsidP="00CD293B">
            <w:pPr>
              <w:spacing w:after="160" w:line="278" w:lineRule="auto"/>
            </w:pPr>
            <w:r w:rsidRPr="00CD293B">
              <w:t>Data / IT Team</w:t>
            </w:r>
          </w:p>
        </w:tc>
        <w:tc>
          <w:tcPr>
            <w:tcW w:w="1778" w:type="dxa"/>
            <w:hideMark/>
          </w:tcPr>
          <w:p w14:paraId="77BE86FB" w14:textId="77777777" w:rsidR="00CD293B" w:rsidRPr="00CD293B" w:rsidRDefault="00CD293B" w:rsidP="00CD293B">
            <w:pPr>
              <w:spacing w:after="160" w:line="278" w:lineRule="auto"/>
            </w:pPr>
            <w:r w:rsidRPr="00CD293B">
              <w:t>System Owner</w:t>
            </w:r>
          </w:p>
        </w:tc>
        <w:tc>
          <w:tcPr>
            <w:tcW w:w="1972" w:type="dxa"/>
            <w:hideMark/>
          </w:tcPr>
          <w:p w14:paraId="634D4DA2" w14:textId="77777777" w:rsidR="00CD293B" w:rsidRPr="00CD293B" w:rsidRDefault="00CD293B" w:rsidP="00CD293B">
            <w:pPr>
              <w:spacing w:after="160" w:line="278" w:lineRule="auto"/>
            </w:pPr>
            <w:r w:rsidRPr="00CD293B">
              <w:t>Consulted</w:t>
            </w:r>
          </w:p>
        </w:tc>
        <w:tc>
          <w:tcPr>
            <w:tcW w:w="0" w:type="auto"/>
            <w:hideMark/>
          </w:tcPr>
          <w:p w14:paraId="27A822D5" w14:textId="77777777" w:rsidR="00CD293B" w:rsidRPr="00CD293B" w:rsidRDefault="00CD293B" w:rsidP="00CD293B">
            <w:pPr>
              <w:spacing w:after="160" w:line="278" w:lineRule="auto"/>
            </w:pPr>
            <w:r w:rsidRPr="00CD293B">
              <w:t>Data pipeline integrity, access control</w:t>
            </w:r>
          </w:p>
        </w:tc>
      </w:tr>
    </w:tbl>
    <w:p w14:paraId="2DBAC983" w14:textId="77777777" w:rsidR="00CD293B" w:rsidRDefault="00CD293B" w:rsidP="003238C5"/>
    <w:p w14:paraId="76D49D1F" w14:textId="77777777" w:rsidR="005A2891" w:rsidRPr="005A2891" w:rsidRDefault="005A2891" w:rsidP="00372DF5">
      <w:pPr>
        <w:pStyle w:val="NoSpacing"/>
      </w:pPr>
      <w:r w:rsidRPr="005A2891">
        <w:t>Functional Requirements</w:t>
      </w:r>
    </w:p>
    <w:tbl>
      <w:tblPr>
        <w:tblStyle w:val="PlainTable2"/>
        <w:tblW w:w="9584" w:type="dxa"/>
        <w:tblLook w:val="04A0" w:firstRow="1" w:lastRow="0" w:firstColumn="1" w:lastColumn="0" w:noHBand="0" w:noVBand="1"/>
      </w:tblPr>
      <w:tblGrid>
        <w:gridCol w:w="622"/>
        <w:gridCol w:w="8962"/>
      </w:tblGrid>
      <w:tr w:rsidR="005A2891" w:rsidRPr="005A2891" w14:paraId="40E5BF50" w14:textId="77777777" w:rsidTr="00EB757D">
        <w:trPr>
          <w:cnfStyle w:val="100000000000" w:firstRow="1" w:lastRow="0" w:firstColumn="0" w:lastColumn="0" w:oddVBand="0" w:evenVBand="0" w:oddHBand="0"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0" w:type="auto"/>
            <w:hideMark/>
          </w:tcPr>
          <w:p w14:paraId="559C9729" w14:textId="77777777" w:rsidR="005A2891" w:rsidRPr="005A2891" w:rsidRDefault="005A2891" w:rsidP="00372DF5">
            <w:pPr>
              <w:pStyle w:val="NoSpacing"/>
            </w:pPr>
            <w:r w:rsidRPr="005A2891">
              <w:t>FR-ID</w:t>
            </w:r>
          </w:p>
        </w:tc>
        <w:tc>
          <w:tcPr>
            <w:tcW w:w="0" w:type="auto"/>
            <w:hideMark/>
          </w:tcPr>
          <w:p w14:paraId="735FE51F" w14:textId="77777777" w:rsidR="005A2891" w:rsidRPr="005A2891" w:rsidRDefault="005A2891" w:rsidP="00372DF5">
            <w:pPr>
              <w:pStyle w:val="NoSpacing"/>
              <w:cnfStyle w:val="100000000000" w:firstRow="1" w:lastRow="0" w:firstColumn="0" w:lastColumn="0" w:oddVBand="0" w:evenVBand="0" w:oddHBand="0" w:evenHBand="0" w:firstRowFirstColumn="0" w:firstRowLastColumn="0" w:lastRowFirstColumn="0" w:lastRowLastColumn="0"/>
            </w:pPr>
            <w:r w:rsidRPr="005A2891">
              <w:t>Requirement</w:t>
            </w:r>
          </w:p>
        </w:tc>
      </w:tr>
      <w:tr w:rsidR="005A2891" w:rsidRPr="005A2891" w14:paraId="63BC690D" w14:textId="77777777" w:rsidTr="00EB757D">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0" w:type="auto"/>
            <w:hideMark/>
          </w:tcPr>
          <w:p w14:paraId="48E92D03" w14:textId="77777777" w:rsidR="005A2891" w:rsidRPr="005A2891" w:rsidRDefault="005A2891" w:rsidP="00372DF5">
            <w:pPr>
              <w:pStyle w:val="NoSpacing"/>
            </w:pPr>
            <w:r w:rsidRPr="005A2891">
              <w:t>FR-01</w:t>
            </w:r>
          </w:p>
        </w:tc>
        <w:tc>
          <w:tcPr>
            <w:tcW w:w="0" w:type="auto"/>
            <w:hideMark/>
          </w:tcPr>
          <w:p w14:paraId="3470BAD6" w14:textId="4BEEFB62" w:rsidR="005A2891" w:rsidRPr="005A2891" w:rsidRDefault="005A2891" w:rsidP="00372DF5">
            <w:pPr>
              <w:pStyle w:val="NoSpacing"/>
              <w:cnfStyle w:val="000000100000" w:firstRow="0" w:lastRow="0" w:firstColumn="0" w:lastColumn="0" w:oddVBand="0" w:evenVBand="0" w:oddHBand="1" w:evenHBand="0" w:firstRowFirstColumn="0" w:firstRowLastColumn="0" w:lastRowFirstColumn="0" w:lastRowLastColumn="0"/>
            </w:pPr>
            <w:r w:rsidRPr="005A2891">
              <w:t>The system shall compute a composite Deal Score per company using the formula: (0.4 × EPS_norm) + (0.3 × EBITDA_norm) + (0.3 × PB_norm), where each normali</w:t>
            </w:r>
            <w:r w:rsidR="00067D38">
              <w:t>z</w:t>
            </w:r>
            <w:r w:rsidRPr="005A2891">
              <w:t>ed value is derived via min-max scaling across the full dataset.</w:t>
            </w:r>
          </w:p>
        </w:tc>
      </w:tr>
      <w:tr w:rsidR="005A2891" w:rsidRPr="005A2891" w14:paraId="01193FF5" w14:textId="77777777" w:rsidTr="00EB757D">
        <w:trPr>
          <w:trHeight w:val="564"/>
        </w:trPr>
        <w:tc>
          <w:tcPr>
            <w:cnfStyle w:val="001000000000" w:firstRow="0" w:lastRow="0" w:firstColumn="1" w:lastColumn="0" w:oddVBand="0" w:evenVBand="0" w:oddHBand="0" w:evenHBand="0" w:firstRowFirstColumn="0" w:firstRowLastColumn="0" w:lastRowFirstColumn="0" w:lastRowLastColumn="0"/>
            <w:tcW w:w="0" w:type="auto"/>
            <w:hideMark/>
          </w:tcPr>
          <w:p w14:paraId="4E16F23C" w14:textId="77777777" w:rsidR="005A2891" w:rsidRPr="005A2891" w:rsidRDefault="005A2891" w:rsidP="00372DF5">
            <w:pPr>
              <w:pStyle w:val="NoSpacing"/>
            </w:pPr>
            <w:r w:rsidRPr="005A2891">
              <w:t>FR-02</w:t>
            </w:r>
          </w:p>
        </w:tc>
        <w:tc>
          <w:tcPr>
            <w:tcW w:w="0" w:type="auto"/>
            <w:hideMark/>
          </w:tcPr>
          <w:p w14:paraId="6157D1D2" w14:textId="77777777" w:rsidR="005A2891" w:rsidRPr="005A2891" w:rsidRDefault="005A2891" w:rsidP="00372DF5">
            <w:pPr>
              <w:pStyle w:val="NoSpacing"/>
              <w:cnfStyle w:val="000000000000" w:firstRow="0" w:lastRow="0" w:firstColumn="0" w:lastColumn="0" w:oddVBand="0" w:evenVBand="0" w:oddHBand="0" w:evenHBand="0" w:firstRowFirstColumn="0" w:firstRowLastColumn="0" w:lastRowFirstColumn="0" w:lastRowLastColumn="0"/>
            </w:pPr>
            <w:r w:rsidRPr="005A2891">
              <w:t>Companies with negative EPS or NULL EBITDA shall be automatically classified as "High Risk" without analyst intervention.</w:t>
            </w:r>
          </w:p>
        </w:tc>
      </w:tr>
      <w:tr w:rsidR="005A2891" w:rsidRPr="005A2891" w14:paraId="4D77BCF0" w14:textId="77777777" w:rsidTr="00EB757D">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0" w:type="auto"/>
            <w:hideMark/>
          </w:tcPr>
          <w:p w14:paraId="40B7453D" w14:textId="77777777" w:rsidR="005A2891" w:rsidRPr="005A2891" w:rsidRDefault="005A2891" w:rsidP="00372DF5">
            <w:pPr>
              <w:pStyle w:val="NoSpacing"/>
            </w:pPr>
            <w:r w:rsidRPr="005A2891">
              <w:t>FR-03</w:t>
            </w:r>
          </w:p>
        </w:tc>
        <w:tc>
          <w:tcPr>
            <w:tcW w:w="0" w:type="auto"/>
            <w:hideMark/>
          </w:tcPr>
          <w:p w14:paraId="51E80795" w14:textId="5ECDE88E" w:rsidR="005A2891" w:rsidRPr="005A2891" w:rsidRDefault="005A2891" w:rsidP="00372DF5">
            <w:pPr>
              <w:pStyle w:val="NoSpacing"/>
              <w:cnfStyle w:val="000000100000" w:firstRow="0" w:lastRow="0" w:firstColumn="0" w:lastColumn="0" w:oddVBand="0" w:evenVBand="0" w:oddHBand="1" w:evenHBand="0" w:firstRowFirstColumn="0" w:firstRowLastColumn="0" w:lastRowFirstColumn="0" w:lastRowLastColumn="0"/>
            </w:pPr>
            <w:r w:rsidRPr="005A2891">
              <w:t>The dashboard shall support filtering by sector, market capitali</w:t>
            </w:r>
            <w:r w:rsidR="00067D38">
              <w:t>z</w:t>
            </w:r>
            <w:r w:rsidRPr="005A2891">
              <w:t>ation range, and valuation category (Undervalued / Fair / Overvalued).</w:t>
            </w:r>
          </w:p>
        </w:tc>
      </w:tr>
      <w:tr w:rsidR="005A2891" w:rsidRPr="005A2891" w14:paraId="253A3331" w14:textId="77777777" w:rsidTr="00EB757D">
        <w:trPr>
          <w:trHeight w:val="564"/>
        </w:trPr>
        <w:tc>
          <w:tcPr>
            <w:cnfStyle w:val="001000000000" w:firstRow="0" w:lastRow="0" w:firstColumn="1" w:lastColumn="0" w:oddVBand="0" w:evenVBand="0" w:oddHBand="0" w:evenHBand="0" w:firstRowFirstColumn="0" w:firstRowLastColumn="0" w:lastRowFirstColumn="0" w:lastRowLastColumn="0"/>
            <w:tcW w:w="0" w:type="auto"/>
            <w:hideMark/>
          </w:tcPr>
          <w:p w14:paraId="05982CEA" w14:textId="77777777" w:rsidR="005A2891" w:rsidRPr="005A2891" w:rsidRDefault="005A2891" w:rsidP="00372DF5">
            <w:pPr>
              <w:pStyle w:val="NoSpacing"/>
            </w:pPr>
            <w:r w:rsidRPr="005A2891">
              <w:t>FR-04</w:t>
            </w:r>
          </w:p>
        </w:tc>
        <w:tc>
          <w:tcPr>
            <w:tcW w:w="0" w:type="auto"/>
            <w:hideMark/>
          </w:tcPr>
          <w:p w14:paraId="39FFCBCC" w14:textId="77777777" w:rsidR="005A2891" w:rsidRPr="005A2891" w:rsidRDefault="005A2891" w:rsidP="00372DF5">
            <w:pPr>
              <w:pStyle w:val="NoSpacing"/>
              <w:cnfStyle w:val="000000000000" w:firstRow="0" w:lastRow="0" w:firstColumn="0" w:lastColumn="0" w:oddVBand="0" w:evenVBand="0" w:oddHBand="0" w:evenHBand="0" w:firstRowFirstColumn="0" w:firstRowLastColumn="0" w:lastRowFirstColumn="0" w:lastRowLastColumn="0"/>
            </w:pPr>
            <w:r w:rsidRPr="005A2891">
              <w:t>The dashboard shall support drill-through navigation from the sector-level summary view to the company-level detail view.</w:t>
            </w:r>
          </w:p>
        </w:tc>
      </w:tr>
      <w:tr w:rsidR="005A2891" w:rsidRPr="005A2891" w14:paraId="36F160A7" w14:textId="77777777" w:rsidTr="00EB757D">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0" w:type="auto"/>
            <w:hideMark/>
          </w:tcPr>
          <w:p w14:paraId="44CAAFB9" w14:textId="77777777" w:rsidR="005A2891" w:rsidRPr="005A2891" w:rsidRDefault="005A2891" w:rsidP="00372DF5">
            <w:pPr>
              <w:pStyle w:val="NoSpacing"/>
            </w:pPr>
            <w:r w:rsidRPr="005A2891">
              <w:t>FR-05</w:t>
            </w:r>
          </w:p>
        </w:tc>
        <w:tc>
          <w:tcPr>
            <w:tcW w:w="0" w:type="auto"/>
            <w:hideMark/>
          </w:tcPr>
          <w:p w14:paraId="2EC42CA4" w14:textId="77777777" w:rsidR="005A2891" w:rsidRPr="005A2891" w:rsidRDefault="005A2891" w:rsidP="00372DF5">
            <w:pPr>
              <w:pStyle w:val="NoSpacing"/>
              <w:cnfStyle w:val="000000100000" w:firstRow="0" w:lastRow="0" w:firstColumn="0" w:lastColumn="0" w:oddVBand="0" w:evenVBand="0" w:oddHBand="1" w:evenHBand="0" w:firstRowFirstColumn="0" w:firstRowLastColumn="0" w:lastRowFirstColumn="0" w:lastRowLastColumn="0"/>
            </w:pPr>
            <w:r w:rsidRPr="005A2891">
              <w:t>The SQL layer shall produce an on-demand ranked shortlist of the top 10 highest-scoring acquisition targets.</w:t>
            </w:r>
          </w:p>
        </w:tc>
      </w:tr>
      <w:tr w:rsidR="005A2891" w:rsidRPr="005A2891" w14:paraId="68903AF7" w14:textId="77777777" w:rsidTr="00EB757D">
        <w:trPr>
          <w:trHeight w:val="564"/>
        </w:trPr>
        <w:tc>
          <w:tcPr>
            <w:cnfStyle w:val="001000000000" w:firstRow="0" w:lastRow="0" w:firstColumn="1" w:lastColumn="0" w:oddVBand="0" w:evenVBand="0" w:oddHBand="0" w:evenHBand="0" w:firstRowFirstColumn="0" w:firstRowLastColumn="0" w:lastRowFirstColumn="0" w:lastRowLastColumn="0"/>
            <w:tcW w:w="0" w:type="auto"/>
            <w:hideMark/>
          </w:tcPr>
          <w:p w14:paraId="6515AEAC" w14:textId="77777777" w:rsidR="005A2891" w:rsidRPr="005A2891" w:rsidRDefault="005A2891" w:rsidP="00372DF5">
            <w:pPr>
              <w:pStyle w:val="NoSpacing"/>
            </w:pPr>
            <w:r w:rsidRPr="005A2891">
              <w:t>FR-06</w:t>
            </w:r>
          </w:p>
        </w:tc>
        <w:tc>
          <w:tcPr>
            <w:tcW w:w="0" w:type="auto"/>
            <w:hideMark/>
          </w:tcPr>
          <w:p w14:paraId="0BDAEBAE" w14:textId="77777777" w:rsidR="005A2891" w:rsidRPr="005A2891" w:rsidRDefault="005A2891" w:rsidP="00372DF5">
            <w:pPr>
              <w:pStyle w:val="NoSpacing"/>
              <w:cnfStyle w:val="000000000000" w:firstRow="0" w:lastRow="0" w:firstColumn="0" w:lastColumn="0" w:oddVBand="0" w:evenVBand="0" w:oddHBand="0" w:evenHBand="0" w:firstRowFirstColumn="0" w:firstRowLastColumn="0" w:lastRowFirstColumn="0" w:lastRowLastColumn="0"/>
            </w:pPr>
            <w:r w:rsidRPr="005A2891">
              <w:t>Scoring weights (0.4 EPS / 0.3 EBITDA / 0.3 Price-Book) shall be explicitly documented and visible to all analysts.</w:t>
            </w:r>
          </w:p>
        </w:tc>
      </w:tr>
      <w:tr w:rsidR="005A2891" w:rsidRPr="005A2891" w14:paraId="7728719F" w14:textId="77777777" w:rsidTr="00EB757D">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0" w:type="auto"/>
            <w:hideMark/>
          </w:tcPr>
          <w:p w14:paraId="0032FDE3" w14:textId="77777777" w:rsidR="005A2891" w:rsidRPr="005A2891" w:rsidRDefault="005A2891" w:rsidP="00372DF5">
            <w:pPr>
              <w:pStyle w:val="NoSpacing"/>
            </w:pPr>
            <w:r w:rsidRPr="005A2891">
              <w:t>FR-07</w:t>
            </w:r>
          </w:p>
        </w:tc>
        <w:tc>
          <w:tcPr>
            <w:tcW w:w="0" w:type="auto"/>
            <w:hideMark/>
          </w:tcPr>
          <w:p w14:paraId="3F428D03" w14:textId="77777777" w:rsidR="005A2891" w:rsidRPr="005A2891" w:rsidRDefault="005A2891" w:rsidP="00372DF5">
            <w:pPr>
              <w:pStyle w:val="NoSpacing"/>
              <w:cnfStyle w:val="000000100000" w:firstRow="0" w:lastRow="0" w:firstColumn="0" w:lastColumn="0" w:oddVBand="0" w:evenVBand="0" w:oddHBand="1" w:evenHBand="0" w:firstRowFirstColumn="0" w:firstRowLastColumn="0" w:lastRowFirstColumn="0" w:lastRowLastColumn="0"/>
            </w:pPr>
            <w:r w:rsidRPr="005A2891">
              <w:t>All company data shall be traceable to the source dataset (S&amp;P 500 constituents, SEC filing-sourced financials).</w:t>
            </w:r>
          </w:p>
        </w:tc>
      </w:tr>
      <w:tr w:rsidR="005A2891" w:rsidRPr="005A2891" w14:paraId="14CD2D2E" w14:textId="77777777" w:rsidTr="00EB757D">
        <w:trPr>
          <w:trHeight w:val="810"/>
        </w:trPr>
        <w:tc>
          <w:tcPr>
            <w:cnfStyle w:val="001000000000" w:firstRow="0" w:lastRow="0" w:firstColumn="1" w:lastColumn="0" w:oddVBand="0" w:evenVBand="0" w:oddHBand="0" w:evenHBand="0" w:firstRowFirstColumn="0" w:firstRowLastColumn="0" w:lastRowFirstColumn="0" w:lastRowLastColumn="0"/>
            <w:tcW w:w="0" w:type="auto"/>
            <w:hideMark/>
          </w:tcPr>
          <w:p w14:paraId="659BDE90" w14:textId="77777777" w:rsidR="005A2891" w:rsidRPr="005A2891" w:rsidRDefault="005A2891" w:rsidP="005A2891">
            <w:pPr>
              <w:spacing w:after="160" w:line="278" w:lineRule="auto"/>
            </w:pPr>
            <w:r w:rsidRPr="005A2891">
              <w:t>FR-08</w:t>
            </w:r>
          </w:p>
        </w:tc>
        <w:tc>
          <w:tcPr>
            <w:tcW w:w="0" w:type="auto"/>
            <w:hideMark/>
          </w:tcPr>
          <w:p w14:paraId="27B6399E" w14:textId="3496AB72" w:rsidR="005A2891" w:rsidRPr="005A2891" w:rsidRDefault="005A2891" w:rsidP="005A2891">
            <w:pPr>
              <w:spacing w:after="160" w:line="278" w:lineRule="auto"/>
              <w:cnfStyle w:val="000000000000" w:firstRow="0" w:lastRow="0" w:firstColumn="0" w:lastColumn="0" w:oddVBand="0" w:evenVBand="0" w:oddHBand="0" w:evenHBand="0" w:firstRowFirstColumn="0" w:firstRowLastColumn="0" w:lastRowFirstColumn="0" w:lastRowLastColumn="0"/>
            </w:pPr>
            <w:r w:rsidRPr="005A2891">
              <w:t>The dashboard report shall be exportable as a PDF for client delivery.</w:t>
            </w:r>
          </w:p>
        </w:tc>
      </w:tr>
    </w:tbl>
    <w:p w14:paraId="1E4AFBD4" w14:textId="77777777" w:rsidR="005A2891" w:rsidRPr="005A2891" w:rsidRDefault="00000000" w:rsidP="005A2891">
      <w:r>
        <w:pict w14:anchorId="58D4CD4B">
          <v:rect id="_x0000_i1025" style="width:0;height:1.5pt" o:hralign="center" o:hrstd="t" o:hr="t" fillcolor="#a0a0a0" stroked="f"/>
        </w:pict>
      </w:r>
    </w:p>
    <w:p w14:paraId="3DABBDBF" w14:textId="38555EE7" w:rsidR="005A2891" w:rsidRPr="00EB757D" w:rsidRDefault="005A2891" w:rsidP="00EB757D">
      <w:pPr>
        <w:pStyle w:val="NoSpacing"/>
        <w:rPr>
          <w:rFonts w:asciiTheme="majorHAnsi" w:hAnsiTheme="majorHAnsi" w:cstheme="majorHAnsi"/>
          <w:sz w:val="28"/>
          <w:szCs w:val="28"/>
        </w:rPr>
      </w:pPr>
      <w:r w:rsidRPr="00EB757D">
        <w:rPr>
          <w:rFonts w:asciiTheme="majorHAnsi" w:hAnsiTheme="majorHAnsi" w:cstheme="majorHAnsi"/>
          <w:sz w:val="28"/>
          <w:szCs w:val="28"/>
        </w:rPr>
        <w:t>Non-Functional Requirements</w:t>
      </w:r>
    </w:p>
    <w:p w14:paraId="009B180A" w14:textId="77777777" w:rsidR="005A2891" w:rsidRPr="00EB757D" w:rsidRDefault="005A2891" w:rsidP="00EB757D">
      <w:pPr>
        <w:pStyle w:val="NoSpacing"/>
        <w:rPr>
          <w:rFonts w:asciiTheme="majorHAnsi" w:hAnsiTheme="majorHAnsi" w:cstheme="majorHAnsi"/>
          <w:sz w:val="28"/>
          <w:szCs w:val="28"/>
        </w:rPr>
      </w:pPr>
      <w:r w:rsidRPr="00EB757D">
        <w:rPr>
          <w:rFonts w:asciiTheme="majorHAnsi" w:hAnsiTheme="majorHAnsi" w:cstheme="majorHAnsi"/>
          <w:sz w:val="28"/>
          <w:szCs w:val="28"/>
        </w:rPr>
        <w:t>Write these as a short table or labelled list:</w:t>
      </w:r>
    </w:p>
    <w:tbl>
      <w:tblPr>
        <w:tblStyle w:val="TableGridLight"/>
        <w:tblW w:w="0" w:type="auto"/>
        <w:tblLook w:val="04A0" w:firstRow="1" w:lastRow="0" w:firstColumn="1" w:lastColumn="0" w:noHBand="0" w:noVBand="1"/>
      </w:tblPr>
      <w:tblGrid>
        <w:gridCol w:w="933"/>
        <w:gridCol w:w="1753"/>
        <w:gridCol w:w="6664"/>
      </w:tblGrid>
      <w:tr w:rsidR="005A2891" w:rsidRPr="00EB757D" w14:paraId="5A45F827" w14:textId="77777777" w:rsidTr="00AC6AA4">
        <w:tc>
          <w:tcPr>
            <w:tcW w:w="0" w:type="auto"/>
            <w:hideMark/>
          </w:tcPr>
          <w:p w14:paraId="58F5EE54" w14:textId="77777777" w:rsidR="005A2891" w:rsidRPr="00EB757D" w:rsidRDefault="005A2891" w:rsidP="00EB757D">
            <w:pPr>
              <w:pStyle w:val="NoSpacing"/>
              <w:rPr>
                <w:rFonts w:asciiTheme="majorHAnsi" w:hAnsiTheme="majorHAnsi" w:cstheme="majorHAnsi"/>
                <w:sz w:val="28"/>
                <w:szCs w:val="28"/>
              </w:rPr>
            </w:pPr>
            <w:r w:rsidRPr="00EB757D">
              <w:rPr>
                <w:rFonts w:asciiTheme="majorHAnsi" w:hAnsiTheme="majorHAnsi" w:cstheme="majorHAnsi"/>
                <w:sz w:val="28"/>
                <w:szCs w:val="28"/>
              </w:rPr>
              <w:lastRenderedPageBreak/>
              <w:t>NFR-ID</w:t>
            </w:r>
          </w:p>
        </w:tc>
        <w:tc>
          <w:tcPr>
            <w:tcW w:w="0" w:type="auto"/>
            <w:hideMark/>
          </w:tcPr>
          <w:p w14:paraId="6DC4FD48" w14:textId="77777777" w:rsidR="005A2891" w:rsidRPr="00EB757D" w:rsidRDefault="005A2891" w:rsidP="00EB757D">
            <w:pPr>
              <w:pStyle w:val="NoSpacing"/>
              <w:rPr>
                <w:rFonts w:asciiTheme="majorHAnsi" w:hAnsiTheme="majorHAnsi" w:cstheme="majorHAnsi"/>
                <w:sz w:val="28"/>
                <w:szCs w:val="28"/>
              </w:rPr>
            </w:pPr>
            <w:r w:rsidRPr="00EB757D">
              <w:rPr>
                <w:rFonts w:asciiTheme="majorHAnsi" w:hAnsiTheme="majorHAnsi" w:cstheme="majorHAnsi"/>
                <w:sz w:val="28"/>
                <w:szCs w:val="28"/>
              </w:rPr>
              <w:t>Category</w:t>
            </w:r>
          </w:p>
        </w:tc>
        <w:tc>
          <w:tcPr>
            <w:tcW w:w="0" w:type="auto"/>
            <w:hideMark/>
          </w:tcPr>
          <w:p w14:paraId="3935A69F" w14:textId="77777777" w:rsidR="005A2891" w:rsidRPr="00EB757D" w:rsidRDefault="005A2891" w:rsidP="00EB757D">
            <w:pPr>
              <w:pStyle w:val="NoSpacing"/>
              <w:rPr>
                <w:rFonts w:asciiTheme="majorHAnsi" w:hAnsiTheme="majorHAnsi" w:cstheme="majorHAnsi"/>
                <w:sz w:val="28"/>
                <w:szCs w:val="28"/>
              </w:rPr>
            </w:pPr>
            <w:r w:rsidRPr="00EB757D">
              <w:rPr>
                <w:rFonts w:asciiTheme="majorHAnsi" w:hAnsiTheme="majorHAnsi" w:cstheme="majorHAnsi"/>
                <w:sz w:val="28"/>
                <w:szCs w:val="28"/>
              </w:rPr>
              <w:t>Requirement</w:t>
            </w:r>
          </w:p>
        </w:tc>
      </w:tr>
      <w:tr w:rsidR="005A2891" w:rsidRPr="00EB757D" w14:paraId="7B0AFA73" w14:textId="77777777" w:rsidTr="00AC6AA4">
        <w:tc>
          <w:tcPr>
            <w:tcW w:w="0" w:type="auto"/>
            <w:hideMark/>
          </w:tcPr>
          <w:p w14:paraId="494DDA91" w14:textId="77777777" w:rsidR="005A2891" w:rsidRPr="00EB757D" w:rsidRDefault="005A2891" w:rsidP="00EB757D">
            <w:pPr>
              <w:pStyle w:val="NoSpacing"/>
              <w:rPr>
                <w:rFonts w:asciiTheme="majorHAnsi" w:hAnsiTheme="majorHAnsi" w:cstheme="majorHAnsi"/>
                <w:sz w:val="28"/>
                <w:szCs w:val="28"/>
              </w:rPr>
            </w:pPr>
            <w:r w:rsidRPr="00EB757D">
              <w:rPr>
                <w:rFonts w:asciiTheme="majorHAnsi" w:hAnsiTheme="majorHAnsi" w:cstheme="majorHAnsi"/>
                <w:sz w:val="28"/>
                <w:szCs w:val="28"/>
              </w:rPr>
              <w:t>NFR-01</w:t>
            </w:r>
          </w:p>
        </w:tc>
        <w:tc>
          <w:tcPr>
            <w:tcW w:w="0" w:type="auto"/>
            <w:hideMark/>
          </w:tcPr>
          <w:p w14:paraId="4AC6C3D1" w14:textId="77777777" w:rsidR="005A2891" w:rsidRPr="00EB757D" w:rsidRDefault="005A2891" w:rsidP="00EB757D">
            <w:pPr>
              <w:pStyle w:val="NoSpacing"/>
              <w:rPr>
                <w:rFonts w:asciiTheme="majorHAnsi" w:hAnsiTheme="majorHAnsi" w:cstheme="majorHAnsi"/>
                <w:sz w:val="28"/>
                <w:szCs w:val="28"/>
              </w:rPr>
            </w:pPr>
            <w:r w:rsidRPr="00EB757D">
              <w:rPr>
                <w:rFonts w:asciiTheme="majorHAnsi" w:hAnsiTheme="majorHAnsi" w:cstheme="majorHAnsi"/>
                <w:sz w:val="28"/>
                <w:szCs w:val="28"/>
              </w:rPr>
              <w:t>Performance</w:t>
            </w:r>
          </w:p>
        </w:tc>
        <w:tc>
          <w:tcPr>
            <w:tcW w:w="0" w:type="auto"/>
            <w:hideMark/>
          </w:tcPr>
          <w:p w14:paraId="46530C48" w14:textId="77777777" w:rsidR="005A2891" w:rsidRPr="00EB757D" w:rsidRDefault="005A2891" w:rsidP="00EB757D">
            <w:pPr>
              <w:pStyle w:val="NoSpacing"/>
              <w:rPr>
                <w:rFonts w:asciiTheme="majorHAnsi" w:hAnsiTheme="majorHAnsi" w:cstheme="majorHAnsi"/>
                <w:sz w:val="28"/>
                <w:szCs w:val="28"/>
              </w:rPr>
            </w:pPr>
            <w:r w:rsidRPr="00EB757D">
              <w:rPr>
                <w:rFonts w:asciiTheme="majorHAnsi" w:hAnsiTheme="majorHAnsi" w:cstheme="majorHAnsi"/>
                <w:sz w:val="28"/>
                <w:szCs w:val="28"/>
              </w:rPr>
              <w:t>Dashboard page load shall complete within 5 seconds on standard analyst hardware</w:t>
            </w:r>
          </w:p>
        </w:tc>
      </w:tr>
      <w:tr w:rsidR="005A2891" w:rsidRPr="00EB757D" w14:paraId="7E338571" w14:textId="77777777" w:rsidTr="00AC6AA4">
        <w:tc>
          <w:tcPr>
            <w:tcW w:w="0" w:type="auto"/>
            <w:hideMark/>
          </w:tcPr>
          <w:p w14:paraId="6F36F4E0" w14:textId="77777777" w:rsidR="005A2891" w:rsidRPr="00EB757D" w:rsidRDefault="005A2891" w:rsidP="00EB757D">
            <w:pPr>
              <w:pStyle w:val="NoSpacing"/>
              <w:rPr>
                <w:rFonts w:asciiTheme="majorHAnsi" w:hAnsiTheme="majorHAnsi" w:cstheme="majorHAnsi"/>
                <w:sz w:val="28"/>
                <w:szCs w:val="28"/>
              </w:rPr>
            </w:pPr>
            <w:r w:rsidRPr="00EB757D">
              <w:rPr>
                <w:rFonts w:asciiTheme="majorHAnsi" w:hAnsiTheme="majorHAnsi" w:cstheme="majorHAnsi"/>
                <w:sz w:val="28"/>
                <w:szCs w:val="28"/>
              </w:rPr>
              <w:t>NFR-02</w:t>
            </w:r>
          </w:p>
        </w:tc>
        <w:tc>
          <w:tcPr>
            <w:tcW w:w="0" w:type="auto"/>
            <w:hideMark/>
          </w:tcPr>
          <w:p w14:paraId="2A5D332E" w14:textId="77777777" w:rsidR="005A2891" w:rsidRPr="00EB757D" w:rsidRDefault="005A2891" w:rsidP="00EB757D">
            <w:pPr>
              <w:pStyle w:val="NoSpacing"/>
              <w:rPr>
                <w:rFonts w:asciiTheme="majorHAnsi" w:hAnsiTheme="majorHAnsi" w:cstheme="majorHAnsi"/>
                <w:sz w:val="28"/>
                <w:szCs w:val="28"/>
              </w:rPr>
            </w:pPr>
            <w:r w:rsidRPr="00EB757D">
              <w:rPr>
                <w:rFonts w:asciiTheme="majorHAnsi" w:hAnsiTheme="majorHAnsi" w:cstheme="majorHAnsi"/>
                <w:sz w:val="28"/>
                <w:szCs w:val="28"/>
              </w:rPr>
              <w:t>Data Currency</w:t>
            </w:r>
          </w:p>
        </w:tc>
        <w:tc>
          <w:tcPr>
            <w:tcW w:w="0" w:type="auto"/>
            <w:hideMark/>
          </w:tcPr>
          <w:p w14:paraId="548144A6" w14:textId="77777777" w:rsidR="005A2891" w:rsidRPr="00EB757D" w:rsidRDefault="005A2891" w:rsidP="00EB757D">
            <w:pPr>
              <w:pStyle w:val="NoSpacing"/>
              <w:rPr>
                <w:rFonts w:asciiTheme="majorHAnsi" w:hAnsiTheme="majorHAnsi" w:cstheme="majorHAnsi"/>
                <w:sz w:val="28"/>
                <w:szCs w:val="28"/>
              </w:rPr>
            </w:pPr>
            <w:r w:rsidRPr="00EB757D">
              <w:rPr>
                <w:rFonts w:asciiTheme="majorHAnsi" w:hAnsiTheme="majorHAnsi" w:cstheme="majorHAnsi"/>
                <w:sz w:val="28"/>
                <w:szCs w:val="28"/>
              </w:rPr>
              <w:t>Dataset shall be refreshed quarterly, aligned to SEC reporting cadence</w:t>
            </w:r>
          </w:p>
        </w:tc>
      </w:tr>
      <w:tr w:rsidR="005A2891" w:rsidRPr="00EB757D" w14:paraId="246E2B8E" w14:textId="77777777" w:rsidTr="00AC6AA4">
        <w:tc>
          <w:tcPr>
            <w:tcW w:w="0" w:type="auto"/>
            <w:hideMark/>
          </w:tcPr>
          <w:p w14:paraId="19934AE5" w14:textId="77777777" w:rsidR="005A2891" w:rsidRPr="00EB757D" w:rsidRDefault="005A2891" w:rsidP="00EB757D">
            <w:pPr>
              <w:pStyle w:val="NoSpacing"/>
              <w:rPr>
                <w:rFonts w:asciiTheme="majorHAnsi" w:hAnsiTheme="majorHAnsi" w:cstheme="majorHAnsi"/>
                <w:sz w:val="28"/>
                <w:szCs w:val="28"/>
              </w:rPr>
            </w:pPr>
            <w:r w:rsidRPr="00EB757D">
              <w:rPr>
                <w:rFonts w:asciiTheme="majorHAnsi" w:hAnsiTheme="majorHAnsi" w:cstheme="majorHAnsi"/>
                <w:sz w:val="28"/>
                <w:szCs w:val="28"/>
              </w:rPr>
              <w:t>NFR-03</w:t>
            </w:r>
          </w:p>
        </w:tc>
        <w:tc>
          <w:tcPr>
            <w:tcW w:w="0" w:type="auto"/>
            <w:hideMark/>
          </w:tcPr>
          <w:p w14:paraId="42ACFCFF" w14:textId="77777777" w:rsidR="005A2891" w:rsidRPr="00EB757D" w:rsidRDefault="005A2891" w:rsidP="00EB757D">
            <w:pPr>
              <w:pStyle w:val="NoSpacing"/>
              <w:rPr>
                <w:rFonts w:asciiTheme="majorHAnsi" w:hAnsiTheme="majorHAnsi" w:cstheme="majorHAnsi"/>
                <w:sz w:val="28"/>
                <w:szCs w:val="28"/>
              </w:rPr>
            </w:pPr>
            <w:r w:rsidRPr="00EB757D">
              <w:rPr>
                <w:rFonts w:asciiTheme="majorHAnsi" w:hAnsiTheme="majorHAnsi" w:cstheme="majorHAnsi"/>
                <w:sz w:val="28"/>
                <w:szCs w:val="28"/>
              </w:rPr>
              <w:t>Usability</w:t>
            </w:r>
          </w:p>
        </w:tc>
        <w:tc>
          <w:tcPr>
            <w:tcW w:w="0" w:type="auto"/>
            <w:hideMark/>
          </w:tcPr>
          <w:p w14:paraId="01729942" w14:textId="77777777" w:rsidR="005A2891" w:rsidRPr="00EB757D" w:rsidRDefault="005A2891" w:rsidP="00EB757D">
            <w:pPr>
              <w:pStyle w:val="NoSpacing"/>
              <w:rPr>
                <w:rFonts w:asciiTheme="majorHAnsi" w:hAnsiTheme="majorHAnsi" w:cstheme="majorHAnsi"/>
                <w:sz w:val="28"/>
                <w:szCs w:val="28"/>
              </w:rPr>
            </w:pPr>
            <w:r w:rsidRPr="00EB757D">
              <w:rPr>
                <w:rFonts w:asciiTheme="majorHAnsi" w:hAnsiTheme="majorHAnsi" w:cstheme="majorHAnsi"/>
                <w:sz w:val="28"/>
                <w:szCs w:val="28"/>
              </w:rPr>
              <w:t>Dashboard shall require no analyst training beyond basic Power BI navigation</w:t>
            </w:r>
          </w:p>
        </w:tc>
      </w:tr>
      <w:tr w:rsidR="005A2891" w:rsidRPr="00EB757D" w14:paraId="2A57AB31" w14:textId="77777777" w:rsidTr="00AC6AA4">
        <w:tc>
          <w:tcPr>
            <w:tcW w:w="0" w:type="auto"/>
            <w:hideMark/>
          </w:tcPr>
          <w:p w14:paraId="3189B15E" w14:textId="77777777" w:rsidR="005A2891" w:rsidRPr="00EB757D" w:rsidRDefault="005A2891" w:rsidP="00EB757D">
            <w:pPr>
              <w:pStyle w:val="NoSpacing"/>
              <w:rPr>
                <w:rFonts w:asciiTheme="majorHAnsi" w:hAnsiTheme="majorHAnsi" w:cstheme="majorHAnsi"/>
                <w:sz w:val="28"/>
                <w:szCs w:val="28"/>
              </w:rPr>
            </w:pPr>
            <w:r w:rsidRPr="00EB757D">
              <w:rPr>
                <w:rFonts w:asciiTheme="majorHAnsi" w:hAnsiTheme="majorHAnsi" w:cstheme="majorHAnsi"/>
                <w:sz w:val="28"/>
                <w:szCs w:val="28"/>
              </w:rPr>
              <w:t>NFR-04</w:t>
            </w:r>
          </w:p>
        </w:tc>
        <w:tc>
          <w:tcPr>
            <w:tcW w:w="0" w:type="auto"/>
            <w:hideMark/>
          </w:tcPr>
          <w:p w14:paraId="0A662CC5" w14:textId="77777777" w:rsidR="005A2891" w:rsidRPr="00EB757D" w:rsidRDefault="005A2891" w:rsidP="00EB757D">
            <w:pPr>
              <w:pStyle w:val="NoSpacing"/>
              <w:rPr>
                <w:rFonts w:asciiTheme="majorHAnsi" w:hAnsiTheme="majorHAnsi" w:cstheme="majorHAnsi"/>
                <w:sz w:val="28"/>
                <w:szCs w:val="28"/>
              </w:rPr>
            </w:pPr>
            <w:r w:rsidRPr="00EB757D">
              <w:rPr>
                <w:rFonts w:asciiTheme="majorHAnsi" w:hAnsiTheme="majorHAnsi" w:cstheme="majorHAnsi"/>
                <w:sz w:val="28"/>
                <w:szCs w:val="28"/>
              </w:rPr>
              <w:t>Traceability</w:t>
            </w:r>
          </w:p>
        </w:tc>
        <w:tc>
          <w:tcPr>
            <w:tcW w:w="0" w:type="auto"/>
            <w:hideMark/>
          </w:tcPr>
          <w:p w14:paraId="0CD03396" w14:textId="77777777" w:rsidR="005A2891" w:rsidRPr="00EB757D" w:rsidRDefault="005A2891" w:rsidP="00EB757D">
            <w:pPr>
              <w:pStyle w:val="NoSpacing"/>
              <w:rPr>
                <w:rFonts w:asciiTheme="majorHAnsi" w:hAnsiTheme="majorHAnsi" w:cstheme="majorHAnsi"/>
                <w:sz w:val="28"/>
                <w:szCs w:val="28"/>
              </w:rPr>
            </w:pPr>
            <w:r w:rsidRPr="00EB757D">
              <w:rPr>
                <w:rFonts w:asciiTheme="majorHAnsi" w:hAnsiTheme="majorHAnsi" w:cstheme="majorHAnsi"/>
                <w:sz w:val="28"/>
                <w:szCs w:val="28"/>
              </w:rPr>
              <w:t>All Deal Score computations shall be reproducible using the documented SQL queries</w:t>
            </w:r>
          </w:p>
        </w:tc>
      </w:tr>
    </w:tbl>
    <w:p w14:paraId="175DEE51" w14:textId="77748ED7" w:rsidR="005B0399" w:rsidRPr="009F66D9" w:rsidRDefault="005B0399" w:rsidP="005B0399"/>
    <w:p w14:paraId="56EFD5A0" w14:textId="77777777" w:rsidR="005B0399" w:rsidRDefault="005B0399" w:rsidP="005B0399">
      <w:pPr>
        <w:rPr>
          <w:sz w:val="28"/>
          <w:szCs w:val="28"/>
        </w:rPr>
      </w:pPr>
    </w:p>
    <w:p w14:paraId="77C74196" w14:textId="4EDB87A6" w:rsidR="005B0399" w:rsidRPr="00372DF5" w:rsidRDefault="005B0399" w:rsidP="005B0399">
      <w:pPr>
        <w:rPr>
          <w:rFonts w:ascii="Calibri Light" w:hAnsi="Calibri Light" w:cs="Calibri Light"/>
          <w:b/>
          <w:bCs/>
        </w:rPr>
      </w:pPr>
      <w:r w:rsidRPr="00372DF5">
        <w:rPr>
          <w:rFonts w:ascii="Calibri Light" w:hAnsi="Calibri Light" w:cs="Calibri Light"/>
          <w:b/>
          <w:bCs/>
          <w:sz w:val="28"/>
          <w:szCs w:val="28"/>
        </w:rPr>
        <w:t>Data Dictionary</w:t>
      </w:r>
    </w:p>
    <w:tbl>
      <w:tblPr>
        <w:tblW w:w="10368" w:type="dxa"/>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457"/>
        <w:gridCol w:w="1873"/>
        <w:gridCol w:w="4808"/>
        <w:gridCol w:w="2230"/>
      </w:tblGrid>
      <w:tr w:rsidR="005B0399" w:rsidRPr="00372DF5" w14:paraId="2DC1F234" w14:textId="77777777" w:rsidTr="005B0399">
        <w:trPr>
          <w:trHeight w:val="299"/>
          <w:tblHeader/>
          <w:tblCellSpacing w:w="15" w:type="dxa"/>
        </w:trPr>
        <w:tc>
          <w:tcPr>
            <w:tcW w:w="0" w:type="auto"/>
            <w:vAlign w:val="center"/>
            <w:hideMark/>
          </w:tcPr>
          <w:p w14:paraId="322C0E8E" w14:textId="77777777" w:rsidR="005B0399" w:rsidRPr="00372DF5" w:rsidRDefault="005B0399" w:rsidP="005B0399">
            <w:pPr>
              <w:pStyle w:val="NoSpacing"/>
              <w:rPr>
                <w:rFonts w:ascii="Calibri Light" w:hAnsi="Calibri Light" w:cs="Calibri Light"/>
              </w:rPr>
            </w:pPr>
            <w:r w:rsidRPr="00372DF5">
              <w:rPr>
                <w:rFonts w:ascii="Calibri Light" w:hAnsi="Calibri Light" w:cs="Calibri Light"/>
              </w:rPr>
              <w:t>Field</w:t>
            </w:r>
          </w:p>
        </w:tc>
        <w:tc>
          <w:tcPr>
            <w:tcW w:w="1843" w:type="dxa"/>
            <w:vAlign w:val="center"/>
            <w:hideMark/>
          </w:tcPr>
          <w:p w14:paraId="5F372930" w14:textId="77777777" w:rsidR="005B0399" w:rsidRPr="00372DF5" w:rsidRDefault="005B0399" w:rsidP="005B0399">
            <w:pPr>
              <w:pStyle w:val="NoSpacing"/>
              <w:rPr>
                <w:rFonts w:ascii="Calibri Light" w:hAnsi="Calibri Light" w:cs="Calibri Light"/>
              </w:rPr>
            </w:pPr>
            <w:r w:rsidRPr="00372DF5">
              <w:rPr>
                <w:rFonts w:ascii="Calibri Light" w:hAnsi="Calibri Light" w:cs="Calibri Light"/>
              </w:rPr>
              <w:t>Data Type</w:t>
            </w:r>
          </w:p>
        </w:tc>
        <w:tc>
          <w:tcPr>
            <w:tcW w:w="4778" w:type="dxa"/>
            <w:vAlign w:val="center"/>
            <w:hideMark/>
          </w:tcPr>
          <w:p w14:paraId="6233FAD7" w14:textId="77777777" w:rsidR="005B0399" w:rsidRPr="00372DF5" w:rsidRDefault="005B0399" w:rsidP="005B0399">
            <w:pPr>
              <w:pStyle w:val="NoSpacing"/>
              <w:rPr>
                <w:rFonts w:ascii="Calibri Light" w:hAnsi="Calibri Light" w:cs="Calibri Light"/>
              </w:rPr>
            </w:pPr>
            <w:r w:rsidRPr="00372DF5">
              <w:rPr>
                <w:rFonts w:ascii="Calibri Light" w:hAnsi="Calibri Light" w:cs="Calibri Light"/>
              </w:rPr>
              <w:t>Description</w:t>
            </w:r>
          </w:p>
        </w:tc>
        <w:tc>
          <w:tcPr>
            <w:tcW w:w="2185" w:type="dxa"/>
            <w:vAlign w:val="center"/>
            <w:hideMark/>
          </w:tcPr>
          <w:p w14:paraId="7F2AF33A" w14:textId="77777777" w:rsidR="005B0399" w:rsidRPr="00372DF5" w:rsidRDefault="005B0399" w:rsidP="005B0399">
            <w:pPr>
              <w:pStyle w:val="NoSpacing"/>
              <w:rPr>
                <w:rFonts w:ascii="Calibri Light" w:hAnsi="Calibri Light" w:cs="Calibri Light"/>
              </w:rPr>
            </w:pPr>
            <w:r w:rsidRPr="00372DF5">
              <w:rPr>
                <w:rFonts w:ascii="Calibri Light" w:hAnsi="Calibri Light" w:cs="Calibri Light"/>
              </w:rPr>
              <w:t>Example Value</w:t>
            </w:r>
          </w:p>
        </w:tc>
      </w:tr>
      <w:tr w:rsidR="005B0399" w:rsidRPr="00372DF5" w14:paraId="56BCB920" w14:textId="77777777" w:rsidTr="005B0399">
        <w:trPr>
          <w:trHeight w:val="324"/>
          <w:tblCellSpacing w:w="15" w:type="dxa"/>
        </w:trPr>
        <w:tc>
          <w:tcPr>
            <w:tcW w:w="0" w:type="auto"/>
            <w:vAlign w:val="center"/>
            <w:hideMark/>
          </w:tcPr>
          <w:p w14:paraId="047591BB" w14:textId="77777777" w:rsidR="005B0399" w:rsidRPr="00372DF5" w:rsidRDefault="005B0399" w:rsidP="005B0399">
            <w:pPr>
              <w:pStyle w:val="NoSpacing"/>
              <w:rPr>
                <w:rFonts w:ascii="Calibri Light" w:hAnsi="Calibri Light" w:cs="Calibri Light"/>
              </w:rPr>
            </w:pPr>
            <w:r w:rsidRPr="00372DF5">
              <w:rPr>
                <w:rFonts w:ascii="Calibri Light" w:hAnsi="Calibri Light" w:cs="Calibri Light"/>
              </w:rPr>
              <w:t>ticker</w:t>
            </w:r>
          </w:p>
        </w:tc>
        <w:tc>
          <w:tcPr>
            <w:tcW w:w="1843" w:type="dxa"/>
            <w:vAlign w:val="center"/>
            <w:hideMark/>
          </w:tcPr>
          <w:p w14:paraId="2D64686F" w14:textId="2FB593E0" w:rsidR="005B0399" w:rsidRPr="00372DF5" w:rsidRDefault="005B0399" w:rsidP="005B0399">
            <w:pPr>
              <w:pStyle w:val="NoSpacing"/>
              <w:rPr>
                <w:rFonts w:ascii="Calibri Light" w:hAnsi="Calibri Light" w:cs="Calibri Light"/>
              </w:rPr>
            </w:pPr>
            <w:r w:rsidRPr="00372DF5">
              <w:rPr>
                <w:rFonts w:ascii="Calibri Light" w:hAnsi="Calibri Light" w:cs="Calibri Light"/>
              </w:rPr>
              <w:t>VARCHAR (10)</w:t>
            </w:r>
          </w:p>
        </w:tc>
        <w:tc>
          <w:tcPr>
            <w:tcW w:w="4778" w:type="dxa"/>
            <w:vAlign w:val="center"/>
            <w:hideMark/>
          </w:tcPr>
          <w:p w14:paraId="00073854" w14:textId="77777777" w:rsidR="005B0399" w:rsidRPr="00372DF5" w:rsidRDefault="005B0399" w:rsidP="005B0399">
            <w:pPr>
              <w:pStyle w:val="NoSpacing"/>
              <w:rPr>
                <w:rFonts w:ascii="Calibri Light" w:hAnsi="Calibri Light" w:cs="Calibri Light"/>
              </w:rPr>
            </w:pPr>
            <w:r w:rsidRPr="00372DF5">
              <w:rPr>
                <w:rFonts w:ascii="Calibri Light" w:hAnsi="Calibri Light" w:cs="Calibri Light"/>
              </w:rPr>
              <w:t>Unique stock exchange symbol. Primary Key.</w:t>
            </w:r>
          </w:p>
        </w:tc>
        <w:tc>
          <w:tcPr>
            <w:tcW w:w="2185" w:type="dxa"/>
            <w:vAlign w:val="center"/>
            <w:hideMark/>
          </w:tcPr>
          <w:p w14:paraId="3008A55D" w14:textId="77777777" w:rsidR="005B0399" w:rsidRPr="00372DF5" w:rsidRDefault="005B0399" w:rsidP="005B0399">
            <w:pPr>
              <w:pStyle w:val="NoSpacing"/>
              <w:rPr>
                <w:rFonts w:ascii="Calibri Light" w:hAnsi="Calibri Light" w:cs="Calibri Light"/>
              </w:rPr>
            </w:pPr>
            <w:r w:rsidRPr="00372DF5">
              <w:rPr>
                <w:rFonts w:ascii="Calibri Light" w:hAnsi="Calibri Light" w:cs="Calibri Light"/>
              </w:rPr>
              <w:t>AAPL</w:t>
            </w:r>
          </w:p>
        </w:tc>
      </w:tr>
      <w:tr w:rsidR="005B0399" w:rsidRPr="00372DF5" w14:paraId="4A3E1E3C" w14:textId="77777777" w:rsidTr="005B0399">
        <w:trPr>
          <w:trHeight w:val="612"/>
          <w:tblCellSpacing w:w="15" w:type="dxa"/>
        </w:trPr>
        <w:tc>
          <w:tcPr>
            <w:tcW w:w="0" w:type="auto"/>
            <w:vAlign w:val="center"/>
            <w:hideMark/>
          </w:tcPr>
          <w:p w14:paraId="2116EE06" w14:textId="77777777" w:rsidR="005B0399" w:rsidRPr="00372DF5" w:rsidRDefault="005B0399" w:rsidP="005B0399">
            <w:pPr>
              <w:pStyle w:val="NoSpacing"/>
              <w:rPr>
                <w:rFonts w:ascii="Calibri Light" w:hAnsi="Calibri Light" w:cs="Calibri Light"/>
              </w:rPr>
            </w:pPr>
            <w:r w:rsidRPr="00372DF5">
              <w:rPr>
                <w:rFonts w:ascii="Calibri Light" w:hAnsi="Calibri Light" w:cs="Calibri Light"/>
              </w:rPr>
              <w:t>name</w:t>
            </w:r>
          </w:p>
        </w:tc>
        <w:tc>
          <w:tcPr>
            <w:tcW w:w="1843" w:type="dxa"/>
            <w:vAlign w:val="center"/>
            <w:hideMark/>
          </w:tcPr>
          <w:p w14:paraId="07B61727" w14:textId="3D2AF4D4" w:rsidR="005B0399" w:rsidRPr="00372DF5" w:rsidRDefault="005B0399" w:rsidP="005B0399">
            <w:pPr>
              <w:pStyle w:val="NoSpacing"/>
              <w:rPr>
                <w:rFonts w:ascii="Calibri Light" w:hAnsi="Calibri Light" w:cs="Calibri Light"/>
              </w:rPr>
            </w:pPr>
            <w:r w:rsidRPr="00372DF5">
              <w:rPr>
                <w:rFonts w:ascii="Calibri Light" w:hAnsi="Calibri Light" w:cs="Calibri Light"/>
              </w:rPr>
              <w:t>VARCHAR (100)</w:t>
            </w:r>
          </w:p>
        </w:tc>
        <w:tc>
          <w:tcPr>
            <w:tcW w:w="4778" w:type="dxa"/>
            <w:vAlign w:val="center"/>
            <w:hideMark/>
          </w:tcPr>
          <w:p w14:paraId="6FA2E4C5" w14:textId="77777777" w:rsidR="005B0399" w:rsidRPr="00372DF5" w:rsidRDefault="005B0399" w:rsidP="005B0399">
            <w:pPr>
              <w:pStyle w:val="NoSpacing"/>
              <w:rPr>
                <w:rFonts w:ascii="Calibri Light" w:hAnsi="Calibri Light" w:cs="Calibri Light"/>
              </w:rPr>
            </w:pPr>
            <w:r w:rsidRPr="00372DF5">
              <w:rPr>
                <w:rFonts w:ascii="Calibri Light" w:hAnsi="Calibri Light" w:cs="Calibri Light"/>
              </w:rPr>
              <w:t>Full legal company name</w:t>
            </w:r>
          </w:p>
        </w:tc>
        <w:tc>
          <w:tcPr>
            <w:tcW w:w="2185" w:type="dxa"/>
            <w:vAlign w:val="center"/>
            <w:hideMark/>
          </w:tcPr>
          <w:p w14:paraId="572F3CD8" w14:textId="77777777" w:rsidR="005B0399" w:rsidRPr="00372DF5" w:rsidRDefault="005B0399" w:rsidP="005B0399">
            <w:pPr>
              <w:pStyle w:val="NoSpacing"/>
              <w:rPr>
                <w:rFonts w:ascii="Calibri Light" w:hAnsi="Calibri Light" w:cs="Calibri Light"/>
              </w:rPr>
            </w:pPr>
            <w:r w:rsidRPr="00372DF5">
              <w:rPr>
                <w:rFonts w:ascii="Calibri Light" w:hAnsi="Calibri Light" w:cs="Calibri Light"/>
              </w:rPr>
              <w:t>Apple Inc.</w:t>
            </w:r>
          </w:p>
        </w:tc>
      </w:tr>
      <w:tr w:rsidR="005B0399" w:rsidRPr="00372DF5" w14:paraId="7AD863D7" w14:textId="77777777" w:rsidTr="005B0399">
        <w:trPr>
          <w:trHeight w:val="624"/>
          <w:tblCellSpacing w:w="15" w:type="dxa"/>
        </w:trPr>
        <w:tc>
          <w:tcPr>
            <w:tcW w:w="0" w:type="auto"/>
            <w:vAlign w:val="center"/>
            <w:hideMark/>
          </w:tcPr>
          <w:p w14:paraId="4C1AAFA0" w14:textId="77777777" w:rsidR="005B0399" w:rsidRPr="00372DF5" w:rsidRDefault="005B0399" w:rsidP="005B0399">
            <w:pPr>
              <w:pStyle w:val="NoSpacing"/>
              <w:rPr>
                <w:rFonts w:ascii="Calibri Light" w:hAnsi="Calibri Light" w:cs="Calibri Light"/>
              </w:rPr>
            </w:pPr>
            <w:r w:rsidRPr="00372DF5">
              <w:rPr>
                <w:rFonts w:ascii="Calibri Light" w:hAnsi="Calibri Light" w:cs="Calibri Light"/>
              </w:rPr>
              <w:t>sector</w:t>
            </w:r>
          </w:p>
        </w:tc>
        <w:tc>
          <w:tcPr>
            <w:tcW w:w="1843" w:type="dxa"/>
            <w:vAlign w:val="center"/>
            <w:hideMark/>
          </w:tcPr>
          <w:p w14:paraId="36D06012" w14:textId="0D818729" w:rsidR="005B0399" w:rsidRPr="00372DF5" w:rsidRDefault="005B0399" w:rsidP="005B0399">
            <w:pPr>
              <w:pStyle w:val="NoSpacing"/>
              <w:rPr>
                <w:rFonts w:ascii="Calibri Light" w:hAnsi="Calibri Light" w:cs="Calibri Light"/>
              </w:rPr>
            </w:pPr>
            <w:r w:rsidRPr="00372DF5">
              <w:rPr>
                <w:rFonts w:ascii="Calibri Light" w:hAnsi="Calibri Light" w:cs="Calibri Light"/>
              </w:rPr>
              <w:t>VARCHAR (50)</w:t>
            </w:r>
          </w:p>
        </w:tc>
        <w:tc>
          <w:tcPr>
            <w:tcW w:w="4778" w:type="dxa"/>
            <w:vAlign w:val="center"/>
            <w:hideMark/>
          </w:tcPr>
          <w:p w14:paraId="73026F4C" w14:textId="77777777" w:rsidR="005B0399" w:rsidRPr="00372DF5" w:rsidRDefault="005B0399" w:rsidP="005B0399">
            <w:pPr>
              <w:pStyle w:val="NoSpacing"/>
              <w:rPr>
                <w:rFonts w:ascii="Calibri Light" w:hAnsi="Calibri Light" w:cs="Calibri Light"/>
              </w:rPr>
            </w:pPr>
            <w:r w:rsidRPr="00372DF5">
              <w:rPr>
                <w:rFonts w:ascii="Calibri Light" w:hAnsi="Calibri Light" w:cs="Calibri Light"/>
              </w:rPr>
              <w:t>GICS sector classification</w:t>
            </w:r>
          </w:p>
        </w:tc>
        <w:tc>
          <w:tcPr>
            <w:tcW w:w="2185" w:type="dxa"/>
            <w:vAlign w:val="center"/>
            <w:hideMark/>
          </w:tcPr>
          <w:p w14:paraId="3F74B1DE" w14:textId="77777777" w:rsidR="005B0399" w:rsidRPr="00372DF5" w:rsidRDefault="005B0399" w:rsidP="005B0399">
            <w:pPr>
              <w:pStyle w:val="NoSpacing"/>
              <w:rPr>
                <w:rFonts w:ascii="Calibri Light" w:hAnsi="Calibri Light" w:cs="Calibri Light"/>
              </w:rPr>
            </w:pPr>
            <w:r w:rsidRPr="00372DF5">
              <w:rPr>
                <w:rFonts w:ascii="Calibri Light" w:hAnsi="Calibri Light" w:cs="Calibri Light"/>
              </w:rPr>
              <w:t>Information Technology</w:t>
            </w:r>
          </w:p>
        </w:tc>
      </w:tr>
      <w:tr w:rsidR="005B0399" w:rsidRPr="00372DF5" w14:paraId="72DE4CA4" w14:textId="77777777" w:rsidTr="005B0399">
        <w:trPr>
          <w:trHeight w:val="612"/>
          <w:tblCellSpacing w:w="15" w:type="dxa"/>
        </w:trPr>
        <w:tc>
          <w:tcPr>
            <w:tcW w:w="0" w:type="auto"/>
            <w:vAlign w:val="center"/>
            <w:hideMark/>
          </w:tcPr>
          <w:p w14:paraId="6BFA6791" w14:textId="77777777" w:rsidR="005B0399" w:rsidRPr="00372DF5" w:rsidRDefault="005B0399" w:rsidP="005B0399">
            <w:pPr>
              <w:pStyle w:val="NoSpacing"/>
              <w:rPr>
                <w:rFonts w:ascii="Calibri Light" w:hAnsi="Calibri Light" w:cs="Calibri Light"/>
              </w:rPr>
            </w:pPr>
            <w:r w:rsidRPr="00372DF5">
              <w:rPr>
                <w:rFonts w:ascii="Calibri Light" w:hAnsi="Calibri Light" w:cs="Calibri Light"/>
              </w:rPr>
              <w:t>market_cap</w:t>
            </w:r>
          </w:p>
        </w:tc>
        <w:tc>
          <w:tcPr>
            <w:tcW w:w="1843" w:type="dxa"/>
            <w:vAlign w:val="center"/>
            <w:hideMark/>
          </w:tcPr>
          <w:p w14:paraId="00641566" w14:textId="33FF470D" w:rsidR="005B0399" w:rsidRPr="00372DF5" w:rsidRDefault="005B0399" w:rsidP="005B0399">
            <w:pPr>
              <w:pStyle w:val="NoSpacing"/>
              <w:rPr>
                <w:rFonts w:ascii="Calibri Light" w:hAnsi="Calibri Light" w:cs="Calibri Light"/>
              </w:rPr>
            </w:pPr>
            <w:r w:rsidRPr="00372DF5">
              <w:rPr>
                <w:rFonts w:ascii="Calibri Light" w:hAnsi="Calibri Light" w:cs="Calibri Light"/>
              </w:rPr>
              <w:t>DECIMAL (20,2)</w:t>
            </w:r>
          </w:p>
        </w:tc>
        <w:tc>
          <w:tcPr>
            <w:tcW w:w="4778" w:type="dxa"/>
            <w:vAlign w:val="center"/>
            <w:hideMark/>
          </w:tcPr>
          <w:p w14:paraId="1A9596F0" w14:textId="77777777" w:rsidR="005B0399" w:rsidRPr="00372DF5" w:rsidRDefault="005B0399" w:rsidP="005B0399">
            <w:pPr>
              <w:pStyle w:val="NoSpacing"/>
              <w:rPr>
                <w:rFonts w:ascii="Calibri Light" w:hAnsi="Calibri Light" w:cs="Calibri Light"/>
              </w:rPr>
            </w:pPr>
            <w:r w:rsidRPr="00372DF5">
              <w:rPr>
                <w:rFonts w:ascii="Calibri Light" w:hAnsi="Calibri Light" w:cs="Calibri Light"/>
              </w:rPr>
              <w:t>Total market capitalisation in USD</w:t>
            </w:r>
          </w:p>
        </w:tc>
        <w:tc>
          <w:tcPr>
            <w:tcW w:w="2185" w:type="dxa"/>
            <w:vAlign w:val="center"/>
            <w:hideMark/>
          </w:tcPr>
          <w:p w14:paraId="77CC4775" w14:textId="77777777" w:rsidR="005B0399" w:rsidRPr="00372DF5" w:rsidRDefault="005B0399" w:rsidP="005B0399">
            <w:pPr>
              <w:pStyle w:val="NoSpacing"/>
              <w:rPr>
                <w:rFonts w:ascii="Calibri Light" w:hAnsi="Calibri Light" w:cs="Calibri Light"/>
              </w:rPr>
            </w:pPr>
            <w:r w:rsidRPr="00372DF5">
              <w:rPr>
                <w:rFonts w:ascii="Calibri Light" w:hAnsi="Calibri Light" w:cs="Calibri Light"/>
              </w:rPr>
              <w:t>890,765,000,000.00</w:t>
            </w:r>
          </w:p>
        </w:tc>
      </w:tr>
      <w:tr w:rsidR="005B0399" w:rsidRPr="00372DF5" w14:paraId="31FCC3AF" w14:textId="77777777" w:rsidTr="005B0399">
        <w:trPr>
          <w:trHeight w:val="624"/>
          <w:tblCellSpacing w:w="15" w:type="dxa"/>
        </w:trPr>
        <w:tc>
          <w:tcPr>
            <w:tcW w:w="0" w:type="auto"/>
            <w:vAlign w:val="center"/>
            <w:hideMark/>
          </w:tcPr>
          <w:p w14:paraId="552F2CA2" w14:textId="77777777" w:rsidR="005B0399" w:rsidRPr="00372DF5" w:rsidRDefault="005B0399" w:rsidP="005B0399">
            <w:pPr>
              <w:pStyle w:val="NoSpacing"/>
              <w:rPr>
                <w:rFonts w:ascii="Calibri Light" w:hAnsi="Calibri Light" w:cs="Calibri Light"/>
              </w:rPr>
            </w:pPr>
            <w:r w:rsidRPr="00372DF5">
              <w:rPr>
                <w:rFonts w:ascii="Calibri Light" w:hAnsi="Calibri Light" w:cs="Calibri Light"/>
              </w:rPr>
              <w:t>ebitda</w:t>
            </w:r>
          </w:p>
        </w:tc>
        <w:tc>
          <w:tcPr>
            <w:tcW w:w="1843" w:type="dxa"/>
            <w:vAlign w:val="center"/>
            <w:hideMark/>
          </w:tcPr>
          <w:p w14:paraId="0DD022D7" w14:textId="635595FD" w:rsidR="005B0399" w:rsidRPr="00372DF5" w:rsidRDefault="005B0399" w:rsidP="005B0399">
            <w:pPr>
              <w:pStyle w:val="NoSpacing"/>
              <w:rPr>
                <w:rFonts w:ascii="Calibri Light" w:hAnsi="Calibri Light" w:cs="Calibri Light"/>
              </w:rPr>
            </w:pPr>
            <w:r w:rsidRPr="00372DF5">
              <w:rPr>
                <w:rFonts w:ascii="Calibri Light" w:hAnsi="Calibri Light" w:cs="Calibri Light"/>
              </w:rPr>
              <w:t>DECIMAL (20,2)</w:t>
            </w:r>
          </w:p>
        </w:tc>
        <w:tc>
          <w:tcPr>
            <w:tcW w:w="4778" w:type="dxa"/>
            <w:vAlign w:val="center"/>
            <w:hideMark/>
          </w:tcPr>
          <w:p w14:paraId="04D5395F" w14:textId="77777777" w:rsidR="005B0399" w:rsidRPr="00372DF5" w:rsidRDefault="005B0399" w:rsidP="005B0399">
            <w:pPr>
              <w:pStyle w:val="NoSpacing"/>
              <w:rPr>
                <w:rFonts w:ascii="Calibri Light" w:hAnsi="Calibri Light" w:cs="Calibri Light"/>
              </w:rPr>
            </w:pPr>
            <w:r w:rsidRPr="00372DF5">
              <w:rPr>
                <w:rFonts w:ascii="Calibri Light" w:hAnsi="Calibri Light" w:cs="Calibri Light"/>
              </w:rPr>
              <w:t>Earnings Before Interest, Tax, Depreciation &amp; Amortisation in USD</w:t>
            </w:r>
          </w:p>
        </w:tc>
        <w:tc>
          <w:tcPr>
            <w:tcW w:w="2185" w:type="dxa"/>
            <w:vAlign w:val="center"/>
            <w:hideMark/>
          </w:tcPr>
          <w:p w14:paraId="0306ABE3" w14:textId="77777777" w:rsidR="005B0399" w:rsidRPr="00372DF5" w:rsidRDefault="005B0399" w:rsidP="005B0399">
            <w:pPr>
              <w:pStyle w:val="NoSpacing"/>
              <w:rPr>
                <w:rFonts w:ascii="Calibri Light" w:hAnsi="Calibri Light" w:cs="Calibri Light"/>
              </w:rPr>
            </w:pPr>
            <w:r w:rsidRPr="00372DF5">
              <w:rPr>
                <w:rFonts w:ascii="Calibri Light" w:hAnsi="Calibri Light" w:cs="Calibri Light"/>
              </w:rPr>
              <w:t>77,344,000,000.00</w:t>
            </w:r>
          </w:p>
        </w:tc>
      </w:tr>
      <w:tr w:rsidR="005B0399" w:rsidRPr="00372DF5" w14:paraId="60F0F169" w14:textId="77777777" w:rsidTr="005B0399">
        <w:trPr>
          <w:trHeight w:val="612"/>
          <w:tblCellSpacing w:w="15" w:type="dxa"/>
        </w:trPr>
        <w:tc>
          <w:tcPr>
            <w:tcW w:w="0" w:type="auto"/>
            <w:vAlign w:val="center"/>
            <w:hideMark/>
          </w:tcPr>
          <w:p w14:paraId="48EBEE76" w14:textId="77777777" w:rsidR="005B0399" w:rsidRPr="00372DF5" w:rsidRDefault="005B0399" w:rsidP="005B0399">
            <w:pPr>
              <w:pStyle w:val="NoSpacing"/>
              <w:rPr>
                <w:rFonts w:ascii="Calibri Light" w:hAnsi="Calibri Light" w:cs="Calibri Light"/>
              </w:rPr>
            </w:pPr>
            <w:r w:rsidRPr="00372DF5">
              <w:rPr>
                <w:rFonts w:ascii="Calibri Light" w:hAnsi="Calibri Light" w:cs="Calibri Light"/>
              </w:rPr>
              <w:t>eps</w:t>
            </w:r>
          </w:p>
        </w:tc>
        <w:tc>
          <w:tcPr>
            <w:tcW w:w="1843" w:type="dxa"/>
            <w:vAlign w:val="center"/>
            <w:hideMark/>
          </w:tcPr>
          <w:p w14:paraId="1E280634" w14:textId="6567E3B3" w:rsidR="005B0399" w:rsidRPr="00372DF5" w:rsidRDefault="005B0399" w:rsidP="005B0399">
            <w:pPr>
              <w:pStyle w:val="NoSpacing"/>
              <w:rPr>
                <w:rFonts w:ascii="Calibri Light" w:hAnsi="Calibri Light" w:cs="Calibri Light"/>
              </w:rPr>
            </w:pPr>
            <w:r w:rsidRPr="00372DF5">
              <w:rPr>
                <w:rFonts w:ascii="Calibri Light" w:hAnsi="Calibri Light" w:cs="Calibri Light"/>
              </w:rPr>
              <w:t>DECIMAL (10,2)</w:t>
            </w:r>
          </w:p>
        </w:tc>
        <w:tc>
          <w:tcPr>
            <w:tcW w:w="4778" w:type="dxa"/>
            <w:vAlign w:val="center"/>
            <w:hideMark/>
          </w:tcPr>
          <w:p w14:paraId="0082AA7F" w14:textId="77777777" w:rsidR="005B0399" w:rsidRPr="00372DF5" w:rsidRDefault="005B0399" w:rsidP="005B0399">
            <w:pPr>
              <w:pStyle w:val="NoSpacing"/>
              <w:rPr>
                <w:rFonts w:ascii="Calibri Light" w:hAnsi="Calibri Light" w:cs="Calibri Light"/>
              </w:rPr>
            </w:pPr>
            <w:r w:rsidRPr="00372DF5">
              <w:rPr>
                <w:rFonts w:ascii="Calibri Light" w:hAnsi="Calibri Light" w:cs="Calibri Light"/>
              </w:rPr>
              <w:t>Earnings Per Share in USD</w:t>
            </w:r>
          </w:p>
        </w:tc>
        <w:tc>
          <w:tcPr>
            <w:tcW w:w="2185" w:type="dxa"/>
            <w:vAlign w:val="center"/>
            <w:hideMark/>
          </w:tcPr>
          <w:p w14:paraId="2FD3870E" w14:textId="77777777" w:rsidR="005B0399" w:rsidRPr="00372DF5" w:rsidRDefault="005B0399" w:rsidP="005B0399">
            <w:pPr>
              <w:pStyle w:val="NoSpacing"/>
              <w:rPr>
                <w:rFonts w:ascii="Calibri Light" w:hAnsi="Calibri Light" w:cs="Calibri Light"/>
              </w:rPr>
            </w:pPr>
            <w:r w:rsidRPr="00372DF5">
              <w:rPr>
                <w:rFonts w:ascii="Calibri Light" w:hAnsi="Calibri Light" w:cs="Calibri Light"/>
              </w:rPr>
              <w:t>9.21</w:t>
            </w:r>
          </w:p>
        </w:tc>
      </w:tr>
      <w:tr w:rsidR="005B0399" w:rsidRPr="00372DF5" w14:paraId="5B68BB48" w14:textId="77777777" w:rsidTr="005B0399">
        <w:trPr>
          <w:trHeight w:val="624"/>
          <w:tblCellSpacing w:w="15" w:type="dxa"/>
        </w:trPr>
        <w:tc>
          <w:tcPr>
            <w:tcW w:w="0" w:type="auto"/>
            <w:vAlign w:val="center"/>
            <w:hideMark/>
          </w:tcPr>
          <w:p w14:paraId="166A3FDF" w14:textId="77777777" w:rsidR="005B0399" w:rsidRPr="00372DF5" w:rsidRDefault="005B0399" w:rsidP="005B0399">
            <w:pPr>
              <w:pStyle w:val="NoSpacing"/>
              <w:rPr>
                <w:rFonts w:ascii="Calibri Light" w:hAnsi="Calibri Light" w:cs="Calibri Light"/>
              </w:rPr>
            </w:pPr>
            <w:r w:rsidRPr="00372DF5">
              <w:rPr>
                <w:rFonts w:ascii="Calibri Light" w:hAnsi="Calibri Light" w:cs="Calibri Light"/>
              </w:rPr>
              <w:t>pe_ratio</w:t>
            </w:r>
          </w:p>
        </w:tc>
        <w:tc>
          <w:tcPr>
            <w:tcW w:w="1843" w:type="dxa"/>
            <w:vAlign w:val="center"/>
            <w:hideMark/>
          </w:tcPr>
          <w:p w14:paraId="05210D68" w14:textId="5D972D3B" w:rsidR="005B0399" w:rsidRPr="00372DF5" w:rsidRDefault="005B0399" w:rsidP="005B0399">
            <w:pPr>
              <w:pStyle w:val="NoSpacing"/>
              <w:rPr>
                <w:rFonts w:ascii="Calibri Light" w:hAnsi="Calibri Light" w:cs="Calibri Light"/>
              </w:rPr>
            </w:pPr>
            <w:r w:rsidRPr="00372DF5">
              <w:rPr>
                <w:rFonts w:ascii="Calibri Light" w:hAnsi="Calibri Light" w:cs="Calibri Light"/>
              </w:rPr>
              <w:t>DECIMAL (10,2)</w:t>
            </w:r>
          </w:p>
        </w:tc>
        <w:tc>
          <w:tcPr>
            <w:tcW w:w="4778" w:type="dxa"/>
            <w:vAlign w:val="center"/>
            <w:hideMark/>
          </w:tcPr>
          <w:p w14:paraId="600BF584" w14:textId="77777777" w:rsidR="005B0399" w:rsidRPr="00372DF5" w:rsidRDefault="005B0399" w:rsidP="005B0399">
            <w:pPr>
              <w:pStyle w:val="NoSpacing"/>
              <w:rPr>
                <w:rFonts w:ascii="Calibri Light" w:hAnsi="Calibri Light" w:cs="Calibri Light"/>
              </w:rPr>
            </w:pPr>
            <w:r w:rsidRPr="00372DF5">
              <w:rPr>
                <w:rFonts w:ascii="Calibri Light" w:hAnsi="Calibri Light" w:cs="Calibri Light"/>
              </w:rPr>
              <w:t>Price-to-Earnings ratio</w:t>
            </w:r>
          </w:p>
        </w:tc>
        <w:tc>
          <w:tcPr>
            <w:tcW w:w="2185" w:type="dxa"/>
            <w:vAlign w:val="center"/>
            <w:hideMark/>
          </w:tcPr>
          <w:p w14:paraId="45D6C5A2" w14:textId="77777777" w:rsidR="005B0399" w:rsidRPr="00372DF5" w:rsidRDefault="005B0399" w:rsidP="005B0399">
            <w:pPr>
              <w:pStyle w:val="NoSpacing"/>
              <w:rPr>
                <w:rFonts w:ascii="Calibri Light" w:hAnsi="Calibri Light" w:cs="Calibri Light"/>
              </w:rPr>
            </w:pPr>
            <w:r w:rsidRPr="00372DF5">
              <w:rPr>
                <w:rFonts w:ascii="Calibri Light" w:hAnsi="Calibri Light" w:cs="Calibri Light"/>
              </w:rPr>
              <w:t>18.77</w:t>
            </w:r>
          </w:p>
        </w:tc>
      </w:tr>
      <w:tr w:rsidR="005B0399" w:rsidRPr="00372DF5" w14:paraId="4A35E5E4" w14:textId="77777777" w:rsidTr="005B0399">
        <w:trPr>
          <w:trHeight w:val="612"/>
          <w:tblCellSpacing w:w="15" w:type="dxa"/>
        </w:trPr>
        <w:tc>
          <w:tcPr>
            <w:tcW w:w="0" w:type="auto"/>
            <w:vAlign w:val="center"/>
            <w:hideMark/>
          </w:tcPr>
          <w:p w14:paraId="5BE5946B" w14:textId="77777777" w:rsidR="005B0399" w:rsidRPr="00372DF5" w:rsidRDefault="005B0399" w:rsidP="005B0399">
            <w:pPr>
              <w:pStyle w:val="NoSpacing"/>
              <w:rPr>
                <w:rFonts w:ascii="Calibri Light" w:hAnsi="Calibri Light" w:cs="Calibri Light"/>
              </w:rPr>
            </w:pPr>
            <w:r w:rsidRPr="00372DF5">
              <w:rPr>
                <w:rFonts w:ascii="Calibri Light" w:hAnsi="Calibri Light" w:cs="Calibri Light"/>
              </w:rPr>
              <w:t>price_book</w:t>
            </w:r>
          </w:p>
        </w:tc>
        <w:tc>
          <w:tcPr>
            <w:tcW w:w="1843" w:type="dxa"/>
            <w:vAlign w:val="center"/>
            <w:hideMark/>
          </w:tcPr>
          <w:p w14:paraId="117BAFDB" w14:textId="0BAF1D28" w:rsidR="005B0399" w:rsidRPr="00372DF5" w:rsidRDefault="005B0399" w:rsidP="005B0399">
            <w:pPr>
              <w:pStyle w:val="NoSpacing"/>
              <w:rPr>
                <w:rFonts w:ascii="Calibri Light" w:hAnsi="Calibri Light" w:cs="Calibri Light"/>
              </w:rPr>
            </w:pPr>
            <w:r w:rsidRPr="00372DF5">
              <w:rPr>
                <w:rFonts w:ascii="Calibri Light" w:hAnsi="Calibri Light" w:cs="Calibri Light"/>
              </w:rPr>
              <w:t>DECIMAL (10,2)</w:t>
            </w:r>
          </w:p>
        </w:tc>
        <w:tc>
          <w:tcPr>
            <w:tcW w:w="4778" w:type="dxa"/>
            <w:vAlign w:val="center"/>
            <w:hideMark/>
          </w:tcPr>
          <w:p w14:paraId="51161603" w14:textId="77777777" w:rsidR="005B0399" w:rsidRPr="00372DF5" w:rsidRDefault="005B0399" w:rsidP="005B0399">
            <w:pPr>
              <w:pStyle w:val="NoSpacing"/>
              <w:rPr>
                <w:rFonts w:ascii="Calibri Light" w:hAnsi="Calibri Light" w:cs="Calibri Light"/>
              </w:rPr>
            </w:pPr>
            <w:r w:rsidRPr="00372DF5">
              <w:rPr>
                <w:rFonts w:ascii="Calibri Light" w:hAnsi="Calibri Light" w:cs="Calibri Light"/>
              </w:rPr>
              <w:t>Price-to-Book value ratio</w:t>
            </w:r>
          </w:p>
        </w:tc>
        <w:tc>
          <w:tcPr>
            <w:tcW w:w="2185" w:type="dxa"/>
            <w:vAlign w:val="center"/>
            <w:hideMark/>
          </w:tcPr>
          <w:p w14:paraId="5757466F" w14:textId="77777777" w:rsidR="005B0399" w:rsidRPr="00372DF5" w:rsidRDefault="005B0399" w:rsidP="005B0399">
            <w:pPr>
              <w:pStyle w:val="NoSpacing"/>
              <w:rPr>
                <w:rFonts w:ascii="Calibri Light" w:hAnsi="Calibri Light" w:cs="Calibri Light"/>
              </w:rPr>
            </w:pPr>
            <w:r w:rsidRPr="00372DF5">
              <w:rPr>
                <w:rFonts w:ascii="Calibri Light" w:hAnsi="Calibri Light" w:cs="Calibri Light"/>
              </w:rPr>
              <w:t>6.23</w:t>
            </w:r>
          </w:p>
        </w:tc>
      </w:tr>
      <w:tr w:rsidR="005B0399" w:rsidRPr="00372DF5" w14:paraId="5D03B038" w14:textId="77777777" w:rsidTr="005B0399">
        <w:trPr>
          <w:trHeight w:val="624"/>
          <w:tblCellSpacing w:w="15" w:type="dxa"/>
        </w:trPr>
        <w:tc>
          <w:tcPr>
            <w:tcW w:w="0" w:type="auto"/>
            <w:vAlign w:val="center"/>
            <w:hideMark/>
          </w:tcPr>
          <w:p w14:paraId="10C1464E" w14:textId="77777777" w:rsidR="005B0399" w:rsidRPr="00372DF5" w:rsidRDefault="005B0399" w:rsidP="005B0399">
            <w:pPr>
              <w:pStyle w:val="NoSpacing"/>
              <w:rPr>
                <w:rFonts w:ascii="Calibri Light" w:hAnsi="Calibri Light" w:cs="Calibri Light"/>
              </w:rPr>
            </w:pPr>
            <w:r w:rsidRPr="00372DF5">
              <w:rPr>
                <w:rFonts w:ascii="Calibri Light" w:hAnsi="Calibri Light" w:cs="Calibri Light"/>
              </w:rPr>
              <w:t>price_sales</w:t>
            </w:r>
          </w:p>
        </w:tc>
        <w:tc>
          <w:tcPr>
            <w:tcW w:w="1843" w:type="dxa"/>
            <w:vAlign w:val="center"/>
            <w:hideMark/>
          </w:tcPr>
          <w:p w14:paraId="61B2D615" w14:textId="57FE5083" w:rsidR="005B0399" w:rsidRPr="00372DF5" w:rsidRDefault="005B0399" w:rsidP="005B0399">
            <w:pPr>
              <w:pStyle w:val="NoSpacing"/>
              <w:rPr>
                <w:rFonts w:ascii="Calibri Light" w:hAnsi="Calibri Light" w:cs="Calibri Light"/>
              </w:rPr>
            </w:pPr>
            <w:r w:rsidRPr="00372DF5">
              <w:rPr>
                <w:rFonts w:ascii="Calibri Light" w:hAnsi="Calibri Light" w:cs="Calibri Light"/>
              </w:rPr>
              <w:t>DECIMAL (10,2)</w:t>
            </w:r>
          </w:p>
        </w:tc>
        <w:tc>
          <w:tcPr>
            <w:tcW w:w="4778" w:type="dxa"/>
            <w:vAlign w:val="center"/>
            <w:hideMark/>
          </w:tcPr>
          <w:p w14:paraId="24CBC2DD" w14:textId="77777777" w:rsidR="005B0399" w:rsidRPr="00372DF5" w:rsidRDefault="005B0399" w:rsidP="005B0399">
            <w:pPr>
              <w:pStyle w:val="NoSpacing"/>
              <w:rPr>
                <w:rFonts w:ascii="Calibri Light" w:hAnsi="Calibri Light" w:cs="Calibri Light"/>
              </w:rPr>
            </w:pPr>
            <w:r w:rsidRPr="00372DF5">
              <w:rPr>
                <w:rFonts w:ascii="Calibri Light" w:hAnsi="Calibri Light" w:cs="Calibri Light"/>
              </w:rPr>
              <w:t>Price-to-Sales ratio</w:t>
            </w:r>
          </w:p>
        </w:tc>
        <w:tc>
          <w:tcPr>
            <w:tcW w:w="2185" w:type="dxa"/>
            <w:vAlign w:val="center"/>
            <w:hideMark/>
          </w:tcPr>
          <w:p w14:paraId="37FF6CF4" w14:textId="77777777" w:rsidR="005B0399" w:rsidRPr="00372DF5" w:rsidRDefault="005B0399" w:rsidP="005B0399">
            <w:pPr>
              <w:pStyle w:val="NoSpacing"/>
              <w:rPr>
                <w:rFonts w:ascii="Calibri Light" w:hAnsi="Calibri Light" w:cs="Calibri Light"/>
              </w:rPr>
            </w:pPr>
            <w:r w:rsidRPr="00372DF5">
              <w:rPr>
                <w:rFonts w:ascii="Calibri Light" w:hAnsi="Calibri Light" w:cs="Calibri Light"/>
              </w:rPr>
              <w:t>3.71</w:t>
            </w:r>
          </w:p>
        </w:tc>
      </w:tr>
      <w:tr w:rsidR="005B0399" w:rsidRPr="00372DF5" w14:paraId="3CCDCC9B" w14:textId="77777777" w:rsidTr="005B0399">
        <w:trPr>
          <w:trHeight w:val="312"/>
          <w:tblCellSpacing w:w="15" w:type="dxa"/>
        </w:trPr>
        <w:tc>
          <w:tcPr>
            <w:tcW w:w="0" w:type="auto"/>
            <w:vAlign w:val="center"/>
            <w:hideMark/>
          </w:tcPr>
          <w:p w14:paraId="718C3D8A" w14:textId="77777777" w:rsidR="005B0399" w:rsidRPr="00372DF5" w:rsidRDefault="005B0399" w:rsidP="005B0399">
            <w:pPr>
              <w:pStyle w:val="NoSpacing"/>
              <w:rPr>
                <w:rFonts w:ascii="Calibri Light" w:hAnsi="Calibri Light" w:cs="Calibri Light"/>
              </w:rPr>
            </w:pPr>
            <w:r w:rsidRPr="00372DF5">
              <w:rPr>
                <w:rFonts w:ascii="Calibri Light" w:hAnsi="Calibri Light" w:cs="Calibri Light"/>
              </w:rPr>
              <w:t>div_yield</w:t>
            </w:r>
          </w:p>
        </w:tc>
        <w:tc>
          <w:tcPr>
            <w:tcW w:w="1843" w:type="dxa"/>
            <w:vAlign w:val="center"/>
            <w:hideMark/>
          </w:tcPr>
          <w:p w14:paraId="2C21D83C" w14:textId="52638848" w:rsidR="005B0399" w:rsidRPr="00372DF5" w:rsidRDefault="005B0399" w:rsidP="005B0399">
            <w:pPr>
              <w:pStyle w:val="NoSpacing"/>
              <w:rPr>
                <w:rFonts w:ascii="Calibri Light" w:hAnsi="Calibri Light" w:cs="Calibri Light"/>
              </w:rPr>
            </w:pPr>
            <w:r w:rsidRPr="00372DF5">
              <w:rPr>
                <w:rFonts w:ascii="Calibri Light" w:hAnsi="Calibri Light" w:cs="Calibri Light"/>
              </w:rPr>
              <w:t>DECIMAL (8,4)</w:t>
            </w:r>
          </w:p>
        </w:tc>
        <w:tc>
          <w:tcPr>
            <w:tcW w:w="4778" w:type="dxa"/>
            <w:vAlign w:val="center"/>
            <w:hideMark/>
          </w:tcPr>
          <w:p w14:paraId="29714E70" w14:textId="77777777" w:rsidR="005B0399" w:rsidRPr="00372DF5" w:rsidRDefault="005B0399" w:rsidP="005B0399">
            <w:pPr>
              <w:pStyle w:val="NoSpacing"/>
              <w:rPr>
                <w:rFonts w:ascii="Calibri Light" w:hAnsi="Calibri Light" w:cs="Calibri Light"/>
              </w:rPr>
            </w:pPr>
            <w:r w:rsidRPr="00372DF5">
              <w:rPr>
                <w:rFonts w:ascii="Calibri Light" w:hAnsi="Calibri Light" w:cs="Calibri Light"/>
              </w:rPr>
              <w:t>Annual dividend yield expressed as a decimal</w:t>
            </w:r>
          </w:p>
        </w:tc>
        <w:tc>
          <w:tcPr>
            <w:tcW w:w="2185" w:type="dxa"/>
            <w:vAlign w:val="center"/>
            <w:hideMark/>
          </w:tcPr>
          <w:p w14:paraId="7ADAF3F4" w14:textId="77777777" w:rsidR="005B0399" w:rsidRPr="00372DF5" w:rsidRDefault="005B0399" w:rsidP="005B0399">
            <w:pPr>
              <w:pStyle w:val="NoSpacing"/>
              <w:rPr>
                <w:rFonts w:ascii="Calibri Light" w:hAnsi="Calibri Light" w:cs="Calibri Light"/>
              </w:rPr>
            </w:pPr>
            <w:r w:rsidRPr="00372DF5">
              <w:rPr>
                <w:rFonts w:ascii="Calibri Light" w:hAnsi="Calibri Light" w:cs="Calibri Light"/>
              </w:rPr>
              <w:t>0.0163</w:t>
            </w:r>
          </w:p>
        </w:tc>
      </w:tr>
      <w:tr w:rsidR="005B0399" w:rsidRPr="00372DF5" w14:paraId="79F50B60" w14:textId="77777777" w:rsidTr="005B0399">
        <w:trPr>
          <w:trHeight w:val="1824"/>
          <w:tblCellSpacing w:w="15" w:type="dxa"/>
        </w:trPr>
        <w:tc>
          <w:tcPr>
            <w:tcW w:w="0" w:type="auto"/>
            <w:vAlign w:val="center"/>
            <w:hideMark/>
          </w:tcPr>
          <w:p w14:paraId="3E2F1E9D" w14:textId="77777777" w:rsidR="005B0399" w:rsidRPr="00372DF5" w:rsidRDefault="005B0399" w:rsidP="005B0399">
            <w:pPr>
              <w:pStyle w:val="NoSpacing"/>
              <w:rPr>
                <w:rFonts w:ascii="Calibri Light" w:hAnsi="Calibri Light" w:cs="Calibri Light"/>
              </w:rPr>
            </w:pPr>
            <w:r w:rsidRPr="00372DF5">
              <w:rPr>
                <w:rFonts w:ascii="Calibri Light" w:hAnsi="Calibri Light" w:cs="Calibri Light"/>
              </w:rPr>
              <w:lastRenderedPageBreak/>
              <w:t>Deal Score (derived)</w:t>
            </w:r>
          </w:p>
        </w:tc>
        <w:tc>
          <w:tcPr>
            <w:tcW w:w="1843" w:type="dxa"/>
            <w:vAlign w:val="center"/>
            <w:hideMark/>
          </w:tcPr>
          <w:p w14:paraId="30B651BD" w14:textId="4F701210" w:rsidR="005B0399" w:rsidRPr="00372DF5" w:rsidRDefault="005B0399" w:rsidP="005B0399">
            <w:pPr>
              <w:pStyle w:val="NoSpacing"/>
              <w:rPr>
                <w:rFonts w:ascii="Calibri Light" w:hAnsi="Calibri Light" w:cs="Calibri Light"/>
              </w:rPr>
            </w:pPr>
            <w:r w:rsidRPr="00372DF5">
              <w:rPr>
                <w:rFonts w:ascii="Calibri Light" w:hAnsi="Calibri Light" w:cs="Calibri Light"/>
              </w:rPr>
              <w:t>DECIMAL (10,4)</w:t>
            </w:r>
          </w:p>
        </w:tc>
        <w:tc>
          <w:tcPr>
            <w:tcW w:w="4778" w:type="dxa"/>
            <w:vAlign w:val="center"/>
            <w:hideMark/>
          </w:tcPr>
          <w:p w14:paraId="5D6A9E4B" w14:textId="77777777" w:rsidR="005B0399" w:rsidRPr="00372DF5" w:rsidRDefault="005B0399" w:rsidP="005B0399">
            <w:pPr>
              <w:pStyle w:val="NoSpacing"/>
              <w:rPr>
                <w:rFonts w:ascii="Calibri Light" w:hAnsi="Calibri Light" w:cs="Calibri Light"/>
              </w:rPr>
            </w:pPr>
            <w:r w:rsidRPr="00372DF5">
              <w:rPr>
                <w:rFonts w:ascii="Calibri Light" w:hAnsi="Calibri Light" w:cs="Calibri Light"/>
              </w:rPr>
              <w:t>Composite acquisition attractiveness score. Formula: (0.4 × EPS_norm) + (0.3 × EBITDA_norm) + (0.3 × PB_norm). Each _norm = (value − MIN) / (MAX − MIN) computed across the full dataset. Returns NULL if any input field is missing.</w:t>
            </w:r>
          </w:p>
        </w:tc>
        <w:tc>
          <w:tcPr>
            <w:tcW w:w="2185" w:type="dxa"/>
            <w:vAlign w:val="center"/>
            <w:hideMark/>
          </w:tcPr>
          <w:p w14:paraId="5E478CE5" w14:textId="77777777" w:rsidR="005B0399" w:rsidRPr="00372DF5" w:rsidRDefault="005B0399" w:rsidP="005B0399">
            <w:pPr>
              <w:pStyle w:val="NoSpacing"/>
              <w:rPr>
                <w:rFonts w:ascii="Calibri Light" w:hAnsi="Calibri Light" w:cs="Calibri Light"/>
              </w:rPr>
            </w:pPr>
          </w:p>
        </w:tc>
      </w:tr>
    </w:tbl>
    <w:p w14:paraId="7736591F" w14:textId="77777777" w:rsidR="008D6DAE" w:rsidRDefault="008D6DAE" w:rsidP="008D6DAE"/>
    <w:p w14:paraId="0B9BAC24" w14:textId="77777777" w:rsidR="00C812A6" w:rsidRPr="008F70B4" w:rsidRDefault="00C812A6" w:rsidP="00C812A6">
      <w:pPr>
        <w:pStyle w:val="NoSpacing"/>
        <w:rPr>
          <w:rFonts w:asciiTheme="majorHAnsi" w:hAnsiTheme="majorHAnsi" w:cstheme="majorHAnsi"/>
          <w:b/>
          <w:bCs/>
          <w:sz w:val="28"/>
          <w:szCs w:val="28"/>
        </w:rPr>
      </w:pPr>
      <w:r w:rsidRPr="008F70B4">
        <w:rPr>
          <w:rFonts w:asciiTheme="majorHAnsi" w:hAnsiTheme="majorHAnsi" w:cstheme="majorHAnsi"/>
          <w:b/>
          <w:bCs/>
          <w:sz w:val="28"/>
          <w:szCs w:val="28"/>
        </w:rPr>
        <w:t>Assumptions &amp; Constraints</w:t>
      </w:r>
    </w:p>
    <w:p w14:paraId="7F30209E" w14:textId="77777777" w:rsidR="00C812A6" w:rsidRPr="00C812A6" w:rsidRDefault="00C812A6" w:rsidP="00C812A6">
      <w:pPr>
        <w:pStyle w:val="NoSpacing"/>
        <w:rPr>
          <w:rFonts w:asciiTheme="majorHAnsi" w:hAnsiTheme="majorHAnsi" w:cstheme="majorHAnsi"/>
          <w:sz w:val="28"/>
          <w:szCs w:val="28"/>
        </w:rPr>
      </w:pPr>
      <w:r w:rsidRPr="00C812A6">
        <w:rPr>
          <w:rFonts w:asciiTheme="majorHAnsi" w:hAnsiTheme="majorHAnsi" w:cstheme="majorHAnsi"/>
          <w:sz w:val="28"/>
          <w:szCs w:val="28"/>
        </w:rPr>
        <w:t>Dataset is a point-in-time snapshot — it does not reflect live market conditions</w:t>
      </w:r>
    </w:p>
    <w:p w14:paraId="74604535" w14:textId="77777777" w:rsidR="00C812A6" w:rsidRPr="00C812A6" w:rsidRDefault="00C812A6" w:rsidP="00C812A6">
      <w:pPr>
        <w:pStyle w:val="NoSpacing"/>
        <w:rPr>
          <w:rFonts w:asciiTheme="majorHAnsi" w:hAnsiTheme="majorHAnsi" w:cstheme="majorHAnsi"/>
          <w:sz w:val="28"/>
          <w:szCs w:val="28"/>
        </w:rPr>
      </w:pPr>
      <w:r w:rsidRPr="00C812A6">
        <w:rPr>
          <w:rFonts w:asciiTheme="majorHAnsi" w:hAnsiTheme="majorHAnsi" w:cstheme="majorHAnsi"/>
          <w:sz w:val="28"/>
          <w:szCs w:val="28"/>
        </w:rPr>
        <w:t>Scope is limited to S&amp;P 500 constituents; non-index companies are outside scope</w:t>
      </w:r>
    </w:p>
    <w:p w14:paraId="77D6B8FA" w14:textId="77777777" w:rsidR="00C812A6" w:rsidRPr="00C812A6" w:rsidRDefault="00C812A6" w:rsidP="00C812A6">
      <w:pPr>
        <w:pStyle w:val="NoSpacing"/>
        <w:rPr>
          <w:rFonts w:asciiTheme="majorHAnsi" w:hAnsiTheme="majorHAnsi" w:cstheme="majorHAnsi"/>
          <w:sz w:val="28"/>
          <w:szCs w:val="28"/>
        </w:rPr>
      </w:pPr>
      <w:r w:rsidRPr="00C812A6">
        <w:rPr>
          <w:rFonts w:asciiTheme="majorHAnsi" w:hAnsiTheme="majorHAnsi" w:cstheme="majorHAnsi"/>
          <w:sz w:val="28"/>
          <w:szCs w:val="28"/>
        </w:rPr>
        <w:t>Deal Score weights (0.4 / 0.3 / 0.3) are fixed for this engagement and are not user-configurable in the dashboard</w:t>
      </w:r>
    </w:p>
    <w:p w14:paraId="038342AA" w14:textId="1779DB35" w:rsidR="00C812A6" w:rsidRPr="00C812A6" w:rsidRDefault="00C812A6" w:rsidP="00C812A6">
      <w:pPr>
        <w:pStyle w:val="NoSpacing"/>
        <w:rPr>
          <w:rFonts w:asciiTheme="majorHAnsi" w:hAnsiTheme="majorHAnsi" w:cstheme="majorHAnsi"/>
          <w:sz w:val="28"/>
          <w:szCs w:val="28"/>
        </w:rPr>
      </w:pPr>
      <w:r w:rsidRPr="00C812A6">
        <w:rPr>
          <w:rFonts w:asciiTheme="majorHAnsi" w:hAnsiTheme="majorHAnsi" w:cstheme="majorHAnsi"/>
          <w:sz w:val="28"/>
          <w:szCs w:val="28"/>
        </w:rPr>
        <w:t>Price/Book normalization is applied as higher = higher score (per specification); in a live engagement, this component would be inverted to favour lower P/B, since a lower ratio indicates the asset is cheaper relative to book value</w:t>
      </w:r>
    </w:p>
    <w:p w14:paraId="5DA12057" w14:textId="77777777" w:rsidR="00C812A6" w:rsidRPr="00C812A6" w:rsidRDefault="00C812A6" w:rsidP="00C812A6">
      <w:pPr>
        <w:pStyle w:val="NoSpacing"/>
        <w:rPr>
          <w:rFonts w:asciiTheme="majorHAnsi" w:hAnsiTheme="majorHAnsi" w:cstheme="majorHAnsi"/>
          <w:sz w:val="28"/>
          <w:szCs w:val="28"/>
        </w:rPr>
      </w:pPr>
      <w:r w:rsidRPr="00C812A6">
        <w:rPr>
          <w:rFonts w:asciiTheme="majorHAnsi" w:hAnsiTheme="majorHAnsi" w:cstheme="majorHAnsi"/>
          <w:sz w:val="28"/>
          <w:szCs w:val="28"/>
        </w:rPr>
        <w:t>No forward-looking projections or DCF modelling are included</w:t>
      </w:r>
    </w:p>
    <w:p w14:paraId="0962865F" w14:textId="2EBAB269" w:rsidR="00C812A6" w:rsidRPr="00C812A6" w:rsidRDefault="00C812A6" w:rsidP="00C812A6">
      <w:pPr>
        <w:pStyle w:val="NoSpacing"/>
        <w:rPr>
          <w:rFonts w:asciiTheme="majorHAnsi" w:hAnsiTheme="majorHAnsi" w:cstheme="majorHAnsi"/>
          <w:sz w:val="28"/>
          <w:szCs w:val="28"/>
        </w:rPr>
      </w:pPr>
      <w:r w:rsidRPr="00C812A6">
        <w:rPr>
          <w:rFonts w:asciiTheme="majorHAnsi" w:hAnsiTheme="majorHAnsi" w:cstheme="majorHAnsi"/>
          <w:sz w:val="28"/>
          <w:szCs w:val="28"/>
        </w:rPr>
        <w:t>Dashboard is delivered as a .pbix file with PDF export capability; live web publishing via Power BI Service is not in scope</w:t>
      </w:r>
      <w:r w:rsidR="009F66D9">
        <w:rPr>
          <w:rFonts w:asciiTheme="majorHAnsi" w:hAnsiTheme="majorHAnsi" w:cstheme="majorHAnsi"/>
          <w:sz w:val="28"/>
          <w:szCs w:val="28"/>
        </w:rPr>
        <w:t>.</w:t>
      </w:r>
      <w:r w:rsidR="009F66D9">
        <w:rPr>
          <w:rFonts w:asciiTheme="majorHAnsi" w:hAnsiTheme="majorHAnsi" w:cstheme="majorHAnsi"/>
          <w:sz w:val="28"/>
          <w:szCs w:val="28"/>
        </w:rPr>
        <w:br/>
      </w:r>
      <w:r w:rsidR="00016884" w:rsidRPr="00016884">
        <w:rPr>
          <w:rFonts w:asciiTheme="majorHAnsi" w:hAnsiTheme="majorHAnsi" w:cstheme="majorHAnsi"/>
          <w:sz w:val="28"/>
          <w:szCs w:val="28"/>
        </w:rPr>
        <w:t>Companies with NULL values in EPS, EBITDA, or Price/Book are excluded from Deal Score computation. These represent incomplete records in the source dataset. All remaining companies are retained in the dashboard for full universe visibility; only the Deal Score field returns blank for excluded rows.</w:t>
      </w:r>
    </w:p>
    <w:p w14:paraId="1EA46125" w14:textId="77777777" w:rsidR="00C812A6" w:rsidRPr="008D6DAE" w:rsidRDefault="00C812A6" w:rsidP="008D6DAE"/>
    <w:sectPr w:rsidR="00C812A6" w:rsidRPr="008D6D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D0C9A"/>
    <w:multiLevelType w:val="hybridMultilevel"/>
    <w:tmpl w:val="3F3440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0F56CA"/>
    <w:multiLevelType w:val="hybridMultilevel"/>
    <w:tmpl w:val="0846A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C62107"/>
    <w:multiLevelType w:val="multilevel"/>
    <w:tmpl w:val="97368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954405"/>
    <w:multiLevelType w:val="multilevel"/>
    <w:tmpl w:val="5B8C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0902402">
    <w:abstractNumId w:val="2"/>
  </w:num>
  <w:num w:numId="2" w16cid:durableId="1095593327">
    <w:abstractNumId w:val="0"/>
  </w:num>
  <w:num w:numId="3" w16cid:durableId="2086338946">
    <w:abstractNumId w:val="1"/>
  </w:num>
  <w:num w:numId="4" w16cid:durableId="1756520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A6C"/>
    <w:rsid w:val="00016884"/>
    <w:rsid w:val="00047EFF"/>
    <w:rsid w:val="00067D38"/>
    <w:rsid w:val="000A5439"/>
    <w:rsid w:val="000A6DE5"/>
    <w:rsid w:val="000F294D"/>
    <w:rsid w:val="00124864"/>
    <w:rsid w:val="001843BA"/>
    <w:rsid w:val="001D09EC"/>
    <w:rsid w:val="0022589C"/>
    <w:rsid w:val="002B1441"/>
    <w:rsid w:val="003238C5"/>
    <w:rsid w:val="00355209"/>
    <w:rsid w:val="00372DF5"/>
    <w:rsid w:val="0038579B"/>
    <w:rsid w:val="003961F6"/>
    <w:rsid w:val="00482079"/>
    <w:rsid w:val="004C639E"/>
    <w:rsid w:val="005A2891"/>
    <w:rsid w:val="005B0399"/>
    <w:rsid w:val="005F151C"/>
    <w:rsid w:val="0062594C"/>
    <w:rsid w:val="006879CF"/>
    <w:rsid w:val="00712C10"/>
    <w:rsid w:val="007205C6"/>
    <w:rsid w:val="007652E0"/>
    <w:rsid w:val="00796A6C"/>
    <w:rsid w:val="007D54C9"/>
    <w:rsid w:val="007F2B94"/>
    <w:rsid w:val="0080196C"/>
    <w:rsid w:val="008A18C8"/>
    <w:rsid w:val="008D4391"/>
    <w:rsid w:val="008D4B2F"/>
    <w:rsid w:val="008D6DAE"/>
    <w:rsid w:val="008F24AA"/>
    <w:rsid w:val="008F70B4"/>
    <w:rsid w:val="00945099"/>
    <w:rsid w:val="009922C0"/>
    <w:rsid w:val="009E3209"/>
    <w:rsid w:val="009F66D9"/>
    <w:rsid w:val="00A7626C"/>
    <w:rsid w:val="00AC6AA4"/>
    <w:rsid w:val="00AF3B11"/>
    <w:rsid w:val="00BB44B7"/>
    <w:rsid w:val="00C4252E"/>
    <w:rsid w:val="00C812A6"/>
    <w:rsid w:val="00C8342B"/>
    <w:rsid w:val="00CD016D"/>
    <w:rsid w:val="00CD293B"/>
    <w:rsid w:val="00CF71E8"/>
    <w:rsid w:val="00D50DE8"/>
    <w:rsid w:val="00E65192"/>
    <w:rsid w:val="00EB757D"/>
    <w:rsid w:val="00EC4088"/>
    <w:rsid w:val="00F17ADA"/>
    <w:rsid w:val="00F4478B"/>
    <w:rsid w:val="00F56C3D"/>
    <w:rsid w:val="00F71DFE"/>
    <w:rsid w:val="00FA0A4C"/>
    <w:rsid w:val="00FC68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92006"/>
  <w15:chartTrackingRefBased/>
  <w15:docId w15:val="{51F6BB71-5F30-4919-83A9-8D082A600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A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96A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6A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6A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6A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6A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A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A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A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A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96A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6A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6A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6A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6A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A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A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A6C"/>
    <w:rPr>
      <w:rFonts w:eastAsiaTheme="majorEastAsia" w:cstheme="majorBidi"/>
      <w:color w:val="272727" w:themeColor="text1" w:themeTint="D8"/>
    </w:rPr>
  </w:style>
  <w:style w:type="paragraph" w:styleId="Title">
    <w:name w:val="Title"/>
    <w:basedOn w:val="Normal"/>
    <w:next w:val="Normal"/>
    <w:link w:val="TitleChar"/>
    <w:uiPriority w:val="10"/>
    <w:qFormat/>
    <w:rsid w:val="00796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A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A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A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A6C"/>
    <w:pPr>
      <w:spacing w:before="160"/>
      <w:jc w:val="center"/>
    </w:pPr>
    <w:rPr>
      <w:i/>
      <w:iCs/>
      <w:color w:val="404040" w:themeColor="text1" w:themeTint="BF"/>
    </w:rPr>
  </w:style>
  <w:style w:type="character" w:customStyle="1" w:styleId="QuoteChar">
    <w:name w:val="Quote Char"/>
    <w:basedOn w:val="DefaultParagraphFont"/>
    <w:link w:val="Quote"/>
    <w:uiPriority w:val="29"/>
    <w:rsid w:val="00796A6C"/>
    <w:rPr>
      <w:i/>
      <w:iCs/>
      <w:color w:val="404040" w:themeColor="text1" w:themeTint="BF"/>
    </w:rPr>
  </w:style>
  <w:style w:type="paragraph" w:styleId="ListParagraph">
    <w:name w:val="List Paragraph"/>
    <w:basedOn w:val="Normal"/>
    <w:uiPriority w:val="34"/>
    <w:qFormat/>
    <w:rsid w:val="00796A6C"/>
    <w:pPr>
      <w:ind w:left="720"/>
      <w:contextualSpacing/>
    </w:pPr>
  </w:style>
  <w:style w:type="character" w:styleId="IntenseEmphasis">
    <w:name w:val="Intense Emphasis"/>
    <w:basedOn w:val="DefaultParagraphFont"/>
    <w:uiPriority w:val="21"/>
    <w:qFormat/>
    <w:rsid w:val="00796A6C"/>
    <w:rPr>
      <w:i/>
      <w:iCs/>
      <w:color w:val="2F5496" w:themeColor="accent1" w:themeShade="BF"/>
    </w:rPr>
  </w:style>
  <w:style w:type="paragraph" w:styleId="IntenseQuote">
    <w:name w:val="Intense Quote"/>
    <w:basedOn w:val="Normal"/>
    <w:next w:val="Normal"/>
    <w:link w:val="IntenseQuoteChar"/>
    <w:uiPriority w:val="30"/>
    <w:qFormat/>
    <w:rsid w:val="00796A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6A6C"/>
    <w:rPr>
      <w:i/>
      <w:iCs/>
      <w:color w:val="2F5496" w:themeColor="accent1" w:themeShade="BF"/>
    </w:rPr>
  </w:style>
  <w:style w:type="character" w:styleId="IntenseReference">
    <w:name w:val="Intense Reference"/>
    <w:basedOn w:val="DefaultParagraphFont"/>
    <w:uiPriority w:val="32"/>
    <w:qFormat/>
    <w:rsid w:val="00796A6C"/>
    <w:rPr>
      <w:b/>
      <w:bCs/>
      <w:smallCaps/>
      <w:color w:val="2F5496" w:themeColor="accent1" w:themeShade="BF"/>
      <w:spacing w:val="5"/>
    </w:rPr>
  </w:style>
  <w:style w:type="table" w:styleId="TableGrid">
    <w:name w:val="Table Grid"/>
    <w:basedOn w:val="TableNormal"/>
    <w:uiPriority w:val="39"/>
    <w:rsid w:val="000A6D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A6DE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0A6DE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0A6DE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0A6DE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A6DE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A6DE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uiPriority w:val="1"/>
    <w:qFormat/>
    <w:rsid w:val="005B039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C65088-A620-4508-B51C-4220C7204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1232</Words>
  <Characters>7025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 Sony</dc:creator>
  <cp:keywords/>
  <dc:description/>
  <cp:lastModifiedBy>Amal Sony</cp:lastModifiedBy>
  <cp:revision>3</cp:revision>
  <dcterms:created xsi:type="dcterms:W3CDTF">2026-07-06T10:44:00Z</dcterms:created>
  <dcterms:modified xsi:type="dcterms:W3CDTF">2026-07-06T11:02:00Z</dcterms:modified>
</cp:coreProperties>
</file>