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E5A88"/>
          <w:sz w:val="48"/>
          <w:szCs w:val="48"/>
        </w:rPr>
        <w:t xml:space="preserve">CivicChain</w:t>
      </w:r>
    </w:p>
    <w:p>
      <w:pPr>
        <w:spacing w:after="200"/>
      </w:pPr>
      <w:r>
        <w:rPr>
          <w:b/>
          <w:bCs/>
          <w:sz w:val="32"/>
          <w:szCs w:val="32"/>
        </w:rPr>
        <w:t xml:space="preserve">The Decisions Only You Can Make</w:t>
      </w:r>
    </w:p>
    <w:p>
      <w:pPr>
        <w:spacing w:after="120"/>
      </w:pPr>
      <w:r>
        <w:t xml:space="preserve">We went through the whole business case and cut this down hard. Most of the open questions either had an obvious answer or one you’d effectively already made in your own materials — we’ve taken those on ourselves and listed them at the end so you can veto any of them in one glance.</w:t>
      </w:r>
    </w:p>
    <w:p>
      <w:pPr>
        <w:spacing w:after="120"/>
      </w:pPr>
      <w:r>
        <w:t xml:space="preserve">What’s left is the short list that genuinely needs </w:t>
      </w:r>
      <w:r>
        <w:rPr>
          <w:b/>
          <w:bCs/>
        </w:rPr>
        <w:t xml:space="preserve">you</w:t>
      </w:r>
      <w:r>
        <w:t xml:space="preserve">, in three parts: </w:t>
      </w:r>
      <w:r>
        <w:rPr>
          <w:b/>
          <w:bCs/>
        </w:rPr>
        <w:t xml:space="preserve">seven decisions</w:t>
      </w:r>
      <w:r>
        <w:t xml:space="preserve"> to make, </w:t>
      </w:r>
      <w:r>
        <w:rPr>
          <w:b/>
          <w:bCs/>
        </w:rPr>
        <w:t xml:space="preserve">a few facts</w:t>
      </w:r>
      <w:r>
        <w:t xml:space="preserve"> only you or your counsel can supply, and the </w:t>
      </w:r>
      <w:r>
        <w:rPr>
          <w:b/>
          <w:bCs/>
        </w:rPr>
        <w:t xml:space="preserve">calls we’ve already made</w:t>
      </w:r>
      <w:r>
        <w:t xml:space="preserve"> for you to confirm. Every option below is a viable path to a working business — they differ in trade-offs, not in whether they can succeed. Tick the closest, or write your own.</w:t>
      </w:r>
    </w:p>
    <w:p>
      <w:pPr>
        <w:pBdr>
          <w:bottom w:val="single" w:color="BBBBBB" w:sz="6" w:space="6"/>
        </w:pBdr>
        <w:spacing w:after="200" w:before="80"/>
      </w:pPr>
      <w:r>
        <w:t xml:space="preserve"/>
      </w:r>
    </w:p>
    <w:p>
      <w:pPr>
        <w:pStyle w:val="Heading1"/>
      </w:pPr>
      <w:r>
        <w:t xml:space="preserve">Decisions only you can make</w:t>
      </w:r>
    </w:p>
    <w:p>
      <w:pPr>
        <w:pStyle w:val="Heading2"/>
      </w:pPr>
      <w:r>
        <w:t xml:space="preserve">1. Who legally moves the money on day one?</w:t>
      </w:r>
    </w:p>
    <w:p>
      <w:pPr>
        <w:pBdr>
          <w:left w:val="single" w:color="2E5A88" w:sz="18" w:space="12"/>
        </w:pBdr>
        <w:spacing w:after="140"/>
        <w:ind w:left="180"/>
      </w:pPr>
      <w:r>
        <w:rPr>
          <w:b/>
          <w:bCs/>
        </w:rPr>
        <w:t xml:space="preserve">Why this is yours: </w:t>
      </w:r>
      <w:r>
        <w:t xml:space="preserve">on day one you’re moving towns’ public money. An investor’s first question and a lawyer’s first question are the same — who is the licensed party? Your own roadmap points two ways at once (rail-first in one place, bank-partner-first in another), so this has to be resolved and the entity named.</w:t>
      </w:r>
    </w:p>
    <w:p>
      <w:pPr>
        <w:spacing w:after="100"/>
        <w:ind w:left="360" w:hanging="360"/>
      </w:pPr>
      <w:r>
        <w:rPr>
          <w:sz w:val="26"/>
          <w:szCs w:val="26"/>
        </w:rPr>
        <w:t xml:space="preserve">☐  </w:t>
      </w:r>
      <w:r>
        <w:rPr>
          <w:b/>
          <w:bCs/>
        </w:rPr>
        <w:t xml:space="preserve">License-free structure.</w:t>
      </w:r>
      <w:r>
        <w:t xml:space="preserve"> Towns own their own accounts (the affiliate model in your white paper) and/or you operate as agent of the payee — so no money-transmitter license is needed. Cleanest if it holds; counsel must confirm the exemption.</w:t>
      </w:r>
    </w:p>
    <w:p>
      <w:pPr>
        <w:spacing w:after="100"/>
        <w:ind w:left="360" w:hanging="360"/>
      </w:pPr>
      <w:r>
        <w:rPr>
          <w:sz w:val="26"/>
          <w:szCs w:val="26"/>
        </w:rPr>
        <w:t xml:space="preserve">☐  </w:t>
      </w:r>
      <w:r>
        <w:rPr>
          <w:b/>
          <w:bCs/>
        </w:rPr>
        <w:t xml:space="preserve">License via a sponsor bank (BaaS).</w:t>
      </w:r>
      <w:r>
        <w:t xml:space="preserve"> A chartered bank is the regulated mover and carries the BSA/AML duty; you’re the program manager. Faster to launch, thinner margin — and you name the sponsor (e.g. Column, Unit).</w:t>
      </w:r>
    </w:p>
    <w:p>
      <w:pPr>
        <w:spacing w:after="200"/>
        <w:ind w:left="360"/>
      </w:pPr>
      <w:r>
        <w:rPr>
          <w:i/>
          <w:iCs/>
        </w:rPr>
        <w:t xml:space="preserve">If it’s a different structure, name it:</w:t>
      </w:r>
      <w:r>
        <w:rPr>
          <w:color w:val="555555"/>
        </w:rPr>
        <w:t xml:space="preserve"> ____________________________________________</w:t>
      </w:r>
    </w:p>
    <w:p>
      <w:pPr>
        <w:pStyle w:val="Heading2"/>
      </w:pPr>
      <w:r>
        <w:t xml:space="preserve">2. Can you keep the float — and if not, how does the model stand?</w:t>
      </w:r>
    </w:p>
    <w:p>
      <w:pPr>
        <w:pBdr>
          <w:left w:val="single" w:color="2E5A88" w:sz="18" w:space="12"/>
        </w:pBdr>
        <w:spacing w:after="140"/>
        <w:ind w:left="180"/>
      </w:pPr>
      <w:r>
        <w:rPr>
          <w:b/>
          <w:bCs/>
        </w:rPr>
        <w:t xml:space="preserve">Why this is yours: </w:t>
      </w:r>
      <w:r>
        <w:t xml:space="preserve">the model books ~4% on the balances of towns’ public money, and public-funds law generally sends that interest back to the town. Whether to fight for it or drop it is a revenue decision with a real legal shadow — your risk call plus counsel, not ours to make.</w:t>
      </w:r>
    </w:p>
    <w:p>
      <w:pPr>
        <w:spacing w:after="100"/>
        <w:ind w:left="360" w:hanging="360"/>
      </w:pPr>
      <w:r>
        <w:rPr>
          <w:sz w:val="26"/>
          <w:szCs w:val="26"/>
        </w:rPr>
        <w:t xml:space="preserve">☐  </w:t>
      </w:r>
      <w:r>
        <w:rPr>
          <w:b/>
          <w:bCs/>
        </w:rPr>
        <w:t xml:space="preserve">Drop it; price SaaS-first to stand alone.</w:t>
      </w:r>
      <w:r>
        <w:t xml:space="preserve"> Your own model already calls SaaS the primary stream — float was upside. Safest, and it removes the legal exposure entirely.</w:t>
      </w:r>
    </w:p>
    <w:p>
      <w:pPr>
        <w:spacing w:after="100"/>
        <w:ind w:left="360" w:hanging="360"/>
      </w:pPr>
      <w:r>
        <w:rPr>
          <w:sz w:val="26"/>
          <w:szCs w:val="26"/>
        </w:rPr>
        <w:t xml:space="preserve">☐  </w:t>
      </w:r>
      <w:r>
        <w:rPr>
          <w:b/>
          <w:bCs/>
        </w:rPr>
        <w:t xml:space="preserve">Rebate it to towns as the pitch.</w:t>
      </w:r>
      <w:r>
        <w:t xml:space="preserve"> Give towns back the interest their money earns — a selling advantage no incumbent offers, and the legal problem disappears.</w:t>
      </w:r>
    </w:p>
    <w:p>
      <w:pPr>
        <w:spacing w:after="100"/>
        <w:ind w:left="360" w:hanging="360"/>
      </w:pPr>
      <w:r>
        <w:rPr>
          <w:sz w:val="26"/>
          <w:szCs w:val="26"/>
        </w:rPr>
        <w:t xml:space="preserve">☐  </w:t>
      </w:r>
      <w:r>
        <w:rPr>
          <w:b/>
          <w:bCs/>
        </w:rPr>
        <w:t xml:space="preserve">Pursue a legal opinion to keep it.</w:t>
      </w:r>
      <w:r>
        <w:t xml:space="preserve"> A documented custody / management-fee arrangement where a defined portion is legitimately yours — viable only with written counsel sign-off, state by state.</w:t>
      </w:r>
    </w:p>
    <w:p>
      <w:pPr>
        <w:spacing w:after="200"/>
        <w:ind w:left="360"/>
      </w:pPr>
      <w:r>
        <w:rPr>
          <w:i/>
          <w:iCs/>
        </w:rPr>
        <w:t xml:space="preserve">If your path is different, tell us:</w:t>
      </w:r>
      <w:r>
        <w:rPr>
          <w:color w:val="555555"/>
        </w:rPr>
        <w:t xml:space="preserve"> ____________________________________________</w:t>
      </w:r>
    </w:p>
    <w:p>
      <w:pPr>
        <w:pStyle w:val="Heading2"/>
      </w:pPr>
      <w:r>
        <w:t xml:space="preserve">3. What role does the blockchain actually play in v1.0?</w:t>
      </w:r>
    </w:p>
    <w:p>
      <w:pPr>
        <w:pBdr>
          <w:left w:val="single" w:color="2E5A88" w:sz="18" w:space="12"/>
        </w:pBdr>
        <w:spacing w:after="140"/>
        <w:ind w:left="180"/>
      </w:pPr>
      <w:r>
        <w:rPr>
          <w:b/>
          <w:bCs/>
        </w:rPr>
        <w:t xml:space="preserve">Why this is yours: </w:t>
      </w:r>
      <w:r>
        <w:t xml:space="preserve">the product could be built with no blockchain at all — an ordinary database, a public portal, and fast bank payments. The chain buys one real thing — anyone can verify a record wasn’t altered, without trusting your database — at a real cost: officials fear “blockchain,” and a record you can never edit collides with the legal duty to correct or delete one. This is an architecture call only you can make, and it shapes the entire differentiator.</w:t>
      </w:r>
    </w:p>
    <w:p>
      <w:pPr>
        <w:spacing w:after="100"/>
        <w:ind w:left="360" w:hanging="360"/>
      </w:pPr>
      <w:r>
        <w:rPr>
          <w:sz w:val="26"/>
          <w:szCs w:val="26"/>
        </w:rPr>
        <w:t xml:space="preserve">☐  </w:t>
      </w:r>
      <w:r>
        <w:rPr>
          <w:b/>
          <w:bCs/>
        </w:rPr>
        <w:t xml:space="preserve">Keep the chain as the core.</w:t>
      </w:r>
    </w:p>
    <w:p>
      <w:pPr>
        <w:spacing w:after="80"/>
        <w:ind w:left="1080" w:hanging="360"/>
      </w:pPr>
      <w:r>
        <w:t xml:space="preserve">–  </w:t>
      </w:r>
      <w:r>
        <w:rPr>
          <w:i/>
          <w:iCs/>
        </w:rPr>
        <w:t xml:space="preserve">What it buys: </w:t>
      </w:r>
      <w:r>
        <w:t xml:space="preserve">independent, public verifiability — the one thing a Tyler or a plain report can’t offer; the “fraud is impossible to conceal by design” edge, and it already runs in the demo.</w:t>
      </w:r>
    </w:p>
    <w:p>
      <w:pPr>
        <w:spacing w:after="80"/>
        <w:ind w:left="1080" w:hanging="360"/>
      </w:pPr>
      <w:r>
        <w:t xml:space="preserve">–  </w:t>
      </w:r>
      <w:r>
        <w:rPr>
          <w:i/>
          <w:iCs/>
        </w:rPr>
        <w:t xml:space="preserve">What it costs: </w:t>
      </w:r>
      <w:r>
        <w:t xml:space="preserve">officials are wary of “blockchain” (a harder sell); permanence fights the legal right to correct, seal, or delete a record (you can’t erase a mistake or personal data); more engineering and regulatory weight to carry.</w:t>
      </w:r>
    </w:p>
    <w:p>
      <w:pPr>
        <w:spacing w:after="100"/>
        <w:ind w:left="360" w:hanging="360"/>
      </w:pPr>
      <w:r>
        <w:rPr>
          <w:sz w:val="26"/>
          <w:szCs w:val="26"/>
        </w:rPr>
        <w:t xml:space="preserve">☐  </w:t>
      </w:r>
      <w:r>
        <w:rPr>
          <w:b/>
          <w:bCs/>
        </w:rPr>
        <w:t xml:space="preserve">Drop the chain from v1.0; add it later.</w:t>
      </w:r>
      <w:r>
        <w:t xml:space="preserve"> v1.0 is the workflow + USD payments + a public portal on an ordinary database; the chain (and RLUSD) arrive together as Tier 2 once demand is proven.</w:t>
      </w:r>
    </w:p>
    <w:p>
      <w:pPr>
        <w:spacing w:after="80"/>
        <w:ind w:left="1080" w:hanging="360"/>
      </w:pPr>
      <w:r>
        <w:t xml:space="preserve">–  </w:t>
      </w:r>
      <w:r>
        <w:rPr>
          <w:i/>
          <w:iCs/>
        </w:rPr>
        <w:t xml:space="preserve">What it buys: </w:t>
      </w:r>
      <w:r>
        <w:t xml:space="preserve">faster and cheaper to build; the “blockchain” fear disappears (you sell transparency and speed); you can fix errors and delete data normally; far less regulatory shadow.</w:t>
      </w:r>
    </w:p>
    <w:p>
      <w:pPr>
        <w:spacing w:after="80"/>
        <w:ind w:left="1080" w:hanging="360"/>
      </w:pPr>
      <w:r>
        <w:t xml:space="preserve">–  </w:t>
      </w:r>
      <w:r>
        <w:rPr>
          <w:i/>
          <w:iCs/>
        </w:rPr>
        <w:t xml:space="preserve">What it costs: </w:t>
      </w:r>
      <w:r>
        <w:t xml:space="preserve">you lose independent verifiability — a resident or auditor has to trust your database wasn’t doctored; that weakens the core edge over Tyler (you risk looking like “just another portal”); and bolting the chain on later is rework.</w:t>
      </w:r>
    </w:p>
    <w:p>
      <w:pPr>
        <w:spacing w:after="100"/>
        <w:ind w:left="360" w:hanging="360"/>
      </w:pPr>
      <w:r>
        <w:rPr>
          <w:sz w:val="26"/>
          <w:szCs w:val="26"/>
        </w:rPr>
        <w:t xml:space="preserve">☐  </w:t>
      </w:r>
      <w:r>
        <w:rPr>
          <w:b/>
          <w:bCs/>
        </w:rPr>
        <w:t xml:space="preserve">Keep the chain under the hood, but never lead with “blockchain.”</w:t>
      </w:r>
    </w:p>
    <w:p>
      <w:pPr>
        <w:spacing w:after="80"/>
        <w:ind w:left="1080" w:hanging="360"/>
      </w:pPr>
      <w:r>
        <w:t xml:space="preserve">–  </w:t>
      </w:r>
      <w:r>
        <w:rPr>
          <w:i/>
          <w:iCs/>
        </w:rPr>
        <w:t xml:space="preserve">What it buys: </w:t>
      </w:r>
      <w:r>
        <w:t xml:space="preserve">you keep the verifiability as a quiet technical proof while sidestepping the fear — you pitch transparency and audit-readiness, the crypto stays invisible (this is already where the landing copy points).</w:t>
      </w:r>
    </w:p>
    <w:p>
      <w:pPr>
        <w:spacing w:after="80"/>
        <w:ind w:left="1080" w:hanging="360"/>
      </w:pPr>
      <w:r>
        <w:t xml:space="preserve">–  </w:t>
      </w:r>
      <w:r>
        <w:rPr>
          <w:i/>
          <w:iCs/>
        </w:rPr>
        <w:t xml:space="preserve">What it costs: </w:t>
      </w:r>
      <w:r>
        <w:t xml:space="preserve">you still carry the can’t-edit problem and the added complexity under the hood; and hiding the differentiator makes it harder to explain to an investor why you beat a plain portal.</w:t>
      </w:r>
    </w:p>
    <w:p>
      <w:pPr>
        <w:spacing w:after="120"/>
      </w:pPr>
      <w:r>
        <w:rPr>
          <w:b/>
          <w:bCs/>
        </w:rPr>
        <w:t xml:space="preserve">And the stablecoin (RLUSD), separately: </w:t>
      </w:r>
      <w:r>
        <w:t xml:space="preserve">keep it on the roadmap, or go USD-only for good? USD-only is simpler and dodges stablecoin regulation; RLUSD buys “minutes not days” settlement and the float mechanics, but adds regulatory shadow and a dependency on Ripple.</w:t>
      </w:r>
    </w:p>
    <w:p>
      <w:pPr>
        <w:spacing w:after="200"/>
        <w:ind w:left="360"/>
      </w:pPr>
      <w:r>
        <w:rPr>
          <w:i/>
          <w:iCs/>
        </w:rPr>
        <w:t xml:space="preserve">If your call is different, tell us:</w:t>
      </w:r>
      <w:r>
        <w:rPr>
          <w:color w:val="555555"/>
        </w:rPr>
        <w:t xml:space="preserve"> ____________________________________________</w:t>
      </w:r>
    </w:p>
    <w:p>
      <w:pPr>
        <w:pStyle w:val="Heading2"/>
      </w:pPr>
      <w:r>
        <w:t xml:space="preserve">4. Do you integrate with the town’s existing system (TRIO), or only export to it?</w:t>
      </w:r>
    </w:p>
    <w:p>
      <w:pPr>
        <w:pBdr>
          <w:left w:val="single" w:color="2E5A88" w:sz="18" w:space="12"/>
        </w:pBdr>
        <w:spacing w:after="140"/>
        <w:ind w:left="180"/>
      </w:pPr>
      <w:r>
        <w:rPr>
          <w:b/>
          <w:bCs/>
        </w:rPr>
        <w:t xml:space="preserve">Why this is yours: </w:t>
      </w:r>
      <w:r>
        <w:t xml:space="preserve">your target town runs Harris TRIO with one overloaded finance person. If CivicChain forces a second system and a second reconciliation, you’ve added work to the exact person who has to adopt you — and they quietly stop using it after the pilot. How you handle TRIO decides whether the product sticks.</w:t>
      </w:r>
    </w:p>
    <w:p>
      <w:pPr>
        <w:spacing w:after="100"/>
        <w:ind w:left="360" w:hanging="360"/>
      </w:pPr>
      <w:r>
        <w:rPr>
          <w:sz w:val="26"/>
          <w:szCs w:val="26"/>
        </w:rPr>
        <w:t xml:space="preserve">☐  </w:t>
      </w:r>
      <w:r>
        <w:rPr>
          <w:b/>
          <w:bCs/>
        </w:rPr>
        <w:t xml:space="preserve">Native integration.</w:t>
      </w:r>
      <w:r>
        <w:t xml:space="preserve"> Build a connector so data flows both ways and there’s no duplicate entry. Highest build cost, but it removes the biggest adoption blocker for a one-person office.</w:t>
      </w:r>
    </w:p>
    <w:p>
      <w:pPr>
        <w:spacing w:after="100"/>
        <w:ind w:left="360" w:hanging="360"/>
      </w:pPr>
      <w:r>
        <w:rPr>
          <w:sz w:val="26"/>
          <w:szCs w:val="26"/>
        </w:rPr>
        <w:t xml:space="preserve">☐  </w:t>
      </w:r>
      <w:r>
        <w:rPr>
          <w:b/>
          <w:bCs/>
        </w:rPr>
        <w:t xml:space="preserve">Export-only for now (CSV/PDF).</w:t>
      </w:r>
      <w:r>
        <w:t xml:space="preserve"> Fastest to ship, but it adds a second system for the staffer — so the pitch has to be honest that the value beats the extra work.</w:t>
      </w:r>
    </w:p>
    <w:p>
      <w:pPr>
        <w:spacing w:after="100"/>
        <w:ind w:left="360" w:hanging="360"/>
      </w:pPr>
      <w:r>
        <w:rPr>
          <w:sz w:val="26"/>
          <w:szCs w:val="26"/>
        </w:rPr>
        <w:t xml:space="preserve">☐  </w:t>
      </w:r>
      <w:r>
        <w:rPr>
          <w:b/>
          <w:bCs/>
        </w:rPr>
        <w:t xml:space="preserve">Export now, integration after the first signed town.</w:t>
      </w:r>
      <w:r>
        <w:t xml:space="preserve"> Ship export to launch, commit to a connector once a paying customer justifies the build.</w:t>
      </w:r>
    </w:p>
    <w:p>
      <w:pPr>
        <w:spacing w:after="200"/>
        <w:ind w:left="360"/>
      </w:pPr>
      <w:r>
        <w:rPr>
          <w:i/>
          <w:iCs/>
        </w:rPr>
        <w:t xml:space="preserve">If your path is different, tell us:</w:t>
      </w:r>
      <w:r>
        <w:rPr>
          <w:color w:val="555555"/>
        </w:rPr>
        <w:t xml:space="preserve"> ____________________________________________</w:t>
      </w:r>
    </w:p>
    <w:p>
      <w:pPr>
        <w:pStyle w:val="Heading2"/>
      </w:pPr>
      <w:r>
        <w:t xml:space="preserve">5. What’s the real traction today, and the play to a first production deal?</w:t>
      </w:r>
    </w:p>
    <w:p>
      <w:pPr>
        <w:pBdr>
          <w:left w:val="single" w:color="2E5A88" w:sz="18" w:space="12"/>
        </w:pBdr>
        <w:spacing w:after="140"/>
        <w:ind w:left="180"/>
      </w:pPr>
      <w:r>
        <w:rPr>
          <w:b/>
          <w:bCs/>
        </w:rPr>
        <w:t xml:space="preserve">Why this is yours: </w:t>
      </w:r>
      <w:r>
        <w:t xml:space="preserve">only you know the true current status, and only you know which town, which champion, which budget. The funding story rests on converting a sub-$5K pilot (one manager can buy) into a board-approved production deployment (a warrant vote) — a harder gate that needs your market knowledge.</w:t>
      </w:r>
    </w:p>
    <w:p>
      <w:pPr>
        <w:spacing w:after="120"/>
      </w:pPr>
      <w:r>
        <w:rPr>
          <w:b/>
          <w:bCs/>
        </w:rPr>
        <w:t xml:space="preserve">Current status — tick the honest one:</w:t>
      </w:r>
    </w:p>
    <w:p>
      <w:pPr>
        <w:spacing w:after="100"/>
        <w:ind w:left="360" w:hanging="360"/>
      </w:pPr>
      <w:r>
        <w:rPr>
          <w:sz w:val="26"/>
          <w:szCs w:val="26"/>
        </w:rPr>
        <w:t xml:space="preserve">☐  </w:t>
      </w:r>
      <w:r>
        <w:rPr>
          <w:b/>
          <w:bCs/>
        </w:rPr>
        <w:t xml:space="preserve">Signed pilot or paid contract</w:t>
      </w:r>
    </w:p>
    <w:p>
      <w:pPr>
        <w:spacing w:after="100"/>
        <w:ind w:left="360" w:hanging="360"/>
      </w:pPr>
      <w:r>
        <w:rPr>
          <w:sz w:val="26"/>
          <w:szCs w:val="26"/>
        </w:rPr>
        <w:t xml:space="preserve">☐  </w:t>
      </w:r>
      <w:r>
        <w:rPr>
          <w:b/>
          <w:bCs/>
        </w:rPr>
        <w:t xml:space="preserve">Written LOI / design partner</w:t>
      </w:r>
    </w:p>
    <w:p>
      <w:pPr>
        <w:spacing w:after="100"/>
        <w:ind w:left="360" w:hanging="360"/>
      </w:pPr>
      <w:r>
        <w:rPr>
          <w:sz w:val="26"/>
          <w:szCs w:val="26"/>
        </w:rPr>
        <w:t xml:space="preserve">☐  </w:t>
      </w:r>
      <w:r>
        <w:rPr>
          <w:b/>
          <w:bCs/>
        </w:rPr>
        <w:t xml:space="preserve">Active conversations</w:t>
      </w:r>
    </w:p>
    <w:p>
      <w:pPr>
        <w:spacing w:after="100"/>
        <w:ind w:left="360" w:hanging="360"/>
      </w:pPr>
      <w:r>
        <w:rPr>
          <w:sz w:val="26"/>
          <w:szCs w:val="26"/>
        </w:rPr>
        <w:t xml:space="preserve">☐  </w:t>
      </w:r>
      <w:r>
        <w:rPr>
          <w:b/>
          <w:bCs/>
        </w:rPr>
        <w:t xml:space="preserve">Named targets only</w:t>
      </w:r>
    </w:p>
    <w:p>
      <w:pPr>
        <w:spacing w:after="120"/>
      </w:pPr>
      <w:r>
        <w:rPr>
          <w:b/>
          <w:bCs/>
        </w:rPr>
        <w:t xml:space="preserve">The play to the first production deal:</w:t>
      </w:r>
    </w:p>
    <w:p>
      <w:pPr>
        <w:spacing w:after="100"/>
        <w:ind w:left="360" w:hanging="360"/>
      </w:pPr>
      <w:r>
        <w:rPr>
          <w:sz w:val="26"/>
          <w:szCs w:val="26"/>
        </w:rPr>
        <w:t xml:space="preserve">☐  </w:t>
      </w:r>
      <w:r>
        <w:rPr>
          <w:b/>
          <w:bCs/>
        </w:rPr>
        <w:t xml:space="preserve">Free lighthouse pilot → flagship reference.</w:t>
      </w:r>
      <w:r>
        <w:t xml:space="preserve"> One marquee town at no cost, engineered so the pilot output is the exact evidence a select board needs to vote yes.</w:t>
      </w:r>
    </w:p>
    <w:p>
      <w:pPr>
        <w:spacing w:after="100"/>
        <w:ind w:left="360" w:hanging="360"/>
      </w:pPr>
      <w:r>
        <w:rPr>
          <w:sz w:val="26"/>
          <w:szCs w:val="26"/>
        </w:rPr>
        <w:t xml:space="preserve">☐  </w:t>
      </w:r>
      <w:r>
        <w:rPr>
          <w:b/>
          <w:bCs/>
        </w:rPr>
        <w:t xml:space="preserve">Group procurement via a municipal association or council-of-governments.</w:t>
      </w:r>
      <w:r>
        <w:t xml:space="preserve"> Land several towns at once through a vehicle that’s already competitively procured — and skip the per-town conversion gate.</w:t>
      </w:r>
    </w:p>
    <w:p>
      <w:pPr>
        <w:spacing w:after="100"/>
        <w:ind w:left="360" w:hanging="360"/>
      </w:pPr>
      <w:r>
        <w:rPr>
          <w:sz w:val="26"/>
          <w:szCs w:val="26"/>
        </w:rPr>
        <w:t xml:space="preserve">☐  </w:t>
      </w:r>
      <w:r>
        <w:rPr>
          <w:b/>
          <w:bCs/>
        </w:rPr>
        <w:t xml:space="preserve">Channel through municipal accountants and auditors.</w:t>
      </w:r>
      <w:r>
        <w:t xml:space="preserve"> They advise every software purchase and feel the audit-shortage pain most; let them carry you in.</w:t>
      </w:r>
    </w:p>
    <w:p>
      <w:pPr>
        <w:spacing w:after="200"/>
        <w:ind w:left="360"/>
      </w:pPr>
      <w:r>
        <w:rPr>
          <w:i/>
          <w:iCs/>
        </w:rPr>
        <w:t xml:space="preserve">If your play is different, tell us:</w:t>
      </w:r>
      <w:r>
        <w:rPr>
          <w:color w:val="555555"/>
        </w:rPr>
        <w:t xml:space="preserve"> ____________________________________________</w:t>
      </w:r>
    </w:p>
    <w:p>
      <w:pPr>
        <w:pStyle w:val="Heading2"/>
      </w:pPr>
      <w:r>
        <w:t xml:space="preserve">6. What single result proves the pilot worked?</w:t>
      </w:r>
    </w:p>
    <w:p>
      <w:pPr>
        <w:pBdr>
          <w:left w:val="single" w:color="2E5A88" w:sz="18" w:space="12"/>
        </w:pBdr>
        <w:spacing w:after="140"/>
        <w:ind w:left="180"/>
      </w:pPr>
      <w:r>
        <w:rPr>
          <w:b/>
          <w:bCs/>
        </w:rPr>
        <w:t xml:space="preserve">Why this is yours: </w:t>
      </w:r>
      <w:r>
        <w:t xml:space="preserve">an investor will ask for the one number that proves the product creates value rather than just relocating money. You define what counts as success — and the pilot has to be built to measure it.</w:t>
      </w:r>
    </w:p>
    <w:p>
      <w:pPr>
        <w:spacing w:after="100"/>
        <w:ind w:left="360" w:hanging="360"/>
      </w:pPr>
      <w:r>
        <w:rPr>
          <w:sz w:val="26"/>
          <w:szCs w:val="26"/>
        </w:rPr>
        <w:t xml:space="preserve">☐  </w:t>
      </w:r>
      <w:r>
        <w:rPr>
          <w:b/>
          <w:bCs/>
        </w:rPr>
        <w:t xml:space="preserve">Vendor bids drop by at least ____% once payment risk is removed.</w:t>
      </w:r>
    </w:p>
    <w:p>
      <w:pPr>
        <w:spacing w:after="100"/>
        <w:ind w:left="360" w:hanging="360"/>
      </w:pPr>
      <w:r>
        <w:rPr>
          <w:sz w:val="26"/>
          <w:szCs w:val="26"/>
        </w:rPr>
        <w:t xml:space="preserve">☐  </w:t>
      </w:r>
      <w:r>
        <w:rPr>
          <w:b/>
          <w:bCs/>
        </w:rPr>
        <w:t xml:space="preserve">Time from work-done to vendor-paid falls to ____ days or fewer.</w:t>
      </w:r>
    </w:p>
    <w:p>
      <w:pPr>
        <w:spacing w:after="100"/>
        <w:ind w:left="360" w:hanging="360"/>
      </w:pPr>
      <w:r>
        <w:rPr>
          <w:sz w:val="26"/>
          <w:szCs w:val="26"/>
        </w:rPr>
        <w:t xml:space="preserve">☐  </w:t>
      </w:r>
      <w:r>
        <w:rPr>
          <w:b/>
          <w:bCs/>
        </w:rPr>
        <w:t xml:space="preserve">Audit prep cost / hours cut by at least ____%.</w:t>
      </w:r>
    </w:p>
    <w:p>
      <w:pPr>
        <w:spacing w:after="100"/>
        <w:ind w:left="360" w:hanging="360"/>
      </w:pPr>
      <w:r>
        <w:rPr>
          <w:sz w:val="26"/>
          <w:szCs w:val="26"/>
        </w:rPr>
        <w:t xml:space="preserve">☐  </w:t>
      </w:r>
      <w:r>
        <w:rPr>
          <w:b/>
          <w:bCs/>
        </w:rPr>
        <w:t xml:space="preserve">Staff time spent answering “where did the money go?” cut by at least ____%.</w:t>
      </w:r>
    </w:p>
    <w:p>
      <w:pPr>
        <w:spacing w:after="200"/>
        <w:ind w:left="360"/>
      </w:pPr>
      <w:r>
        <w:rPr>
          <w:i/>
          <w:iCs/>
        </w:rPr>
        <w:t xml:space="preserve">If your proof metric is different, tell us:</w:t>
      </w:r>
      <w:r>
        <w:rPr>
          <w:color w:val="555555"/>
        </w:rPr>
        <w:t xml:space="preserve"> ____________________________________________</w:t>
      </w:r>
    </w:p>
    <w:p>
      <w:pPr>
        <w:pStyle w:val="Heading2"/>
      </w:pPr>
      <w:r>
        <w:t xml:space="preserve">7. What durably stops an incumbent from copying this in 12 months?</w:t>
      </w:r>
    </w:p>
    <w:p>
      <w:pPr>
        <w:pBdr>
          <w:left w:val="single" w:color="2E5A88" w:sz="18" w:space="12"/>
        </w:pBdr>
        <w:spacing w:after="140"/>
        <w:ind w:left="180"/>
      </w:pPr>
      <w:r>
        <w:rPr>
          <w:b/>
          <w:bCs/>
        </w:rPr>
        <w:t xml:space="preserve">Why this is yours: </w:t>
      </w:r>
      <w:r>
        <w:t xml:space="preserve">today’s defense is unexamined provisional patents and a head start. An investor will press you — not us — on what stops a Tyler, who already owns the data, integrations, and relationships, from shipping public-ledger transparency within a year. You have to own this thesis.</w:t>
      </w:r>
    </w:p>
    <w:p>
      <w:pPr>
        <w:spacing w:after="100"/>
        <w:ind w:left="360" w:hanging="360"/>
      </w:pPr>
      <w:r>
        <w:rPr>
          <w:sz w:val="26"/>
          <w:szCs w:val="26"/>
        </w:rPr>
        <w:t xml:space="preserve">☐  </w:t>
      </w:r>
      <w:r>
        <w:rPr>
          <w:b/>
          <w:bCs/>
        </w:rPr>
        <w:t xml:space="preserve">Data + vendor-marketplace network effect.</w:t>
      </w:r>
      <w:r>
        <w:t xml:space="preserve"> A compounding body of public, comparable records, plus a vendor who registers once and appears everywhere — value that grows with each town and can’t be cloned fast.</w:t>
      </w:r>
    </w:p>
    <w:p>
      <w:pPr>
        <w:spacing w:after="100"/>
        <w:ind w:left="360" w:hanging="360"/>
      </w:pPr>
      <w:r>
        <w:rPr>
          <w:sz w:val="26"/>
          <w:szCs w:val="26"/>
        </w:rPr>
        <w:t xml:space="preserve">☐  </w:t>
      </w:r>
      <w:r>
        <w:rPr>
          <w:b/>
          <w:bCs/>
        </w:rPr>
        <w:t xml:space="preserve">Association &amp; relationship lock-in.</w:t>
      </w:r>
      <w:r>
        <w:t xml:space="preserve"> Exclusive municipal-association partnerships and first-mover trust in a relationship-driven market — the incumbent’s own playbook, turned against them.</w:t>
      </w:r>
    </w:p>
    <w:p>
      <w:pPr>
        <w:spacing w:after="100"/>
        <w:ind w:left="360" w:hanging="360"/>
      </w:pPr>
      <w:r>
        <w:rPr>
          <w:sz w:val="26"/>
          <w:szCs w:val="26"/>
        </w:rPr>
        <w:t xml:space="preserve">☐  </w:t>
      </w:r>
      <w:r>
        <w:rPr>
          <w:b/>
          <w:bCs/>
        </w:rPr>
        <w:t xml:space="preserve">Patent + integration depth.</w:t>
      </w:r>
      <w:r>
        <w:t xml:space="preserve"> Convert the provisionals on the cross-ledger audit method and integrate so deeply with the town’s existing systems that switching cost climbs over time.</w:t>
      </w:r>
    </w:p>
    <w:p>
      <w:pPr>
        <w:spacing w:after="200"/>
        <w:ind w:left="360"/>
      </w:pPr>
      <w:r>
        <w:rPr>
          <w:i/>
          <w:iCs/>
        </w:rPr>
        <w:t xml:space="preserve">If your thesis is different, tell us:</w:t>
      </w:r>
      <w:r>
        <w:rPr>
          <w:color w:val="555555"/>
        </w:rPr>
        <w:t xml:space="preserve"> ____________________________________________</w:t>
      </w:r>
    </w:p>
    <w:p>
      <w:pPr>
        <w:pBdr>
          <w:bottom w:val="single" w:color="BBBBBB" w:sz="6" w:space="6"/>
        </w:pBdr>
        <w:spacing w:after="200" w:before="80"/>
      </w:pPr>
      <w:r>
        <w:t xml:space="preserve"/>
      </w:r>
    </w:p>
    <w:p>
      <w:pPr>
        <w:pStyle w:val="Heading1"/>
      </w:pPr>
      <w:r>
        <w:t xml:space="preserve">What we still need from you (facts &amp; counsel)</w:t>
      </w:r>
    </w:p>
    <w:p>
      <w:pPr>
        <w:spacing w:after="120"/>
      </w:pPr>
      <w:r>
        <w:t xml:space="preserve">These aren’t path choices — they’re facts only you have, or work only your counsel can do. We can’t supply them ourselves; please fill in what you can.</w:t>
      </w:r>
    </w:p>
    <w:p>
      <w:pPr>
        <w:spacing w:after="100"/>
        <w:ind w:left="360" w:hanging="360"/>
      </w:pPr>
      <w:r>
        <w:rPr>
          <w:sz w:val="26"/>
          <w:szCs w:val="26"/>
        </w:rPr>
        <w:t xml:space="preserve">☐  </w:t>
      </w:r>
      <w:r>
        <w:rPr>
          <w:b/>
          <w:bCs/>
        </w:rPr>
        <w:t xml:space="preserve">Founder bios, one source-of-record version each.</w:t>
      </w:r>
      <w:r>
        <w:t xml:space="preserve"> Resolve the conflicting figures and names — the $50M vs $500M processing figure, the company name, the years of tenure, the surname spelling — into one verified bio per founder. The team slide can’t go external until these match.</w:t>
      </w:r>
    </w:p>
    <w:p>
      <w:pPr>
        <w:spacing w:after="100"/>
        <w:ind w:left="360" w:hanging="360"/>
      </w:pPr>
      <w:r>
        <w:rPr>
          <w:sz w:val="26"/>
          <w:szCs w:val="26"/>
        </w:rPr>
        <w:t xml:space="preserve">☐  </w:t>
      </w:r>
      <w:r>
        <w:rPr>
          <w:b/>
          <w:bCs/>
        </w:rPr>
        <w:t xml:space="preserve">CAC and unit economics.</w:t>
      </w:r>
      <w:r>
        <w:t xml:space="preserve"> With card interchange and float set aside: what revenue is contracted today, what does it cost to acquire a town, and what does it cost to serve one that pays little or no SaaS fee?</w:t>
      </w:r>
    </w:p>
    <w:p>
      <w:pPr>
        <w:spacing w:after="100"/>
        <w:ind w:left="360" w:hanging="360"/>
      </w:pPr>
      <w:r>
        <w:rPr>
          <w:sz w:val="26"/>
          <w:szCs w:val="26"/>
        </w:rPr>
        <w:t xml:space="preserve">☐  </w:t>
      </w:r>
      <w:r>
        <w:rPr>
          <w:b/>
          <w:bCs/>
        </w:rPr>
        <w:t xml:space="preserve">Patents — conversion and ownership.</w:t>
      </w:r>
      <w:r>
        <w:t xml:space="preserve"> The plan to convert the provisional filings to non-provisional, a freedom-to-operate read, and — critically — executed assignment paperwork (today’s version is a template with blank fields, so ownership isn’t yet proven).</w:t>
      </w:r>
    </w:p>
    <w:p>
      <w:pPr>
        <w:spacing w:after="100"/>
        <w:ind w:left="360" w:hanging="360"/>
      </w:pPr>
      <w:r>
        <w:rPr>
          <w:sz w:val="26"/>
          <w:szCs w:val="26"/>
        </w:rPr>
        <w:t xml:space="preserve">☐  </w:t>
      </w:r>
      <w:r>
        <w:rPr>
          <w:b/>
          <w:bCs/>
        </w:rPr>
        <w:t xml:space="preserve">Voting / election-law clearance.</w:t>
      </w:r>
      <w:r>
        <w:t xml:space="preserve"> If civic input ever touches vendor selection, counsel has to clear it against election and open-meeting law and assign liability for a wrong include/exclude. We’re keeping it strictly advisory until then.</w:t>
      </w:r>
    </w:p>
    <w:p>
      <w:pPr>
        <w:pBdr>
          <w:bottom w:val="single" w:color="BBBBBB" w:sz="6" w:space="6"/>
        </w:pBdr>
        <w:spacing w:after="200" w:before="80"/>
      </w:pPr>
      <w:r>
        <w:t xml:space="preserve"/>
      </w:r>
    </w:p>
    <w:p>
      <w:pPr>
        <w:pStyle w:val="Heading1"/>
      </w:pPr>
      <w:r>
        <w:t xml:space="preserve">What we’ve already decided (so the materials aren’t blocked)</w:t>
      </w:r>
    </w:p>
    <w:p>
      <w:pPr>
        <w:spacing w:after="120"/>
      </w:pPr>
      <w:r>
        <w:t xml:space="preserve">These came up with no answer in your official docs, but the answer was clear enough that we proceeded — so your materials aren’t stuck waiting. </w:t>
      </w:r>
      <w:r>
        <w:rPr>
          <w:b/>
          <w:bCs/>
        </w:rPr>
        <w:t xml:space="preserve">Tick any you want changed; otherwise we keep them as-is.</w:t>
      </w:r>
    </w:p>
    <w:p>
      <w:pPr>
        <w:spacing w:after="100"/>
        <w:ind w:left="360" w:hanging="360"/>
      </w:pPr>
      <w:r>
        <w:rPr>
          <w:sz w:val="26"/>
          <w:szCs w:val="26"/>
        </w:rPr>
        <w:t xml:space="preserve">☐  </w:t>
      </w:r>
      <w:r>
        <w:rPr>
          <w:b/>
          <w:bCs/>
        </w:rPr>
        <w:t xml:space="preserve">v1.0 = your Release 1: USD workflow + public ledger, no cards yet.</w:t>
      </w:r>
      <w:r>
        <w:t xml:space="preserve"> Your roadmap already specs this; cards come next release. We’ve toned the product story (which treated cards as core) to match. Tick to ship cards in v1 instead.</w:t>
      </w:r>
    </w:p>
    <w:p>
      <w:pPr>
        <w:spacing w:after="100"/>
        <w:ind w:left="360" w:hanging="360"/>
      </w:pPr>
      <w:r>
        <w:rPr>
          <w:sz w:val="26"/>
          <w:szCs w:val="26"/>
        </w:rPr>
        <w:t xml:space="preserve">☐  </w:t>
      </w:r>
      <w:r>
        <w:rPr>
          <w:b/>
          <w:bCs/>
        </w:rPr>
        <w:t xml:space="preserve">We’ll demonstrate the out-of-scope decline.</w:t>
      </w:r>
      <w:r>
        <w:t xml:space="preserve"> The control is the differentiator and the demo only shows approvals — so we’ll show a purchase being refused (or use the card processor’s sandbox) so it’s proven, not just claimed.</w:t>
      </w:r>
    </w:p>
    <w:p>
      <w:pPr>
        <w:spacing w:after="100"/>
        <w:ind w:left="360" w:hanging="360"/>
      </w:pPr>
      <w:r>
        <w:rPr>
          <w:sz w:val="26"/>
          <w:szCs w:val="26"/>
        </w:rPr>
        <w:t xml:space="preserve">☐  </w:t>
      </w:r>
      <w:r>
        <w:rPr>
          <w:b/>
          <w:bCs/>
        </w:rPr>
        <w:t xml:space="preserve">Worker benefit = instant pay, no out-of-pocket, no paperwork — card framed as the vendor’s tool.</w:t>
      </w:r>
      <w:r>
        <w:t xml:space="preserve"> These are the only real worker upsides and they already exist in the model; we frame the card as vendor-administered so worker buy-in isn’t a dependency. Tick if you intend a direct worker incentive.</w:t>
      </w:r>
    </w:p>
    <w:p>
      <w:pPr>
        <w:spacing w:after="100"/>
        <w:ind w:left="360" w:hanging="360"/>
      </w:pPr>
      <w:r>
        <w:rPr>
          <w:sz w:val="26"/>
          <w:szCs w:val="26"/>
        </w:rPr>
        <w:t xml:space="preserve">☐  </w:t>
      </w:r>
      <w:r>
        <w:rPr>
          <w:b/>
          <w:bCs/>
        </w:rPr>
        <w:t xml:space="preserve">Transparency is built for oversight, not mass residents.</w:t>
      </w:r>
      <w:r>
        <w:t xml:space="preserve"> The real audience is local press, auditors, and the manager’s political cover; resident alerts/digests are optional upside, not a dependency. Tick if residents are meant to be the primary audience.</w:t>
      </w:r>
    </w:p>
    <w:p>
      <w:pPr>
        <w:spacing w:after="100"/>
        <w:ind w:left="360" w:hanging="360"/>
      </w:pPr>
      <w:r>
        <w:rPr>
          <w:sz w:val="26"/>
          <w:szCs w:val="26"/>
        </w:rPr>
        <w:t xml:space="preserve">☐  </w:t>
      </w:r>
      <w:r>
        <w:rPr>
          <w:b/>
          <w:bCs/>
        </w:rPr>
        <w:t xml:space="preserve">The pilot is positioned as the anti-stacking tool.</w:t>
      </w:r>
      <w:r>
        <w:t xml:space="preserve"> Maine’s top audit flag is sub-$5K “contract stacking”; instead of hiding from it, we lead with “this product is what catches stacking” and document the pilot as a single, non-recurring evaluation. Counsel to confirm wording.</w:t>
      </w:r>
    </w:p>
    <w:p>
      <w:pPr>
        <w:spacing w:after="100"/>
        <w:ind w:left="360" w:hanging="360"/>
      </w:pPr>
      <w:r>
        <w:rPr>
          <w:sz w:val="26"/>
          <w:szCs w:val="26"/>
        </w:rPr>
        <w:t xml:space="preserve">☐  </w:t>
      </w:r>
      <w:r>
        <w:rPr>
          <w:b/>
          <w:bCs/>
        </w:rPr>
        <w:t xml:space="preserve">Why-now leads with the auditor shortage + fraud fear.</w:t>
      </w:r>
      <w:r>
        <w:t xml:space="preserve"> The strongest, most Maine-specific catalysts; post-stimulus scrutiny and state funding sit behind them. Tick if your target towns feel a different pressure.</w:t>
      </w:r>
    </w:p>
    <w:p>
      <w:pPr>
        <w:pBdr>
          <w:bottom w:val="single" w:color="BBBBBB" w:sz="6" w:space="6"/>
        </w:pBdr>
        <w:spacing w:after="200" w:before="80"/>
      </w:pPr>
      <w:r>
        <w:t xml:space="preserve"/>
      </w:r>
    </w:p>
    <w:p>
      <w:pPr>
        <w:spacing w:before="80"/>
      </w:pPr>
      <w:r>
        <w:rPr>
          <w:i/>
          <w:iCs/>
        </w:rPr>
        <w:t xml:space="preserve">Seven decisions, four facts we need, six confirmations. Even partial answers move us forward — thank you.</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CivicChain — Decisions Only You Can Make    ·    Page </w:t>
    </w:r>
    <w:r>
      <w:rPr>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Calibri" w:cs="Calibri" w:eastAsia="Calibri" w:hAnsi="Calibri"/>
      <w:b/>
      <w:bCs/>
      <w:color w:val="2E5A88"/>
      <w:sz w:val="30"/>
      <w:szCs w:val="30"/>
    </w:rPr>
  </w:style>
  <w:style w:type="paragraph" w:styleId="Heading2">
    <w:name w:val="Heading 2"/>
    <w:basedOn w:val="Normal"/>
    <w:next w:val="Normal"/>
    <w:qFormat/>
    <w:pPr>
      <w:spacing w:after="120" w:before="220"/>
      <w:outlineLvl w:val="1"/>
    </w:pPr>
    <w:rPr>
      <w:rFonts w:ascii="Calibri" w:cs="Calibri" w:eastAsia="Calibri" w:hAnsi="Calibri"/>
      <w:b/>
      <w:bCs/>
      <w:color w:val="1F1F1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2026-06-03T13:59:52.957Z</dcterms:created>
  <dcterms:modified xsi:type="dcterms:W3CDTF">2026-06-03T13:59:52.957Z</dcterms:modified>
</cp:coreProperties>
</file>

<file path=docProps/custom.xml><?xml version="1.0" encoding="utf-8"?>
<Properties xmlns="http://schemas.openxmlformats.org/officeDocument/2006/custom-properties" xmlns:vt="http://schemas.openxmlformats.org/officeDocument/2006/docPropsVTypes"/>
</file>