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089FC" w14:textId="7D7E1F1C" w:rsidR="00B4360F" w:rsidRDefault="00D401BB">
      <w:r w:rsidRPr="00D401BB">
        <w:t xml:space="preserve">I would like to present a summary of my key accomplishments and contributions across training delivery, AI enablement, automation transformation, and </w:t>
      </w:r>
      <w:r w:rsidRPr="00D401BB">
        <w:rPr>
          <w:b/>
          <w:bCs/>
        </w:rPr>
        <w:t>technical excellence and upskilling</w:t>
      </w:r>
      <w:r w:rsidRPr="00D401BB">
        <w:t>.</w:t>
      </w:r>
    </w:p>
    <w:p w14:paraId="11126A6D" w14:textId="52041EFB" w:rsidR="00D401BB" w:rsidRDefault="00D401BB">
      <w:r w:rsidRPr="00D401BB">
        <w:t>Over the past year, I consistently delivered more than 30 hours of technical training every month while maintaining an average learner feedback score of 4.5 and above. The trainings covered a wide range of technologies including Java, UI technologies, Selenium, Playwright, AWS, Git, Docker, Kubernetes, Cucumber, JavaScript, and TypeScript.</w:t>
      </w:r>
    </w:p>
    <w:p w14:paraId="124C815C" w14:textId="33FC70B7" w:rsidR="00D401BB" w:rsidRDefault="00D401BB">
      <w:r w:rsidRPr="00D401BB">
        <w:t>A major focus area was driving AI-first learning and automation enablement. I delivered AI-enabled training programs on GenAI, GitHub Copilot, Playwright, Selenium, Java, SDET practices, and Cloud technologies. I also completed the GitHub Copilot certification and contributed toward improving automation productivity through AI-assisted development practices.</w:t>
      </w:r>
    </w:p>
    <w:p w14:paraId="5ECFDFBC" w14:textId="325713D2" w:rsidR="00D401BB" w:rsidRDefault="00D401BB">
      <w:r w:rsidRPr="00D401BB">
        <w:t xml:space="preserve">I also led multiple account-specific enablement initiatives. This included automation transformation programs for </w:t>
      </w:r>
      <w:proofErr w:type="spellStart"/>
      <w:r w:rsidRPr="00D401BB">
        <w:t>PetValu</w:t>
      </w:r>
      <w:proofErr w:type="spellEnd"/>
      <w:r w:rsidRPr="00D401BB">
        <w:t xml:space="preserve"> and </w:t>
      </w:r>
      <w:proofErr w:type="spellStart"/>
      <w:r w:rsidRPr="00D401BB">
        <w:t>Trisept</w:t>
      </w:r>
      <w:proofErr w:type="spellEnd"/>
      <w:r w:rsidRPr="00D401BB">
        <w:t>, as well as Playwright upskilling initiatives for the HP account. Across these initiatives, I ensured more than 95% on-time completion and focused on improving deployment readiness.</w:t>
      </w:r>
    </w:p>
    <w:p w14:paraId="4F37A80E" w14:textId="77777777" w:rsidR="00D401BB" w:rsidRDefault="00D401BB"/>
    <w:p w14:paraId="47DDD7EF" w14:textId="076EE6DF" w:rsidR="00D401BB" w:rsidRDefault="00D401BB">
      <w:r w:rsidRPr="00D401BB">
        <w:t xml:space="preserve">In addition to training delivery, I successfully led multiple workforce readiness and talent transformation initiatives, including Train &amp; Deploy programs, pool upskilling and reskilling efforts, structured bootcamps, </w:t>
      </w:r>
      <w:proofErr w:type="spellStart"/>
      <w:r w:rsidRPr="00D401BB">
        <w:t>Coderbyte</w:t>
      </w:r>
      <w:proofErr w:type="spellEnd"/>
      <w:r w:rsidRPr="00D401BB">
        <w:t xml:space="preserve"> assessments, technical evaluations, hands-on labs, proof-of-concept (PoC) implementations, and project-based learning engagements. </w:t>
      </w:r>
    </w:p>
    <w:p w14:paraId="2490D970" w14:textId="741472D5" w:rsidR="00D401BB" w:rsidRDefault="00D401BB">
      <w:r w:rsidRPr="00D401BB">
        <w:t xml:space="preserve">Another important contribution area was </w:t>
      </w:r>
      <w:proofErr w:type="spellStart"/>
      <w:r>
        <w:t>desinging</w:t>
      </w:r>
      <w:proofErr w:type="spellEnd"/>
      <w:r w:rsidRPr="00D401BB">
        <w:t xml:space="preserve"> structured learning ecosystems. I </w:t>
      </w:r>
      <w:r>
        <w:t>designed</w:t>
      </w:r>
      <w:r w:rsidRPr="00D401BB">
        <w:t xml:space="preserve"> learning paths, assessment frameworks, certification journeys, and technical academies across Cloud, AI/ML, GenAI, Data Engineering, DevOps, Java, and SDET domains.</w:t>
      </w:r>
    </w:p>
    <w:p w14:paraId="30656F2A" w14:textId="77777777" w:rsidR="00D401BB" w:rsidRDefault="00D401BB">
      <w:r w:rsidRPr="00D401BB">
        <w:t xml:space="preserve">On the operational side, I supported learning governance activities through learner tracking, reporting, assessment monitoring, certification tracking, stakeholder </w:t>
      </w:r>
      <w:proofErr w:type="spellStart"/>
      <w:proofErr w:type="gramStart"/>
      <w:r w:rsidRPr="00D401BB">
        <w:t>coordination,</w:t>
      </w:r>
      <w:r>
        <w:t>and</w:t>
      </w:r>
      <w:proofErr w:type="spellEnd"/>
      <w:proofErr w:type="gramEnd"/>
      <w:r>
        <w:t xml:space="preserve"> </w:t>
      </w:r>
      <w:r w:rsidRPr="00D401BB">
        <w:t xml:space="preserve"> and overall L&amp;D operational support.</w:t>
      </w:r>
    </w:p>
    <w:p w14:paraId="2EEAF968" w14:textId="2A077431" w:rsidR="00D401BB" w:rsidRDefault="00D401BB">
      <w:r w:rsidRPr="00D401BB">
        <w:t>I served as the primary point of contact (SPOC) for the SDET and AWS Cloud practice areas, collaborating closely with stakeholders to ensure seamless execution of learning initiatives and alignment with business objectives.</w:t>
      </w:r>
    </w:p>
    <w:p w14:paraId="71002FCA" w14:textId="77777777" w:rsidR="00D401BB" w:rsidRDefault="00D401BB"/>
    <w:p w14:paraId="5A21F597" w14:textId="13517BEE" w:rsidR="00421B17" w:rsidRDefault="00421B17">
      <w:r w:rsidRPr="00421B17">
        <w:t xml:space="preserve">Going forward, my focus will be on scaling AI-driven learning and enablement, accelerating GenAI adoption, strengthening Cloud and AI capabilities, enhancing </w:t>
      </w:r>
      <w:r w:rsidRPr="00421B17">
        <w:lastRenderedPageBreak/>
        <w:t xml:space="preserve">deployment readiness, and driving automation transformation aligned with business priorities. Key priorities include delivering AI-enabled training across GenAI, Copilot, Playwright, Selenium, Java, UI, SDET, and Cloud technologies; ensuring 95%+ on-time completion for account-specific deliveries and BCT/pool programs; building expertise in Data Engineering, </w:t>
      </w:r>
      <w:proofErr w:type="spellStart"/>
      <w:r w:rsidRPr="00421B17">
        <w:t>PySpark</w:t>
      </w:r>
      <w:proofErr w:type="spellEnd"/>
      <w:r w:rsidRPr="00421B17">
        <w:t>, AI/ML, AWS Cloud, and Agentic AI; and co-owning certification enablement through structured dashboards, tracking, and reporting to improve partner and organizational capability visibility.</w:t>
      </w:r>
    </w:p>
    <w:p w14:paraId="427E874F" w14:textId="77777777" w:rsidR="00421B17" w:rsidRDefault="00421B17"/>
    <w:sectPr w:rsidR="00421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1BB"/>
    <w:rsid w:val="00421B17"/>
    <w:rsid w:val="004563F2"/>
    <w:rsid w:val="00776F11"/>
    <w:rsid w:val="00B4360F"/>
    <w:rsid w:val="00D17BF6"/>
    <w:rsid w:val="00D40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0DFB6"/>
  <w15:chartTrackingRefBased/>
  <w15:docId w15:val="{18B4E03E-AB8A-489B-AAFF-2031D108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1BB"/>
    <w:rPr>
      <w:rFonts w:eastAsiaTheme="majorEastAsia" w:cstheme="majorBidi"/>
      <w:color w:val="272727" w:themeColor="text1" w:themeTint="D8"/>
    </w:rPr>
  </w:style>
  <w:style w:type="paragraph" w:styleId="Title">
    <w:name w:val="Title"/>
    <w:basedOn w:val="Normal"/>
    <w:next w:val="Normal"/>
    <w:link w:val="TitleChar"/>
    <w:uiPriority w:val="10"/>
    <w:qFormat/>
    <w:rsid w:val="00D40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1BB"/>
    <w:pPr>
      <w:spacing w:before="160"/>
      <w:jc w:val="center"/>
    </w:pPr>
    <w:rPr>
      <w:i/>
      <w:iCs/>
      <w:color w:val="404040" w:themeColor="text1" w:themeTint="BF"/>
    </w:rPr>
  </w:style>
  <w:style w:type="character" w:customStyle="1" w:styleId="QuoteChar">
    <w:name w:val="Quote Char"/>
    <w:basedOn w:val="DefaultParagraphFont"/>
    <w:link w:val="Quote"/>
    <w:uiPriority w:val="29"/>
    <w:rsid w:val="00D401BB"/>
    <w:rPr>
      <w:i/>
      <w:iCs/>
      <w:color w:val="404040" w:themeColor="text1" w:themeTint="BF"/>
    </w:rPr>
  </w:style>
  <w:style w:type="paragraph" w:styleId="ListParagraph">
    <w:name w:val="List Paragraph"/>
    <w:basedOn w:val="Normal"/>
    <w:uiPriority w:val="34"/>
    <w:qFormat/>
    <w:rsid w:val="00D401BB"/>
    <w:pPr>
      <w:ind w:left="720"/>
      <w:contextualSpacing/>
    </w:pPr>
  </w:style>
  <w:style w:type="character" w:styleId="IntenseEmphasis">
    <w:name w:val="Intense Emphasis"/>
    <w:basedOn w:val="DefaultParagraphFont"/>
    <w:uiPriority w:val="21"/>
    <w:qFormat/>
    <w:rsid w:val="00D401BB"/>
    <w:rPr>
      <w:i/>
      <w:iCs/>
      <w:color w:val="0F4761" w:themeColor="accent1" w:themeShade="BF"/>
    </w:rPr>
  </w:style>
  <w:style w:type="paragraph" w:styleId="IntenseQuote">
    <w:name w:val="Intense Quote"/>
    <w:basedOn w:val="Normal"/>
    <w:next w:val="Normal"/>
    <w:link w:val="IntenseQuoteChar"/>
    <w:uiPriority w:val="30"/>
    <w:qFormat/>
    <w:rsid w:val="00D40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1BB"/>
    <w:rPr>
      <w:i/>
      <w:iCs/>
      <w:color w:val="0F4761" w:themeColor="accent1" w:themeShade="BF"/>
    </w:rPr>
  </w:style>
  <w:style w:type="character" w:styleId="IntenseReference">
    <w:name w:val="Intense Reference"/>
    <w:basedOn w:val="DefaultParagraphFont"/>
    <w:uiPriority w:val="32"/>
    <w:qFormat/>
    <w:rsid w:val="00D401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Trivedi</dc:creator>
  <cp:keywords/>
  <dc:description/>
  <cp:lastModifiedBy>Ashutosh Trivedi</cp:lastModifiedBy>
  <cp:revision>1</cp:revision>
  <dcterms:created xsi:type="dcterms:W3CDTF">2026-06-02T12:35:00Z</dcterms:created>
  <dcterms:modified xsi:type="dcterms:W3CDTF">2026-06-02T12:49:00Z</dcterms:modified>
</cp:coreProperties>
</file>