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DC4" w:rsidRDefault="00000000">
      <w:pPr>
        <w:spacing w:after="1263" w:line="259" w:lineRule="auto"/>
        <w:ind w:left="211" w:firstLine="0"/>
      </w:pPr>
      <w:r>
        <w:rPr>
          <w:noProof/>
        </w:rPr>
        <w:drawing>
          <wp:inline distT="0" distB="0" distL="0" distR="0">
            <wp:extent cx="5138928" cy="1484376"/>
            <wp:effectExtent l="0" t="0" r="0" b="0"/>
            <wp:docPr id="7951" name="Picture 7951"/>
            <wp:cNvGraphicFramePr/>
            <a:graphic xmlns:a="http://schemas.openxmlformats.org/drawingml/2006/main">
              <a:graphicData uri="http://schemas.openxmlformats.org/drawingml/2006/picture">
                <pic:pic xmlns:pic="http://schemas.openxmlformats.org/drawingml/2006/picture">
                  <pic:nvPicPr>
                    <pic:cNvPr id="7951" name="Picture 7951"/>
                    <pic:cNvPicPr/>
                  </pic:nvPicPr>
                  <pic:blipFill>
                    <a:blip r:embed="rId7"/>
                    <a:stretch>
                      <a:fillRect/>
                    </a:stretch>
                  </pic:blipFill>
                  <pic:spPr>
                    <a:xfrm>
                      <a:off x="0" y="0"/>
                      <a:ext cx="5138928" cy="1484376"/>
                    </a:xfrm>
                    <a:prstGeom prst="rect">
                      <a:avLst/>
                    </a:prstGeom>
                  </pic:spPr>
                </pic:pic>
              </a:graphicData>
            </a:graphic>
          </wp:inline>
        </w:drawing>
      </w:r>
    </w:p>
    <w:p w:rsidR="009B0DC4" w:rsidRDefault="00000000">
      <w:pPr>
        <w:spacing w:after="82" w:line="272" w:lineRule="auto"/>
        <w:ind w:left="2443" w:hanging="2215"/>
      </w:pPr>
      <w:r>
        <w:rPr>
          <w:sz w:val="34"/>
        </w:rPr>
        <w:t xml:space="preserve">A Case Study in </w:t>
      </w:r>
      <w:proofErr w:type="gramStart"/>
      <w:r>
        <w:rPr>
          <w:sz w:val="34"/>
        </w:rPr>
        <w:t>Open Source</w:t>
      </w:r>
      <w:proofErr w:type="gramEnd"/>
      <w:r>
        <w:rPr>
          <w:sz w:val="34"/>
        </w:rPr>
        <w:t xml:space="preserve"> </w:t>
      </w:r>
      <w:proofErr w:type="gramStart"/>
      <w:r>
        <w:rPr>
          <w:sz w:val="34"/>
        </w:rPr>
        <w:t>Governance ,</w:t>
      </w:r>
      <w:proofErr w:type="gramEnd"/>
      <w:r>
        <w:rPr>
          <w:sz w:val="34"/>
        </w:rPr>
        <w:t xml:space="preserve"> Community and the Ethics of Control </w:t>
      </w:r>
    </w:p>
    <w:p w:rsidR="009B0DC4" w:rsidRDefault="00000000">
      <w:pPr>
        <w:spacing w:after="170" w:line="259" w:lineRule="auto"/>
        <w:ind w:left="58" w:firstLine="0"/>
        <w:jc w:val="center"/>
      </w:pPr>
      <w:r>
        <w:rPr>
          <w:sz w:val="26"/>
        </w:rPr>
        <w:t xml:space="preserve"> </w:t>
      </w:r>
    </w:p>
    <w:p w:rsidR="009B0DC4" w:rsidRDefault="00000000">
      <w:pPr>
        <w:spacing w:after="342" w:line="259" w:lineRule="auto"/>
        <w:ind w:left="58" w:firstLine="0"/>
        <w:jc w:val="center"/>
      </w:pPr>
      <w:r>
        <w:rPr>
          <w:sz w:val="26"/>
        </w:rPr>
        <w:t xml:space="preserve"> </w:t>
      </w:r>
    </w:p>
    <w:p w:rsidR="009B0DC4" w:rsidRDefault="00000000">
      <w:pPr>
        <w:spacing w:after="179" w:line="259" w:lineRule="auto"/>
        <w:ind w:left="96" w:firstLine="0"/>
        <w:jc w:val="center"/>
      </w:pPr>
      <w:r>
        <w:rPr>
          <w:sz w:val="45"/>
        </w:rPr>
        <w:t xml:space="preserve"> </w:t>
      </w:r>
    </w:p>
    <w:p w:rsidR="009B0DC4" w:rsidRDefault="00000000">
      <w:pPr>
        <w:spacing w:after="181" w:line="259" w:lineRule="auto"/>
        <w:ind w:left="17"/>
        <w:jc w:val="center"/>
      </w:pPr>
      <w:r>
        <w:rPr>
          <w:sz w:val="45"/>
        </w:rPr>
        <w:t xml:space="preserve">Student Name: </w:t>
      </w:r>
      <w:r>
        <w:rPr>
          <w:color w:val="0070C0"/>
          <w:sz w:val="45"/>
        </w:rPr>
        <w:t xml:space="preserve"> </w:t>
      </w:r>
      <w:r>
        <w:rPr>
          <w:sz w:val="45"/>
        </w:rPr>
        <w:t xml:space="preserve"> </w:t>
      </w:r>
      <w:r w:rsidR="006848C1">
        <w:rPr>
          <w:sz w:val="45"/>
        </w:rPr>
        <w:t>AARAV TRIVEDI</w:t>
      </w:r>
    </w:p>
    <w:p w:rsidR="009B0DC4" w:rsidRDefault="00000000">
      <w:pPr>
        <w:spacing w:after="181" w:line="259" w:lineRule="auto"/>
        <w:ind w:left="17" w:right="3"/>
        <w:jc w:val="center"/>
      </w:pPr>
      <w:r>
        <w:rPr>
          <w:sz w:val="45"/>
        </w:rPr>
        <w:t xml:space="preserve">Reg. No: </w:t>
      </w:r>
      <w:r>
        <w:rPr>
          <w:color w:val="0070C0"/>
          <w:sz w:val="45"/>
        </w:rPr>
        <w:t>24BA</w:t>
      </w:r>
      <w:r w:rsidR="006848C1">
        <w:rPr>
          <w:color w:val="0070C0"/>
          <w:sz w:val="45"/>
        </w:rPr>
        <w:t>I</w:t>
      </w:r>
      <w:r>
        <w:rPr>
          <w:color w:val="0070C0"/>
          <w:sz w:val="45"/>
        </w:rPr>
        <w:t>10</w:t>
      </w:r>
      <w:r w:rsidR="006848C1">
        <w:rPr>
          <w:color w:val="0070C0"/>
          <w:sz w:val="45"/>
        </w:rPr>
        <w:t>671</w:t>
      </w:r>
      <w:r>
        <w:rPr>
          <w:color w:val="0070C0"/>
          <w:sz w:val="45"/>
        </w:rPr>
        <w:t xml:space="preserve"> </w:t>
      </w:r>
    </w:p>
    <w:p w:rsidR="009B0DC4" w:rsidRDefault="00000000">
      <w:pPr>
        <w:spacing w:after="30" w:line="259" w:lineRule="auto"/>
        <w:ind w:left="180" w:firstLine="0"/>
      </w:pPr>
      <w:r>
        <w:rPr>
          <w:sz w:val="45"/>
        </w:rPr>
        <w:t xml:space="preserve">Course: </w:t>
      </w:r>
      <w:r>
        <w:rPr>
          <w:color w:val="0070C0"/>
          <w:sz w:val="45"/>
        </w:rPr>
        <w:t xml:space="preserve">CSE0002 - </w:t>
      </w:r>
      <w:proofErr w:type="gramStart"/>
      <w:r>
        <w:rPr>
          <w:color w:val="0070C0"/>
          <w:sz w:val="45"/>
        </w:rPr>
        <w:t>Open Source</w:t>
      </w:r>
      <w:proofErr w:type="gramEnd"/>
      <w:r>
        <w:rPr>
          <w:color w:val="0070C0"/>
          <w:sz w:val="45"/>
        </w:rPr>
        <w:t xml:space="preserve"> Software </w:t>
      </w:r>
    </w:p>
    <w:p w:rsidR="009B0DC4" w:rsidRDefault="00000000">
      <w:pPr>
        <w:spacing w:after="74" w:line="259" w:lineRule="auto"/>
        <w:ind w:left="17" w:right="7"/>
        <w:jc w:val="center"/>
      </w:pPr>
      <w:r>
        <w:rPr>
          <w:color w:val="0070C0"/>
          <w:sz w:val="45"/>
        </w:rPr>
        <w:t xml:space="preserve">(Linux Administration) </w:t>
      </w:r>
    </w:p>
    <w:p w:rsidR="009B0DC4" w:rsidRDefault="00000000">
      <w:pPr>
        <w:spacing w:after="173" w:line="259" w:lineRule="auto"/>
        <w:ind w:left="0" w:firstLine="0"/>
      </w:pPr>
      <w:r>
        <w:rPr>
          <w:sz w:val="34"/>
        </w:rPr>
        <w:t xml:space="preserve"> </w:t>
      </w:r>
    </w:p>
    <w:p w:rsidR="009B0DC4" w:rsidRDefault="00000000">
      <w:pPr>
        <w:spacing w:after="175" w:line="259" w:lineRule="auto"/>
        <w:ind w:left="0" w:firstLine="0"/>
      </w:pPr>
      <w:r>
        <w:rPr>
          <w:sz w:val="34"/>
        </w:rPr>
        <w:t xml:space="preserve"> </w:t>
      </w:r>
    </w:p>
    <w:p w:rsidR="009B0DC4" w:rsidRDefault="00000000">
      <w:pPr>
        <w:spacing w:after="173" w:line="259" w:lineRule="auto"/>
        <w:ind w:left="0" w:firstLine="0"/>
      </w:pPr>
      <w:r>
        <w:rPr>
          <w:sz w:val="34"/>
        </w:rPr>
        <w:t xml:space="preserve"> </w:t>
      </w:r>
    </w:p>
    <w:p w:rsidR="009B0DC4" w:rsidRDefault="00000000">
      <w:pPr>
        <w:spacing w:after="175" w:line="259" w:lineRule="auto"/>
        <w:ind w:left="0" w:firstLine="0"/>
      </w:pPr>
      <w:r>
        <w:rPr>
          <w:sz w:val="34"/>
        </w:rPr>
        <w:t xml:space="preserve"> </w:t>
      </w:r>
    </w:p>
    <w:p w:rsidR="009B0DC4" w:rsidRDefault="00000000">
      <w:pPr>
        <w:spacing w:after="173" w:line="259" w:lineRule="auto"/>
        <w:ind w:left="0" w:firstLine="0"/>
      </w:pPr>
      <w:r>
        <w:rPr>
          <w:sz w:val="34"/>
        </w:rPr>
        <w:t xml:space="preserve"> </w:t>
      </w:r>
    </w:p>
    <w:p w:rsidR="009B0DC4" w:rsidRDefault="00000000">
      <w:pPr>
        <w:spacing w:after="0" w:line="259" w:lineRule="auto"/>
        <w:ind w:left="0" w:firstLine="0"/>
      </w:pPr>
      <w:r>
        <w:rPr>
          <w:sz w:val="34"/>
        </w:rPr>
        <w:t xml:space="preserve"> </w:t>
      </w:r>
    </w:p>
    <w:p w:rsidR="009B0DC4" w:rsidRDefault="00000000">
      <w:pPr>
        <w:pStyle w:val="Heading1"/>
        <w:ind w:left="-5"/>
      </w:pPr>
      <w:r>
        <w:t>Section A — Establishing the Context</w:t>
      </w:r>
      <w:r>
        <w:rPr>
          <w:u w:val="none"/>
        </w:rPr>
        <w:t xml:space="preserve"> </w:t>
      </w:r>
    </w:p>
    <w:p w:rsidR="009B0DC4" w:rsidRDefault="00000000">
      <w:pPr>
        <w:spacing w:after="152" w:line="273" w:lineRule="auto"/>
        <w:ind w:left="-5"/>
      </w:pPr>
      <w:r>
        <w:rPr>
          <w:sz w:val="23"/>
        </w:rPr>
        <w:t xml:space="preserve">To understand how and why </w:t>
      </w:r>
      <w:proofErr w:type="spellStart"/>
      <w:r>
        <w:rPr>
          <w:sz w:val="23"/>
        </w:rPr>
        <w:t>LibreO</w:t>
      </w:r>
      <w:proofErr w:type="spellEnd"/>
      <w:r>
        <w:rPr>
          <w:sz w:val="23"/>
        </w:rPr>
        <w:tab/>
        <w:t xml:space="preserve">ice came into existence, one must look beyond the immediate drama of a corporate acquisition and examine the deeper structural faultlines that had long existed within the </w:t>
      </w:r>
      <w:proofErr w:type="spellStart"/>
      <w:r>
        <w:rPr>
          <w:sz w:val="23"/>
        </w:rPr>
        <w:t>OpenO</w:t>
      </w:r>
      <w:proofErr w:type="spellEnd"/>
      <w:r>
        <w:rPr>
          <w:sz w:val="23"/>
        </w:rPr>
        <w:tab/>
        <w:t xml:space="preserve">ice.org project. The birth of </w:t>
      </w:r>
      <w:proofErr w:type="spellStart"/>
      <w:r>
        <w:rPr>
          <w:sz w:val="23"/>
        </w:rPr>
        <w:t>LibreO</w:t>
      </w:r>
      <w:proofErr w:type="spellEnd"/>
      <w:r>
        <w:rPr>
          <w:sz w:val="23"/>
        </w:rPr>
        <w:tab/>
        <w:t xml:space="preserve">ice in 2010 </w:t>
      </w:r>
      <w:r>
        <w:rPr>
          <w:sz w:val="23"/>
        </w:rPr>
        <w:lastRenderedPageBreak/>
        <w:t xml:space="preserve">was not a spontaneous rebellion — it was the inevitable consequence of a governance model that had never truly belonged to the community that built it.  </w:t>
      </w:r>
    </w:p>
    <w:p w:rsidR="009B0DC4" w:rsidRDefault="00000000">
      <w:pPr>
        <w:pStyle w:val="Heading2"/>
        <w:ind w:left="-5"/>
      </w:pPr>
      <w:r>
        <w:t xml:space="preserve">A.1 — The Structural Fault: Copyright Assignment as a Ticking Clock  </w:t>
      </w:r>
    </w:p>
    <w:p w:rsidR="009B0DC4" w:rsidRDefault="00000000">
      <w:pPr>
        <w:spacing w:after="152" w:line="273" w:lineRule="auto"/>
        <w:ind w:left="-5"/>
      </w:pPr>
      <w:r>
        <w:rPr>
          <w:sz w:val="23"/>
        </w:rPr>
        <w:t xml:space="preserve">When Sun Microsystems released the </w:t>
      </w:r>
      <w:proofErr w:type="spellStart"/>
      <w:r>
        <w:rPr>
          <w:sz w:val="23"/>
        </w:rPr>
        <w:t>StarO</w:t>
      </w:r>
      <w:proofErr w:type="spellEnd"/>
      <w:r>
        <w:rPr>
          <w:sz w:val="23"/>
        </w:rPr>
        <w:tab/>
        <w:t xml:space="preserve">ice codebase as </w:t>
      </w:r>
      <w:proofErr w:type="spellStart"/>
      <w:r>
        <w:rPr>
          <w:sz w:val="23"/>
        </w:rPr>
        <w:t>OpenO</w:t>
      </w:r>
      <w:proofErr w:type="spellEnd"/>
      <w:r>
        <w:rPr>
          <w:sz w:val="23"/>
        </w:rPr>
        <w:tab/>
        <w:t xml:space="preserve">ice.org in 2000, it made a choice that would define the project's political character for the next decade: it retained centralised legal control by requiring every external contributor to sign a Joint Copyright Assignment (JCA) agreement. This meant that a developer who spent their evenings fixing a bug or writing a new feature did not, in the end, own that contribution. Sun did. Or more precisely, Sun and the contributor held joint copyright — but in practice, only Sun could commercially exploit or relicense the work.  </w:t>
      </w:r>
    </w:p>
    <w:p w:rsidR="009B0DC4" w:rsidRDefault="00000000">
      <w:pPr>
        <w:spacing w:after="152" w:line="273" w:lineRule="auto"/>
        <w:ind w:left="-5"/>
      </w:pPr>
      <w:r>
        <w:rPr>
          <w:sz w:val="23"/>
        </w:rPr>
        <w:t xml:space="preserve">On the surface this looked like administrative tidiness: a single copyright holder makes license enforcement and legal defence simpler. In reality, it created a structural asymmetry at the heart of the project. The community supplied the labour; a corporation held the asset. So long as that corporation was Sun — an organisation with genuine, if complicated, </w:t>
      </w:r>
      <w:proofErr w:type="gramStart"/>
      <w:r>
        <w:rPr>
          <w:sz w:val="23"/>
        </w:rPr>
        <w:t>open source</w:t>
      </w:r>
      <w:proofErr w:type="gramEnd"/>
      <w:r>
        <w:rPr>
          <w:sz w:val="23"/>
        </w:rPr>
        <w:t xml:space="preserve"> sympathies — the arrangement was tolerable. The moment the legal owner changed, the entire volunteer workforce would find itself in an involuntary relationship with whoever Oracle, or anyone else, chose to become.  </w:t>
      </w:r>
    </w:p>
    <w:p w:rsidR="009B0DC4" w:rsidRDefault="00000000">
      <w:pPr>
        <w:spacing w:after="152" w:line="273" w:lineRule="auto"/>
        <w:ind w:left="-5"/>
      </w:pPr>
      <w:r>
        <w:rPr>
          <w:sz w:val="23"/>
        </w:rPr>
        <w:t xml:space="preserve">The fork did not become possible in 2010. It became inevitable the day the first JCA was signed. Oracle only moved up the timetable. </w:t>
      </w:r>
    </w:p>
    <w:p w:rsidR="009B0DC4" w:rsidRDefault="00000000">
      <w:pPr>
        <w:pStyle w:val="Heading2"/>
        <w:ind w:left="-5"/>
      </w:pPr>
      <w:r>
        <w:t xml:space="preserve">A.2 — Why Oracle Was the Trigger, Not Sun  </w:t>
      </w:r>
    </w:p>
    <w:p w:rsidR="009B0DC4" w:rsidRDefault="00000000">
      <w:pPr>
        <w:spacing w:after="152" w:line="273" w:lineRule="auto"/>
        <w:ind w:left="-5"/>
      </w:pPr>
      <w:r>
        <w:rPr>
          <w:sz w:val="23"/>
        </w:rPr>
        <w:t>The copyright assignment problem had existed for years under Sun, yet the developer community largely stayed. This seems paradoxical until one understands the di</w:t>
      </w:r>
      <w:r>
        <w:rPr>
          <w:sz w:val="23"/>
        </w:rPr>
        <w:tab/>
      </w:r>
      <w:proofErr w:type="spellStart"/>
      <w:r>
        <w:rPr>
          <w:sz w:val="23"/>
        </w:rPr>
        <w:t>erence</w:t>
      </w:r>
      <w:proofErr w:type="spellEnd"/>
      <w:r>
        <w:rPr>
          <w:sz w:val="23"/>
        </w:rPr>
        <w:t xml:space="preserve"> between a latent risk and an activated one. Under Sun, the structural problem was visible but dormant: Sun moved slowly, bureaucratic friction frustrated contributors, and the pace of development was often criticised — but Sun had a cultural identity that included open source as a genuine value, not merely an instrument. Developers could tell themselves the risk was theoretical.  </w:t>
      </w:r>
    </w:p>
    <w:p w:rsidR="009B0DC4" w:rsidRDefault="00000000">
      <w:pPr>
        <w:spacing w:after="152" w:line="273" w:lineRule="auto"/>
        <w:ind w:left="-5"/>
      </w:pPr>
      <w:r>
        <w:rPr>
          <w:sz w:val="23"/>
        </w:rPr>
        <w:t xml:space="preserve">Oracle's arrival in January 2010 transformed the theoretical into the concrete. Oracle was not a company known for </w:t>
      </w:r>
      <w:proofErr w:type="gramStart"/>
      <w:r>
        <w:rPr>
          <w:sz w:val="23"/>
        </w:rPr>
        <w:t>open source</w:t>
      </w:r>
      <w:proofErr w:type="gramEnd"/>
      <w:r>
        <w:rPr>
          <w:sz w:val="23"/>
        </w:rPr>
        <w:t xml:space="preserve"> stewardship — it was known for aggressive intellectual property enforcement, as its lawsuit against Google over Java's use in Android almost immediately demonstrated. When developers read the news of the acquisition and asked themselves, 'Who now holds the rights to my contributed code?', the answer was an organisation that had just demonstrated willingness to </w:t>
      </w:r>
      <w:proofErr w:type="spellStart"/>
      <w:r>
        <w:rPr>
          <w:sz w:val="23"/>
        </w:rPr>
        <w:t>weaponise</w:t>
      </w:r>
      <w:proofErr w:type="spellEnd"/>
      <w:r>
        <w:rPr>
          <w:sz w:val="23"/>
        </w:rPr>
        <w:t xml:space="preserve"> those rights in court. </w:t>
      </w:r>
    </w:p>
    <w:p w:rsidR="009B0DC4" w:rsidRDefault="00000000">
      <w:pPr>
        <w:spacing w:after="152" w:line="273" w:lineRule="auto"/>
        <w:ind w:left="-5"/>
      </w:pPr>
      <w:r>
        <w:rPr>
          <w:sz w:val="23"/>
        </w:rPr>
        <w:t xml:space="preserve"> Furthermore, Oracle's behaviour toward the </w:t>
      </w:r>
      <w:proofErr w:type="spellStart"/>
      <w:r>
        <w:rPr>
          <w:sz w:val="23"/>
        </w:rPr>
        <w:t>OpenO</w:t>
      </w:r>
      <w:proofErr w:type="spellEnd"/>
      <w:r>
        <w:rPr>
          <w:sz w:val="23"/>
        </w:rPr>
        <w:tab/>
        <w:t xml:space="preserve">ice.org community was not one of malicious intent so much as </w:t>
      </w:r>
      <w:proofErr w:type="spellStart"/>
      <w:r>
        <w:rPr>
          <w:sz w:val="23"/>
        </w:rPr>
        <w:t>indi</w:t>
      </w:r>
      <w:proofErr w:type="spellEnd"/>
      <w:r>
        <w:rPr>
          <w:sz w:val="23"/>
        </w:rPr>
        <w:tab/>
      </w:r>
      <w:proofErr w:type="spellStart"/>
      <w:r>
        <w:rPr>
          <w:sz w:val="23"/>
        </w:rPr>
        <w:t>erent</w:t>
      </w:r>
      <w:proofErr w:type="spellEnd"/>
      <w:r>
        <w:rPr>
          <w:sz w:val="23"/>
        </w:rPr>
        <w:t xml:space="preserve"> commercialism. It launched Oracle Open O</w:t>
      </w:r>
      <w:r>
        <w:rPr>
          <w:sz w:val="23"/>
        </w:rPr>
        <w:tab/>
        <w:t xml:space="preserve">ice — a branded, commercial version built on the community's work. Communication became sparse. The community was no longer a stakeholder to be consulted; it was a resource to be used. That shift in posture, more than any single decision, broke the implicit social contract that had kept contributors signing JCAs under Sun. </w:t>
      </w:r>
    </w:p>
    <w:p w:rsidR="009B0DC4" w:rsidRDefault="00000000">
      <w:pPr>
        <w:pStyle w:val="Heading2"/>
        <w:ind w:left="-5"/>
      </w:pPr>
      <w:r>
        <w:lastRenderedPageBreak/>
        <w:t xml:space="preserve">A.3 — Legal Openness Versus Practical Openness  </w:t>
      </w:r>
    </w:p>
    <w:p w:rsidR="009B0DC4" w:rsidRDefault="00000000">
      <w:pPr>
        <w:spacing w:after="152" w:line="273" w:lineRule="auto"/>
        <w:ind w:left="-5"/>
      </w:pPr>
      <w:r>
        <w:rPr>
          <w:sz w:val="23"/>
        </w:rPr>
        <w:t xml:space="preserve">One of the most instructive aspects of the </w:t>
      </w:r>
      <w:proofErr w:type="spellStart"/>
      <w:r>
        <w:rPr>
          <w:sz w:val="23"/>
        </w:rPr>
        <w:t>LibreO</w:t>
      </w:r>
      <w:proofErr w:type="spellEnd"/>
      <w:r>
        <w:rPr>
          <w:sz w:val="23"/>
        </w:rPr>
        <w:tab/>
        <w:t xml:space="preserve">ice story is how clearly it illustrates the gap between what an </w:t>
      </w:r>
      <w:proofErr w:type="gramStart"/>
      <w:r>
        <w:rPr>
          <w:sz w:val="23"/>
        </w:rPr>
        <w:t>open source</w:t>
      </w:r>
      <w:proofErr w:type="gramEnd"/>
      <w:r>
        <w:rPr>
          <w:sz w:val="23"/>
        </w:rPr>
        <w:t xml:space="preserve"> licence promises and what governance structures actually deliver. The </w:t>
      </w:r>
      <w:proofErr w:type="spellStart"/>
      <w:r>
        <w:rPr>
          <w:sz w:val="23"/>
        </w:rPr>
        <w:t>OpenO</w:t>
      </w:r>
      <w:proofErr w:type="spellEnd"/>
      <w:r>
        <w:rPr>
          <w:sz w:val="23"/>
        </w:rPr>
        <w:t xml:space="preserve"> ice.org codebase was genuinely open: licensed under the LGPL, it could be read, studied, modified, and redistributed by anyone. The four freedoms were intact.  </w:t>
      </w:r>
    </w:p>
    <w:p w:rsidR="009B0DC4" w:rsidRDefault="00000000">
      <w:pPr>
        <w:spacing w:after="152" w:line="273" w:lineRule="auto"/>
        <w:ind w:left="-5"/>
      </w:pPr>
      <w:r>
        <w:rPr>
          <w:sz w:val="23"/>
        </w:rPr>
        <w:t xml:space="preserve">But legal openness and practical openness are not the same thing. The community could fork — but forking meant abandoning years of brand recognition, losing contributors who stayed with the original, confusing millions of users who did not know which version to adopt, and rebuilding infrastructure from scratch. The freedom to fork existed in theory; exercising it cost the community enormous real-world resources.  </w:t>
      </w:r>
    </w:p>
    <w:p w:rsidR="009B0DC4" w:rsidRDefault="00000000">
      <w:pPr>
        <w:spacing w:after="152" w:line="273" w:lineRule="auto"/>
        <w:ind w:left="-5"/>
      </w:pPr>
      <w:r>
        <w:rPr>
          <w:sz w:val="23"/>
        </w:rPr>
        <w:t xml:space="preserve">A project can be open source in every legal sense while remaining, in practice, controlled by a single entity as thoroughly as any proprietary product. The licence grants freedom over the code. It says nothing about who sets the roadmap, who decides the release schedule, who holds the copyright that determines what licenses can be applied in the future. </w:t>
      </w:r>
      <w:proofErr w:type="spellStart"/>
      <w:r>
        <w:rPr>
          <w:sz w:val="23"/>
        </w:rPr>
        <w:t>OpenO</w:t>
      </w:r>
      <w:proofErr w:type="spellEnd"/>
      <w:r>
        <w:rPr>
          <w:sz w:val="23"/>
        </w:rPr>
        <w:tab/>
        <w:t xml:space="preserve">ice.org was a sobering demonstration that these two dimensions — legal and practical openness — must both be addressed for a project to be genuinely community-owned. </w:t>
      </w:r>
    </w:p>
    <w:p w:rsidR="009B0DC4" w:rsidRDefault="00000000">
      <w:pPr>
        <w:spacing w:after="165" w:line="259" w:lineRule="auto"/>
        <w:ind w:left="0" w:firstLine="0"/>
      </w:pPr>
      <w:r>
        <w:rPr>
          <w:sz w:val="23"/>
        </w:rPr>
        <w:t xml:space="preserve"> </w:t>
      </w:r>
    </w:p>
    <w:p w:rsidR="009B0DC4" w:rsidRDefault="00000000">
      <w:pPr>
        <w:spacing w:after="167" w:line="259" w:lineRule="auto"/>
        <w:ind w:left="0" w:firstLine="0"/>
      </w:pPr>
      <w:r>
        <w:rPr>
          <w:sz w:val="23"/>
        </w:rPr>
        <w:t xml:space="preserve"> </w:t>
      </w:r>
    </w:p>
    <w:p w:rsidR="009B0DC4" w:rsidRDefault="00000000">
      <w:pPr>
        <w:spacing w:after="165" w:line="259" w:lineRule="auto"/>
        <w:ind w:left="0" w:firstLine="0"/>
      </w:pPr>
      <w:r>
        <w:rPr>
          <w:sz w:val="23"/>
        </w:rPr>
        <w:t xml:space="preserve"> </w:t>
      </w:r>
    </w:p>
    <w:p w:rsidR="009B0DC4" w:rsidRDefault="00000000">
      <w:pPr>
        <w:spacing w:after="167" w:line="259" w:lineRule="auto"/>
        <w:ind w:left="0" w:firstLine="0"/>
      </w:pPr>
      <w:r>
        <w:rPr>
          <w:sz w:val="23"/>
        </w:rPr>
        <w:t xml:space="preserve"> </w:t>
      </w:r>
    </w:p>
    <w:p w:rsidR="009B0DC4" w:rsidRDefault="00000000">
      <w:pPr>
        <w:spacing w:after="165" w:line="259" w:lineRule="auto"/>
        <w:ind w:left="0" w:firstLine="0"/>
      </w:pPr>
      <w:r>
        <w:rPr>
          <w:sz w:val="23"/>
        </w:rPr>
        <w:t xml:space="preserve"> </w:t>
      </w:r>
    </w:p>
    <w:p w:rsidR="009B0DC4" w:rsidRDefault="00000000">
      <w:pPr>
        <w:spacing w:after="165" w:line="259" w:lineRule="auto"/>
        <w:ind w:left="0" w:firstLine="0"/>
      </w:pPr>
      <w:r>
        <w:rPr>
          <w:sz w:val="23"/>
        </w:rPr>
        <w:t xml:space="preserve"> </w:t>
      </w:r>
    </w:p>
    <w:p w:rsidR="009B0DC4" w:rsidRDefault="00000000">
      <w:pPr>
        <w:spacing w:after="167" w:line="259" w:lineRule="auto"/>
        <w:ind w:left="0" w:firstLine="0"/>
      </w:pPr>
      <w:r>
        <w:rPr>
          <w:sz w:val="23"/>
        </w:rPr>
        <w:t xml:space="preserve"> </w:t>
      </w:r>
    </w:p>
    <w:p w:rsidR="009B0DC4" w:rsidRDefault="00000000">
      <w:pPr>
        <w:spacing w:after="165" w:line="259" w:lineRule="auto"/>
        <w:ind w:left="0" w:firstLine="0"/>
      </w:pPr>
      <w:r>
        <w:rPr>
          <w:sz w:val="23"/>
        </w:rPr>
        <w:t xml:space="preserve"> </w:t>
      </w:r>
    </w:p>
    <w:p w:rsidR="009B0DC4" w:rsidRDefault="00000000">
      <w:pPr>
        <w:spacing w:after="169" w:line="259" w:lineRule="auto"/>
        <w:ind w:left="0" w:firstLine="0"/>
      </w:pPr>
      <w:r>
        <w:rPr>
          <w:sz w:val="23"/>
        </w:rPr>
        <w:t xml:space="preserve"> </w:t>
      </w:r>
    </w:p>
    <w:p w:rsidR="009B0DC4" w:rsidRDefault="00000000">
      <w:pPr>
        <w:spacing w:after="165" w:line="259" w:lineRule="auto"/>
        <w:ind w:left="0" w:firstLine="0"/>
      </w:pPr>
      <w:r>
        <w:rPr>
          <w:sz w:val="23"/>
        </w:rPr>
        <w:t xml:space="preserve"> </w:t>
      </w:r>
    </w:p>
    <w:p w:rsidR="009B0DC4" w:rsidRDefault="00000000">
      <w:pPr>
        <w:spacing w:after="145" w:line="259" w:lineRule="auto"/>
        <w:ind w:left="0" w:firstLine="0"/>
      </w:pPr>
      <w:r>
        <w:rPr>
          <w:sz w:val="23"/>
        </w:rPr>
        <w:t xml:space="preserve"> </w:t>
      </w:r>
    </w:p>
    <w:p w:rsidR="009B0DC4" w:rsidRDefault="00000000">
      <w:pPr>
        <w:spacing w:after="0" w:line="259" w:lineRule="auto"/>
        <w:ind w:left="0" w:firstLine="0"/>
      </w:pPr>
      <w:r>
        <w:t xml:space="preserve"> </w:t>
      </w:r>
    </w:p>
    <w:p w:rsidR="009B0DC4" w:rsidRDefault="00000000">
      <w:pPr>
        <w:pStyle w:val="Heading1"/>
        <w:ind w:left="-5"/>
      </w:pPr>
      <w:r>
        <w:t>Section B — The Ethics of Corporate Control</w:t>
      </w:r>
      <w:r>
        <w:rPr>
          <w:u w:val="none"/>
        </w:rPr>
        <w:t xml:space="preserve"> </w:t>
      </w:r>
    </w:p>
    <w:p w:rsidR="009B0DC4" w:rsidRDefault="00000000">
      <w:pPr>
        <w:ind w:left="-5"/>
      </w:pPr>
      <w:r>
        <w:t xml:space="preserve">The central ethical question of the </w:t>
      </w:r>
      <w:proofErr w:type="spellStart"/>
      <w:r>
        <w:t>OpenO</w:t>
      </w:r>
      <w:proofErr w:type="spellEnd"/>
      <w:r>
        <w:t xml:space="preserve"> ice.org case is straightforward to state and genuinely di </w:t>
      </w:r>
      <w:proofErr w:type="spellStart"/>
      <w:r>
        <w:t>icult</w:t>
      </w:r>
      <w:proofErr w:type="spellEnd"/>
      <w:r>
        <w:t xml:space="preserve"> to answer: when a corporation funds and maintains an </w:t>
      </w:r>
      <w:proofErr w:type="gramStart"/>
      <w:r>
        <w:t>open source</w:t>
      </w:r>
      <w:proofErr w:type="gramEnd"/>
      <w:r>
        <w:t xml:space="preserve"> project, does it have a right to exercise the kind of governance control that Sun — and then Oracle — exercised over that project? My position is that corporate investment earns a legitimate but bounded claim to governance — and that both Sun and Oracle exceeded that boundary, each in their own way.  </w:t>
      </w:r>
    </w:p>
    <w:p w:rsidR="009B0DC4" w:rsidRDefault="00000000">
      <w:pPr>
        <w:spacing w:after="164" w:line="259" w:lineRule="auto"/>
        <w:ind w:left="-5"/>
      </w:pPr>
      <w:r>
        <w:rPr>
          <w:color w:val="EE0000"/>
        </w:rPr>
        <w:t xml:space="preserve">B.1 — The Case for Corporate Control: Investment and Infrastructure </w:t>
      </w:r>
      <w:r>
        <w:t xml:space="preserve"> </w:t>
      </w:r>
    </w:p>
    <w:p w:rsidR="009B0DC4" w:rsidRDefault="00000000">
      <w:pPr>
        <w:ind w:left="-5"/>
      </w:pPr>
      <w:r>
        <w:lastRenderedPageBreak/>
        <w:t xml:space="preserve">The argument for corporate governance authority is not frivolous. Companies that open-source software </w:t>
      </w:r>
      <w:proofErr w:type="gramStart"/>
      <w:r>
        <w:t>are</w:t>
      </w:r>
      <w:proofErr w:type="gramEnd"/>
      <w:r>
        <w:t xml:space="preserve"> not doing so out of pure altruism, but they are making real investments. Sun employed full-time developers who worked on </w:t>
      </w:r>
      <w:proofErr w:type="spellStart"/>
      <w:r>
        <w:t>OpenO</w:t>
      </w:r>
      <w:proofErr w:type="spellEnd"/>
      <w:r>
        <w:tab/>
        <w:t xml:space="preserve">ice.org. It paid for legal infrastructure — the copyright management, the trademark registration, the license compliance work. It provided server infrastructure, release engineering, and organisational capacity that a distributed volunteer community would have struggled to replicate. These are genuine contributions, and it is not unreasonable to expect that significant financial investment earns some degree of governance authority.  </w:t>
      </w:r>
    </w:p>
    <w:p w:rsidR="009B0DC4" w:rsidRDefault="00000000">
      <w:pPr>
        <w:ind w:left="-5"/>
      </w:pPr>
      <w:r>
        <w:t xml:space="preserve">There is also an argument from accountability: when a company controls a project, it has identifiable legal liability. If </w:t>
      </w:r>
      <w:proofErr w:type="spellStart"/>
      <w:r>
        <w:t>OpenO</w:t>
      </w:r>
      <w:proofErr w:type="spellEnd"/>
      <w:r>
        <w:tab/>
        <w:t xml:space="preserve">ice.org had infringed a third-party patent, Sun — not anonymous volunteers — would have been sued. Corporate control comes with corporate responsibility. From this perspective, the copyright assignment clause was not exploitation; it was the legal instrument through which Sun could defend the project and its contributors from patent trolls and other bad actors. </w:t>
      </w:r>
    </w:p>
    <w:p w:rsidR="009B0DC4" w:rsidRDefault="00000000">
      <w:pPr>
        <w:spacing w:after="164" w:line="259" w:lineRule="auto"/>
        <w:ind w:left="-5"/>
      </w:pPr>
      <w:r>
        <w:rPr>
          <w:color w:val="EE0000"/>
        </w:rPr>
        <w:t xml:space="preserve">B.2 — The Case Against: Community Labour and the Commons  </w:t>
      </w:r>
    </w:p>
    <w:p w:rsidR="009B0DC4" w:rsidRDefault="00000000">
      <w:pPr>
        <w:ind w:left="-5"/>
      </w:pPr>
      <w:r>
        <w:t xml:space="preserve">And yet I find this argument </w:t>
      </w:r>
      <w:proofErr w:type="spellStart"/>
      <w:r>
        <w:t>insu</w:t>
      </w:r>
      <w:proofErr w:type="spellEnd"/>
      <w:r>
        <w:t xml:space="preserve"> </w:t>
      </w:r>
      <w:proofErr w:type="spellStart"/>
      <w:r>
        <w:t>icient</w:t>
      </w:r>
      <w:proofErr w:type="spellEnd"/>
      <w:r>
        <w:t xml:space="preserve"> on its own, because it fundamentally mischaracterises what an </w:t>
      </w:r>
      <w:proofErr w:type="gramStart"/>
      <w:r>
        <w:t>open source</w:t>
      </w:r>
      <w:proofErr w:type="gramEnd"/>
      <w:r>
        <w:t xml:space="preserve"> community is. When thousands of developers contribute to a project — in evenings, on weekends, sacrificing other leisure — they are not employees. They are not contractors. They are participants in what economists call a </w:t>
      </w:r>
      <w:proofErr w:type="gramStart"/>
      <w:r>
        <w:t>commons</w:t>
      </w:r>
      <w:proofErr w:type="gramEnd"/>
      <w:r>
        <w:t xml:space="preserve">: a shared resource built by collective e ort for collective benefit. The defining feature of a commons is that no single party owns it.  </w:t>
      </w:r>
    </w:p>
    <w:p w:rsidR="009B0DC4" w:rsidRDefault="00000000">
      <w:pPr>
        <w:ind w:left="-5"/>
      </w:pPr>
      <w:r>
        <w:t xml:space="preserve">The copyright assignment clause transformed a </w:t>
      </w:r>
      <w:proofErr w:type="gramStart"/>
      <w:r>
        <w:t>commons</w:t>
      </w:r>
      <w:proofErr w:type="gramEnd"/>
      <w:r>
        <w:t xml:space="preserve"> into a corporate asset. It did so with full legal transparency — contributors signed the JCA knowingly — but legal transparency does not equal ethical fairness. A person who signs a JCA because doing so is the only way to contribute to a project they care about has not freely consented in any morally meaningful sense. They have accepted a term of adhesion: sign this, or your contribution is excluded. That is not a negotiation; it is a condition. The question is not whether contributors signed the JCA. They did. The question is whether the existence of a signature on a take-it-or-leave-it contract constitutes genuine consent to the transfer of the fruits of one's labour to a corporation. </w:t>
      </w:r>
    </w:p>
    <w:p w:rsidR="009B0DC4" w:rsidRDefault="00000000">
      <w:pPr>
        <w:ind w:left="-5"/>
      </w:pPr>
      <w:r>
        <w:t xml:space="preserve">I argue it does not — or at least, that it does not generate the kind of unqualified governance authority Sun exercised. The community's labour was the core asset of the project. Sun's infrastructure was important but secondary. A governance model in which the secondary contributor holds all authority over the primary contributors is ethically inverted. </w:t>
      </w:r>
    </w:p>
    <w:p w:rsidR="009B0DC4" w:rsidRDefault="00000000">
      <w:pPr>
        <w:spacing w:after="0" w:line="259" w:lineRule="auto"/>
        <w:ind w:left="0" w:firstLine="0"/>
      </w:pPr>
      <w:r>
        <w:t xml:space="preserve"> </w:t>
      </w:r>
    </w:p>
    <w:p w:rsidR="009B0DC4" w:rsidRDefault="00000000">
      <w:pPr>
        <w:spacing w:after="164" w:line="259" w:lineRule="auto"/>
        <w:ind w:left="-5"/>
      </w:pPr>
      <w:r>
        <w:rPr>
          <w:color w:val="EE0000"/>
        </w:rPr>
        <w:t xml:space="preserve">B.3 — The Copyright Assignment Clause: Sun versus Oracle  </w:t>
      </w:r>
    </w:p>
    <w:p w:rsidR="009B0DC4" w:rsidRDefault="00000000">
      <w:pPr>
        <w:ind w:left="-5"/>
      </w:pPr>
      <w:r>
        <w:t xml:space="preserve">Was it ethical for Sun to require copyright assignment? My answer is: borderline, but defensible. Sun's </w:t>
      </w:r>
      <w:proofErr w:type="gramStart"/>
      <w:r>
        <w:t>open source</w:t>
      </w:r>
      <w:proofErr w:type="gramEnd"/>
      <w:r>
        <w:t xml:space="preserve"> motivations, while mixed, were real. The company had a demonstrated commitment to the free software ecosystem predating </w:t>
      </w:r>
      <w:proofErr w:type="spellStart"/>
      <w:r>
        <w:t>OpenO</w:t>
      </w:r>
      <w:proofErr w:type="spellEnd"/>
      <w:r>
        <w:t xml:space="preserve"> ice.org. The copyright assignment served a plausible legal purpose. And Sun, by and large, behaved as a responsible steward — slow and bureaucratic, but not predatory.  </w:t>
      </w:r>
    </w:p>
    <w:p w:rsidR="009B0DC4" w:rsidRDefault="00000000">
      <w:pPr>
        <w:ind w:left="-5"/>
      </w:pPr>
      <w:r>
        <w:t xml:space="preserve">The same clause in Oracle's hands is a di </w:t>
      </w:r>
      <w:proofErr w:type="spellStart"/>
      <w:r>
        <w:t>erent</w:t>
      </w:r>
      <w:proofErr w:type="spellEnd"/>
      <w:r>
        <w:t xml:space="preserve"> matter entirely, and this is where the ethics shift. When contributors signed the JCA with Sun, they were implicitly trusting not just Sun but the institution of the clause itself — the idea that the rights would be held by an entity that valued the project for its own sake. Oracle's acquisition transferred those rights to a company that viewed </w:t>
      </w:r>
      <w:proofErr w:type="spellStart"/>
      <w:r>
        <w:lastRenderedPageBreak/>
        <w:t>OpenO</w:t>
      </w:r>
      <w:proofErr w:type="spellEnd"/>
      <w:r>
        <w:t xml:space="preserve"> ice.org primarily as a commercial asset and had already demonstrated, through the Java lawsuit, that it would use IP rights aggressively.  </w:t>
      </w:r>
    </w:p>
    <w:p w:rsidR="009B0DC4" w:rsidRDefault="00000000">
      <w:pPr>
        <w:ind w:left="-5"/>
      </w:pPr>
      <w:r>
        <w:t xml:space="preserve">The ethical problem is that contributors had no exit from this transfer. They had already signed the JCA. Their past contributions were now Oracle's. A contract that was defensible when signed became ethically problematic not because its terms changed, but because the identity of the beneficiary changed in a way contributors could not have anticipated and could not prevent. This is a systemic failure of the copyright assignment model, not merely a failure of Oracle's character. </w:t>
      </w:r>
    </w:p>
    <w:p w:rsidR="009B0DC4" w:rsidRDefault="00000000">
      <w:pPr>
        <w:spacing w:after="164" w:line="259" w:lineRule="auto"/>
        <w:ind w:left="-5"/>
      </w:pPr>
      <w:r>
        <w:rPr>
          <w:color w:val="EE0000"/>
        </w:rPr>
        <w:t>B.4 — Stewardship versus Ownership</w:t>
      </w:r>
      <w:r>
        <w:t xml:space="preserve"> </w:t>
      </w:r>
    </w:p>
    <w:p w:rsidR="009B0DC4" w:rsidRDefault="00000000">
      <w:pPr>
        <w:ind w:left="-5"/>
      </w:pPr>
      <w:r>
        <w:t xml:space="preserve">The distinction between stewardship and ownership is, in my view, the ethical crux of the entire case. A steward holds something in trust for others. An owner holds something for themselves. These are fundamentally di </w:t>
      </w:r>
      <w:proofErr w:type="spellStart"/>
      <w:r>
        <w:t>erent</w:t>
      </w:r>
      <w:proofErr w:type="spellEnd"/>
      <w:r>
        <w:t xml:space="preserve"> relationships, and they generate fundamentally di </w:t>
      </w:r>
      <w:proofErr w:type="spellStart"/>
      <w:r>
        <w:t>erent</w:t>
      </w:r>
      <w:proofErr w:type="spellEnd"/>
      <w:r>
        <w:t xml:space="preserve"> obligations.  </w:t>
      </w:r>
    </w:p>
    <w:p w:rsidR="009B0DC4" w:rsidRDefault="00000000">
      <w:pPr>
        <w:ind w:left="-5"/>
      </w:pPr>
      <w:r>
        <w:t xml:space="preserve">Sun began as a steward — imperfect, commercially motivated, but oriented toward the project's health. Oracle treated the same legal position as ownership, with no corresponding obligations to the community that had built the asset. The tragedy is that the legal structure — copyright assignment, corporate control of releases — made no distinction between the two. It was a governance model designed for a benevolent steward that became, under Oracle, a mechanism for extraction.  </w:t>
      </w:r>
    </w:p>
    <w:p w:rsidR="009B0DC4" w:rsidRDefault="00000000">
      <w:pPr>
        <w:ind w:left="-5"/>
      </w:pPr>
      <w:r>
        <w:t xml:space="preserve">This is why the meaningful distinction must be structural, not personal. Relying on the goodwill of a particular corporate leader to behave as a steward rather than an owner is not a governance model — it is a hope. The </w:t>
      </w:r>
      <w:proofErr w:type="spellStart"/>
      <w:r>
        <w:t>LibreO</w:t>
      </w:r>
      <w:proofErr w:type="spellEnd"/>
      <w:r>
        <w:t xml:space="preserve"> ice founders understood this, which is why the Document Foundation's charter contains explicit structural limits: no single entity may control more than a third of the governing board. That is the di</w:t>
      </w:r>
      <w:r>
        <w:tab/>
      </w:r>
      <w:proofErr w:type="spellStart"/>
      <w:r>
        <w:t>erence</w:t>
      </w:r>
      <w:proofErr w:type="spellEnd"/>
      <w:r>
        <w:t xml:space="preserve"> between governance and goodwill. </w:t>
      </w:r>
    </w:p>
    <w:p w:rsidR="009B0DC4" w:rsidRDefault="00000000">
      <w:pPr>
        <w:spacing w:after="161"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1" w:line="259" w:lineRule="auto"/>
        <w:ind w:left="0" w:firstLine="0"/>
      </w:pPr>
      <w:r>
        <w:t xml:space="preserve"> </w:t>
      </w:r>
    </w:p>
    <w:p w:rsidR="009B0DC4" w:rsidRDefault="00000000">
      <w:pPr>
        <w:spacing w:after="0" w:line="259" w:lineRule="auto"/>
        <w:ind w:left="0" w:firstLine="0"/>
      </w:pPr>
      <w:r>
        <w:t xml:space="preserve"> </w:t>
      </w:r>
    </w:p>
    <w:p w:rsidR="009B0DC4" w:rsidRDefault="00000000">
      <w:pPr>
        <w:pStyle w:val="Heading1"/>
        <w:ind w:left="-5"/>
      </w:pPr>
      <w:r>
        <w:t>Section C — The Forking Question</w:t>
      </w:r>
      <w:r>
        <w:rPr>
          <w:u w:val="none"/>
        </w:rPr>
        <w:t xml:space="preserve"> </w:t>
      </w:r>
    </w:p>
    <w:p w:rsidR="009B0DC4" w:rsidRDefault="00000000">
      <w:pPr>
        <w:spacing w:after="164" w:line="259" w:lineRule="auto"/>
        <w:ind w:left="-5"/>
      </w:pPr>
      <w:r>
        <w:rPr>
          <w:color w:val="EE0000"/>
        </w:rPr>
        <w:t xml:space="preserve">C.1 — Was the Fork the Right Response?  </w:t>
      </w:r>
    </w:p>
    <w:p w:rsidR="009B0DC4" w:rsidRDefault="00000000">
      <w:pPr>
        <w:ind w:left="-5"/>
      </w:pPr>
      <w:r>
        <w:t xml:space="preserve">Forking is the nuclear option of </w:t>
      </w:r>
      <w:proofErr w:type="gramStart"/>
      <w:r>
        <w:t>open source</w:t>
      </w:r>
      <w:proofErr w:type="gramEnd"/>
      <w:r>
        <w:t xml:space="preserve"> governance — it is final, costly, and impossible to take back. Before concluding that it was the right response, one must ask whether better alternatives existed and were genuinely exhausted.  </w:t>
      </w:r>
    </w:p>
    <w:p w:rsidR="009B0DC4" w:rsidRDefault="00000000">
      <w:pPr>
        <w:ind w:left="-5"/>
      </w:pPr>
      <w:r>
        <w:t xml:space="preserve">The community did attempt a collaborative path first: the Document Foundation's founding announcement explicitly invited Oracle to donate the </w:t>
      </w:r>
      <w:proofErr w:type="spellStart"/>
      <w:r>
        <w:t>OpenO</w:t>
      </w:r>
      <w:proofErr w:type="spellEnd"/>
      <w:r>
        <w:tab/>
        <w:t xml:space="preserve">ice.org brand and join the new governance structure as a participant rather than a controller. Oracle declined. Given that o er and its rejection, the fork was the right response. The community had no mechanism to reform Oracle's governance from within — the copyright assignment clause and Oracle's control of the release process meant that even a majority of contributors demanding change could be simply ignored. When legitimate internal channels are closed and negotiation has been attempted and refused, exit is not merely justified — it is the only remaining option.  </w:t>
      </w:r>
    </w:p>
    <w:p w:rsidR="009B0DC4" w:rsidRDefault="00000000">
      <w:pPr>
        <w:spacing w:after="164" w:line="259" w:lineRule="auto"/>
        <w:ind w:left="-5"/>
      </w:pPr>
      <w:r>
        <w:rPr>
          <w:color w:val="EE0000"/>
        </w:rPr>
        <w:lastRenderedPageBreak/>
        <w:t xml:space="preserve">C.2 — Was Oracle Right to Decline the Document Foundation's O er?  </w:t>
      </w:r>
    </w:p>
    <w:p w:rsidR="009B0DC4" w:rsidRDefault="00000000">
      <w:pPr>
        <w:ind w:left="-5"/>
      </w:pPr>
      <w:r>
        <w:t>From a narrow business perspective, Oracle's decision to decline the invitation was understandable, if short-sighted. Joining the Document Foundation would have meant surrendering control of an asset it had just paid for as part of a multi-</w:t>
      </w:r>
      <w:proofErr w:type="gramStart"/>
      <w:r>
        <w:t>billion dollar</w:t>
      </w:r>
      <w:proofErr w:type="gramEnd"/>
      <w:r>
        <w:t xml:space="preserve"> acquisition. Oracle's commercial interest was in Oracle Open O ice — a branded product it could sell support contracts for. Participating in a community foundation meant relinquishing the exclusivity that made that commercial product worth selling. </w:t>
      </w:r>
    </w:p>
    <w:p w:rsidR="009B0DC4" w:rsidRDefault="00000000">
      <w:pPr>
        <w:ind w:left="-5"/>
      </w:pPr>
      <w:r>
        <w:t>From an ethical perspective, the decision was far harder to defend. Oracle held rights over code it had not written, from a community it had not built, in a project whose entire value derived from volunteer contributions made in good faith. Declining to participate in a reasonable community governance structure, when the alternative was e</w:t>
      </w:r>
      <w:r>
        <w:tab/>
      </w:r>
      <w:proofErr w:type="spellStart"/>
      <w:r>
        <w:t>ectively</w:t>
      </w:r>
      <w:proofErr w:type="spellEnd"/>
      <w:r>
        <w:t xml:space="preserve"> stranding the community without recourse, was not a neutral business decision — it was a choice to prioritise extraction over stewardship. </w:t>
      </w:r>
    </w:p>
    <w:p w:rsidR="009B0DC4" w:rsidRDefault="00000000">
      <w:pPr>
        <w:ind w:left="-5" w:right="239"/>
      </w:pPr>
      <w:r>
        <w:t xml:space="preserve">Notably, the business and ethical perspectives do not produce the same answer. Oracle's decision may have been commercially rational in the short term. In the medium term, it was a catastrophic miscalculation: within eighteen months, the community had migrated to </w:t>
      </w:r>
      <w:proofErr w:type="spellStart"/>
      <w:r>
        <w:t>LibreO</w:t>
      </w:r>
      <w:proofErr w:type="spellEnd"/>
      <w:r>
        <w:t xml:space="preserve"> ice, and Oracle's </w:t>
      </w:r>
      <w:proofErr w:type="spellStart"/>
      <w:r>
        <w:t>OpenO</w:t>
      </w:r>
      <w:proofErr w:type="spellEnd"/>
      <w:r>
        <w:t xml:space="preserve"> ice.org became a near-dormant project that it eventually donated to Apache — receiving nothing in return for the goodwill it had spent. </w:t>
      </w:r>
      <w:r>
        <w:rPr>
          <w:color w:val="EE0000"/>
        </w:rPr>
        <w:t xml:space="preserve">C.3 — Was the Fork Worth the Cost?  </w:t>
      </w:r>
    </w:p>
    <w:p w:rsidR="009B0DC4" w:rsidRDefault="00000000">
      <w:pPr>
        <w:ind w:left="-5"/>
      </w:pPr>
      <w:r>
        <w:t xml:space="preserve">The fork imposed real costs on real people. Users were confused — many organisations did not know whether to adopt </w:t>
      </w:r>
      <w:proofErr w:type="spellStart"/>
      <w:r>
        <w:t>LibreO</w:t>
      </w:r>
      <w:proofErr w:type="spellEnd"/>
      <w:r>
        <w:tab/>
        <w:t xml:space="preserve">ice or remain on </w:t>
      </w:r>
      <w:proofErr w:type="spellStart"/>
      <w:r>
        <w:t>OpenO</w:t>
      </w:r>
      <w:proofErr w:type="spellEnd"/>
      <w:r>
        <w:t xml:space="preserve"> ice.org. Distribution channels split. Some contributors stayed with the original project out of inertia or organisational mandate, thinning the talent pool. The </w:t>
      </w:r>
      <w:proofErr w:type="spellStart"/>
      <w:r>
        <w:t>LibreO</w:t>
      </w:r>
      <w:proofErr w:type="spellEnd"/>
      <w:r>
        <w:tab/>
        <w:t xml:space="preserve">ice team had to rebuild community infrastructure, establish a new legal entity, and re-earn the trust of distributions like Ubuntu and Fedora.  </w:t>
      </w:r>
    </w:p>
    <w:p w:rsidR="009B0DC4" w:rsidRDefault="00000000">
      <w:pPr>
        <w:ind w:left="-5"/>
      </w:pPr>
      <w:r>
        <w:t xml:space="preserve">And yet: by the early 2020s, </w:t>
      </w:r>
      <w:proofErr w:type="spellStart"/>
      <w:r>
        <w:t>LibreO</w:t>
      </w:r>
      <w:proofErr w:type="spellEnd"/>
      <w:r>
        <w:t xml:space="preserve"> ice had over 200 million users, contributions from thousands of developers across dozens of countries, and had become the default </w:t>
      </w:r>
      <w:proofErr w:type="spellStart"/>
      <w:r>
        <w:t>o</w:t>
      </w:r>
      <w:proofErr w:type="spellEnd"/>
      <w:r>
        <w:tab/>
        <w:t xml:space="preserve">ice suite in the vast majority of Linux distributions. Apache </w:t>
      </w:r>
      <w:proofErr w:type="spellStart"/>
      <w:r>
        <w:t>OpenO</w:t>
      </w:r>
      <w:proofErr w:type="spellEnd"/>
      <w:r>
        <w:t xml:space="preserve"> ice, the inheritor of Oracle's asset, had a fraction of that activity. The fork was worth it — not despite the costs, but because those costs were finite while the alternative — a permanently Oracle-controlled o ice suite with a disempowered community — would have imposed ongoing costs with no expiry date.  </w:t>
      </w:r>
    </w:p>
    <w:p w:rsidR="009B0DC4" w:rsidRDefault="00000000">
      <w:pPr>
        <w:spacing w:after="164" w:line="259" w:lineRule="auto"/>
        <w:ind w:left="-5"/>
      </w:pPr>
      <w:r>
        <w:rPr>
          <w:color w:val="EE0000"/>
        </w:rPr>
        <w:t xml:space="preserve">C.4 — The Strongest Case Against Forking  </w:t>
      </w:r>
    </w:p>
    <w:p w:rsidR="009B0DC4" w:rsidRDefault="00000000">
      <w:pPr>
        <w:ind w:left="-5"/>
      </w:pPr>
      <w:r>
        <w:t xml:space="preserve">Intellectual honesty requires engaging seriously with the case against the fork. That case runs roughly as follows: forking is a last resort, and it was not clear in late 2010 that all alternatives had been exhausted. Oracle had not actually harmed the project yet — it had been clumsy and uncommunicative, but it had not relicensed the code, had not shut down contributions, had not made any of the genuinely damaging moves that a truly hostile corporate owner might have made. The fork was, in this reading, a premature response to hypothetical future harms — and its costs (community fragmentation, user confusion) were certain while the harms it prevented were speculative.  </w:t>
      </w:r>
    </w:p>
    <w:p w:rsidR="009B0DC4" w:rsidRDefault="00000000">
      <w:pPr>
        <w:ind w:left="-5"/>
      </w:pPr>
      <w:r>
        <w:t xml:space="preserve">There is something to this argument. It is possible that a sustained, organised internal advocacy campaign — working through Apache's neutral governance framework or negotiating directly with Oracle — might have achieved something. Communities have sometimes reformed governance from within.  </w:t>
      </w:r>
    </w:p>
    <w:p w:rsidR="009B0DC4" w:rsidRDefault="00000000">
      <w:pPr>
        <w:ind w:left="-5"/>
      </w:pPr>
      <w:r>
        <w:lastRenderedPageBreak/>
        <w:t>I do not find this argument ultimately persuasive, however, for a structural reason: the copyright assignment clause meant that the community had no leverage. To negotiate e</w:t>
      </w:r>
      <w:r>
        <w:tab/>
      </w:r>
      <w:proofErr w:type="spellStart"/>
      <w:r>
        <w:t>ectively</w:t>
      </w:r>
      <w:proofErr w:type="spellEnd"/>
      <w:r>
        <w:t xml:space="preserve">, you need something the other party wants. The community had already given Oracle what it wanted — the rights to their code. There was no credible threat, no bargaining chip, no institutional mechanism through which contributors could compel Oracle to change. The fork was not premature; it was the only move available that had any realistic prospect of success. </w:t>
      </w:r>
    </w:p>
    <w:p w:rsidR="009B0DC4" w:rsidRDefault="00000000">
      <w:pPr>
        <w:spacing w:after="163"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1"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1"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0" w:line="259" w:lineRule="auto"/>
        <w:ind w:left="0" w:firstLine="0"/>
      </w:pPr>
      <w:r>
        <w:t xml:space="preserve"> </w:t>
      </w:r>
    </w:p>
    <w:p w:rsidR="009B0DC4" w:rsidRDefault="00000000">
      <w:pPr>
        <w:pStyle w:val="Heading1"/>
        <w:ind w:left="-5"/>
      </w:pPr>
      <w:r>
        <w:t>Section D — Lessons and Generalisation</w:t>
      </w:r>
      <w:r>
        <w:rPr>
          <w:u w:val="none"/>
        </w:rPr>
        <w:t xml:space="preserve"> </w:t>
      </w:r>
    </w:p>
    <w:p w:rsidR="009B0DC4" w:rsidRDefault="00000000">
      <w:pPr>
        <w:spacing w:after="164" w:line="259" w:lineRule="auto"/>
        <w:ind w:left="-5"/>
      </w:pPr>
      <w:r>
        <w:rPr>
          <w:color w:val="EE0000"/>
        </w:rPr>
        <w:t xml:space="preserve">D.1 — Two Forks, One Acquisition: What the Pattern Tells Us  </w:t>
      </w:r>
    </w:p>
    <w:p w:rsidR="009B0DC4" w:rsidRDefault="00000000">
      <w:pPr>
        <w:ind w:left="-5"/>
      </w:pPr>
      <w:r>
        <w:t xml:space="preserve">The fact that both </w:t>
      </w:r>
      <w:proofErr w:type="spellStart"/>
      <w:r>
        <w:t>OpenO</w:t>
      </w:r>
      <w:proofErr w:type="spellEnd"/>
      <w:r>
        <w:t xml:space="preserve"> ice.org and MySQL — two of the most widely used </w:t>
      </w:r>
      <w:proofErr w:type="gramStart"/>
      <w:r>
        <w:t>open source</w:t>
      </w:r>
      <w:proofErr w:type="gramEnd"/>
      <w:r>
        <w:t xml:space="preserve"> projects in the world — forked almost simultaneously in response to the same corporate acquisition is not a coincidence. It is a data point about the structural incompatibility between certain forms of corporate ownership and </w:t>
      </w:r>
      <w:proofErr w:type="gramStart"/>
      <w:r>
        <w:t>open source</w:t>
      </w:r>
      <w:proofErr w:type="gramEnd"/>
      <w:r>
        <w:t xml:space="preserve"> community health.  </w:t>
      </w:r>
    </w:p>
    <w:p w:rsidR="009B0DC4" w:rsidRDefault="00000000">
      <w:pPr>
        <w:ind w:left="-5"/>
      </w:pPr>
      <w:r>
        <w:t xml:space="preserve">Both projects had the same underlying flaw: a single corporate entity held ultimate legal and governance authority over a project built primarily by a distributed community. Both projects had the same trigger: the transfer of that authority to a company whose orientation toward open source was commercially extractive rather than community-nurturing. Both communities made the same calculation: that the cost of forking was lower than the cost of remaining under a governance model they could not reform.  </w:t>
      </w:r>
    </w:p>
    <w:p w:rsidR="009B0DC4" w:rsidRDefault="00000000">
      <w:pPr>
        <w:ind w:left="-5"/>
      </w:pPr>
      <w:r>
        <w:t xml:space="preserve">The pattern suggests a general principle: </w:t>
      </w:r>
      <w:proofErr w:type="gramStart"/>
      <w:r>
        <w:t>open source</w:t>
      </w:r>
      <w:proofErr w:type="gramEnd"/>
      <w:r>
        <w:t xml:space="preserve"> projects that vest ultimate control in a single corporate entity are structurally brittle. They work when the controlling entity is benevolent and when no acquisition occurs. They fail — sometimes catastrophically — the moment either condition </w:t>
      </w:r>
      <w:r>
        <w:lastRenderedPageBreak/>
        <w:t xml:space="preserve">changes. Since acquisitions are a routine feature of the technology industry, governance models designed to survive only benevolent ownership are governance models designed to fail eventually </w:t>
      </w:r>
    </w:p>
    <w:p w:rsidR="009B0DC4" w:rsidRDefault="00000000">
      <w:pPr>
        <w:spacing w:after="164" w:line="259" w:lineRule="auto"/>
        <w:ind w:left="-5"/>
      </w:pPr>
      <w:r>
        <w:rPr>
          <w:color w:val="EE0000"/>
        </w:rPr>
        <w:t xml:space="preserve">D.2 — The Hypothetical: Company X and the Cloud  </w:t>
      </w:r>
    </w:p>
    <w:p w:rsidR="009B0DC4" w:rsidRDefault="00000000">
      <w:pPr>
        <w:ind w:left="-5"/>
      </w:pPr>
      <w:r>
        <w:t xml:space="preserve">Consider the scenario of Company X: a large cloud provider that contributes the majority of code to a popular </w:t>
      </w:r>
      <w:proofErr w:type="gramStart"/>
      <w:r>
        <w:t>open source</w:t>
      </w:r>
      <w:proofErr w:type="gramEnd"/>
      <w:r>
        <w:t xml:space="preserve"> project, controls its governance, and uses the project's popularity to attract customers to its commercial cloud services. Is this meaningfully di</w:t>
      </w:r>
      <w:r>
        <w:tab/>
      </w:r>
      <w:proofErr w:type="spellStart"/>
      <w:r>
        <w:t>erent</w:t>
      </w:r>
      <w:proofErr w:type="spellEnd"/>
      <w:r>
        <w:t xml:space="preserve"> from the Oracle/</w:t>
      </w:r>
      <w:proofErr w:type="spellStart"/>
      <w:r>
        <w:t>OpenO</w:t>
      </w:r>
      <w:proofErr w:type="spellEnd"/>
      <w:r>
        <w:t xml:space="preserve"> ice.org situation?  </w:t>
      </w:r>
    </w:p>
    <w:p w:rsidR="009B0DC4" w:rsidRDefault="00000000">
      <w:pPr>
        <w:ind w:left="-5"/>
      </w:pPr>
      <w:r>
        <w:t xml:space="preserve">Superficially, it seems better — Company X is actively investing in the project, not merely acquiring it. But the structural problem is identical: a single commercial entity controls governance and holds disproportionate IP rights. The community's contributions serve the corporation's commercial interests. If Company X is acquired, or changes strategy, or decides that open-sourcing the project no longer serves its interests, the community is in the same position as the </w:t>
      </w:r>
      <w:proofErr w:type="spellStart"/>
      <w:r>
        <w:t>OpenO</w:t>
      </w:r>
      <w:proofErr w:type="spellEnd"/>
      <w:r>
        <w:t xml:space="preserve"> ice.org contributors in 2010. The criteria I would use to determine whether a corporate steward can be trusted are structural, not personal:  </w:t>
      </w:r>
    </w:p>
    <w:p w:rsidR="009B0DC4" w:rsidRDefault="00000000">
      <w:pPr>
        <w:numPr>
          <w:ilvl w:val="0"/>
          <w:numId w:val="1"/>
        </w:numPr>
        <w:ind w:hanging="139"/>
      </w:pPr>
      <w:r>
        <w:t xml:space="preserve">No single entity controls more than one-third of the governance board.  </w:t>
      </w:r>
    </w:p>
    <w:p w:rsidR="009B0DC4" w:rsidRDefault="00000000">
      <w:pPr>
        <w:numPr>
          <w:ilvl w:val="0"/>
          <w:numId w:val="1"/>
        </w:numPr>
        <w:ind w:hanging="139"/>
      </w:pPr>
      <w:r>
        <w:t xml:space="preserve">Contributors retain copyright on their own contributions; no assignment is required.  </w:t>
      </w:r>
    </w:p>
    <w:p w:rsidR="009B0DC4" w:rsidRDefault="00000000">
      <w:pPr>
        <w:numPr>
          <w:ilvl w:val="0"/>
          <w:numId w:val="1"/>
        </w:numPr>
        <w:ind w:hanging="139"/>
      </w:pPr>
      <w:r>
        <w:t xml:space="preserve">The project's license and governance structure cannot be changed without supermajority community consent. </w:t>
      </w:r>
    </w:p>
    <w:p w:rsidR="009B0DC4" w:rsidRDefault="00000000">
      <w:pPr>
        <w:numPr>
          <w:ilvl w:val="0"/>
          <w:numId w:val="1"/>
        </w:numPr>
        <w:ind w:hanging="139"/>
      </w:pPr>
      <w:r>
        <w:t xml:space="preserve">The project's trademark and brand are held by an independent non-profit, not a corporate entity.  </w:t>
      </w:r>
    </w:p>
    <w:p w:rsidR="009B0DC4" w:rsidRDefault="00000000">
      <w:pPr>
        <w:numPr>
          <w:ilvl w:val="0"/>
          <w:numId w:val="1"/>
        </w:numPr>
        <w:ind w:hanging="139"/>
      </w:pPr>
      <w:r>
        <w:t xml:space="preserve">There is a published and binding succession plan specifying what happens if the primary corporate sponsor withdraws.  </w:t>
      </w:r>
    </w:p>
    <w:p w:rsidR="009B0DC4" w:rsidRDefault="00000000">
      <w:pPr>
        <w:ind w:left="-5"/>
      </w:pPr>
      <w:r>
        <w:t xml:space="preserve">These are not about whether the company's current leaders are trustworthy — they might be exemplary people. They are about ensuring that trustworthiness is built into the architecture of the project rather than dependent on the goodwill of individuals who may not always be in control. </w:t>
      </w:r>
    </w:p>
    <w:p w:rsidR="009B0DC4" w:rsidRDefault="00000000">
      <w:pPr>
        <w:spacing w:after="164" w:line="259" w:lineRule="auto"/>
        <w:ind w:left="-5"/>
      </w:pPr>
      <w:r>
        <w:rPr>
          <w:color w:val="EE0000"/>
        </w:rPr>
        <w:t xml:space="preserve">D.3 — Governance Recommendations for a New </w:t>
      </w:r>
      <w:proofErr w:type="gramStart"/>
      <w:r>
        <w:rPr>
          <w:color w:val="EE0000"/>
        </w:rPr>
        <w:t>Open Source</w:t>
      </w:r>
      <w:proofErr w:type="gramEnd"/>
      <w:r>
        <w:rPr>
          <w:color w:val="EE0000"/>
        </w:rPr>
        <w:t xml:space="preserve"> Project  </w:t>
      </w:r>
    </w:p>
    <w:p w:rsidR="009B0DC4" w:rsidRDefault="00000000">
      <w:pPr>
        <w:ind w:left="-5"/>
      </w:pPr>
      <w:r>
        <w:t xml:space="preserve">If I were advising a group of developers starting a new </w:t>
      </w:r>
      <w:proofErr w:type="gramStart"/>
      <w:r>
        <w:t>open source</w:t>
      </w:r>
      <w:proofErr w:type="gramEnd"/>
      <w:r>
        <w:t xml:space="preserve"> project today, my governance recommendations would be built around three principles: distributed control, retained copyright, and transparent succession.  </w:t>
      </w:r>
    </w:p>
    <w:p w:rsidR="009B0DC4" w:rsidRDefault="00000000">
      <w:pPr>
        <w:ind w:left="-5"/>
      </w:pPr>
      <w:r>
        <w:rPr>
          <w:u w:val="single" w:color="000000"/>
        </w:rPr>
        <w:t xml:space="preserve">On copyright: </w:t>
      </w:r>
      <w:r>
        <w:t xml:space="preserve">Do not require copyright assignment. Contributors should retain ownership of their work. The project should use an inbound=outbound licensing model — contributions are licensed under the same license as the project, automatically, without transfer of ownership. This means no single entity can unilaterally relicense the project or use it in ways that the broader community has not approved.  </w:t>
      </w:r>
    </w:p>
    <w:p w:rsidR="009B0DC4" w:rsidRDefault="00000000">
      <w:pPr>
        <w:ind w:left="-5"/>
      </w:pPr>
      <w:r>
        <w:rPr>
          <w:u w:val="single" w:color="000000"/>
        </w:rPr>
        <w:t>On corporate participation:</w:t>
      </w:r>
      <w:r>
        <w:t xml:space="preserve"> Corporate sponsors should be welcomed and their contributions valued — but governance rights should be proportional to community contribution across all categories (code, documentation, localisation, outreach), not proportional to financial investment alone. A single company, regardless of how much it contributes, should be capped at one-third of the governing board. If a company wants to shape the project's direction, it must do so by earning community trust — not by purchasing governance.  </w:t>
      </w:r>
    </w:p>
    <w:p w:rsidR="009B0DC4" w:rsidRDefault="00000000">
      <w:pPr>
        <w:ind w:left="-5" w:right="171"/>
      </w:pPr>
      <w:r>
        <w:rPr>
          <w:u w:val="single" w:color="000000"/>
        </w:rPr>
        <w:lastRenderedPageBreak/>
        <w:t>On decision-making authority:</w:t>
      </w:r>
      <w:r>
        <w:t xml:space="preserve"> Release schedules, feature roadmaps, and license changes should require approval from an elected steering committee, with elections open to all contributors who meet a transparent activity threshold. Major decisions — especially those </w:t>
      </w:r>
      <w:proofErr w:type="gramStart"/>
      <w:r>
        <w:t>a</w:t>
      </w:r>
      <w:proofErr w:type="gramEnd"/>
      <w:r>
        <w:t xml:space="preserve"> </w:t>
      </w:r>
      <w:proofErr w:type="spellStart"/>
      <w:r>
        <w:t>ecting</w:t>
      </w:r>
      <w:proofErr w:type="spellEnd"/>
      <w:r>
        <w:t xml:space="preserve"> intellectual property or governance structure — should require a supermajority and a public comment period.  </w:t>
      </w:r>
    </w:p>
    <w:p w:rsidR="009B0DC4" w:rsidRDefault="00000000">
      <w:pPr>
        <w:ind w:left="-5"/>
      </w:pPr>
      <w:r>
        <w:rPr>
          <w:u w:val="single" w:color="000000"/>
        </w:rPr>
        <w:t xml:space="preserve">On the brand and trademark: </w:t>
      </w:r>
      <w:r>
        <w:t xml:space="preserve">The project's name and brand should be held by an independent non-profit foundation, not by any corporate sponsor. This prevents the situation </w:t>
      </w:r>
      <w:proofErr w:type="spellStart"/>
      <w:r>
        <w:t>OpenO</w:t>
      </w:r>
      <w:proofErr w:type="spellEnd"/>
      <w:r>
        <w:tab/>
        <w:t xml:space="preserve">ice.org faced, where Oracle controlled the brand and used that control to demand that Document Foundation members resign from the community council.  </w:t>
      </w:r>
    </w:p>
    <w:p w:rsidR="009B0DC4" w:rsidRDefault="00000000">
      <w:pPr>
        <w:ind w:left="-5"/>
      </w:pPr>
      <w:r>
        <w:t xml:space="preserve">The Document Foundation's model — a German non-profit Stiftung with constitutionally enforced governance limits — is not a perfect template, but it is a good one. The key insight is that governance health must be built in from the start. It is far harder to reform governance under pressure, as the </w:t>
      </w:r>
      <w:proofErr w:type="spellStart"/>
      <w:r>
        <w:t>OpenO</w:t>
      </w:r>
      <w:proofErr w:type="spellEnd"/>
      <w:r>
        <w:t xml:space="preserve"> ice.org community discovered, than to design it correctly in the first place.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1"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163" w:line="259" w:lineRule="auto"/>
        <w:ind w:left="0" w:firstLine="0"/>
      </w:pPr>
      <w:r>
        <w:t xml:space="preserve"> </w:t>
      </w:r>
    </w:p>
    <w:p w:rsidR="009B0DC4" w:rsidRDefault="00000000">
      <w:pPr>
        <w:spacing w:after="166" w:line="259" w:lineRule="auto"/>
        <w:ind w:left="0" w:firstLine="0"/>
      </w:pPr>
      <w:r>
        <w:t xml:space="preserve"> </w:t>
      </w:r>
    </w:p>
    <w:p w:rsidR="009B0DC4" w:rsidRDefault="00000000">
      <w:pPr>
        <w:spacing w:after="0" w:line="259" w:lineRule="auto"/>
        <w:ind w:left="0" w:firstLine="0"/>
      </w:pPr>
      <w:r>
        <w:t xml:space="preserve"> </w:t>
      </w:r>
    </w:p>
    <w:p w:rsidR="009B0DC4" w:rsidRDefault="00000000">
      <w:pPr>
        <w:pStyle w:val="Heading1"/>
        <w:ind w:left="-5"/>
      </w:pPr>
      <w:r>
        <w:t>Section E — Personal Reflection</w:t>
      </w:r>
      <w:r>
        <w:rPr>
          <w:u w:val="none"/>
        </w:rPr>
        <w:t xml:space="preserve">  </w:t>
      </w:r>
    </w:p>
    <w:p w:rsidR="009B0DC4" w:rsidRDefault="00000000">
      <w:pPr>
        <w:ind w:left="-5"/>
      </w:pPr>
      <w:r>
        <w:t xml:space="preserve">Before reading this case study, my understanding of open source was, in retrospect, largely technical. I knew that open source meant the source code was available, that licenses like GPL and MIT governed what you could do with it, and that large projects like Linux had thousands of contributors. I had a vague sense that open source was good — democratising, transparent, collaborative — without having thought carefully about what made it good or under what conditions it could go wrong.  </w:t>
      </w:r>
    </w:p>
    <w:p w:rsidR="009B0DC4" w:rsidRDefault="00000000">
      <w:pPr>
        <w:ind w:left="-5"/>
      </w:pPr>
      <w:r>
        <w:t xml:space="preserve">This case study changed that understanding significantly. The dimension I had completely missed was governance: not who can read the code, but who controls the project. The revelation that a project can be fully open source in its licensing while remaining controlled by a single entity as thoroughly as any proprietary product is not one I had encountered before. It makes </w:t>
      </w:r>
      <w:proofErr w:type="gramStart"/>
      <w:r>
        <w:t>open source</w:t>
      </w:r>
      <w:proofErr w:type="gramEnd"/>
      <w:r>
        <w:t xml:space="preserve"> look more complicated — and more interesting — than I had previously appreciated.  </w:t>
      </w:r>
    </w:p>
    <w:p w:rsidR="009B0DC4" w:rsidRDefault="00000000">
      <w:pPr>
        <w:ind w:left="-5"/>
      </w:pPr>
      <w:r>
        <w:t xml:space="preserve">What surprised me most was the copyright assignment clause and its implications. The idea that a developer who contributes code to a project ends up with their work owned — even jointly — by a corporation they have no employment relationship with struck me as genuinely troubling. I understand the legal rationale. I still find it ethically uncomfortable, particularly when the receiving entity changes hands without the contributor's consent or even notification. </w:t>
      </w:r>
    </w:p>
    <w:p w:rsidR="009B0DC4" w:rsidRDefault="00000000">
      <w:pPr>
        <w:ind w:left="-5"/>
      </w:pPr>
      <w:r>
        <w:t xml:space="preserve">What troubled me was less Oracle's behaviour — which was predictable given its institutional character — than the structural naivety of the governance model that allowed that behaviour to cause so much damage. Thousands of skilled people had contributed to </w:t>
      </w:r>
      <w:proofErr w:type="spellStart"/>
      <w:r>
        <w:t>OpenO</w:t>
      </w:r>
      <w:proofErr w:type="spellEnd"/>
      <w:r>
        <w:t xml:space="preserve"> ice.org in good faith, and </w:t>
      </w:r>
      <w:r>
        <w:lastRenderedPageBreak/>
        <w:t xml:space="preserve">the project's governance architecture left them with no recourse other than the enormously costly option of forking. That seems like a design failure, and one that should have been visible and addressable long before Oracle arrived.  </w:t>
      </w:r>
    </w:p>
    <w:p w:rsidR="009B0DC4" w:rsidRDefault="00000000">
      <w:pPr>
        <w:ind w:left="-5"/>
      </w:pPr>
      <w:r>
        <w:t xml:space="preserve">As for whether the </w:t>
      </w:r>
      <w:proofErr w:type="spellStart"/>
      <w:r>
        <w:t>LibreO</w:t>
      </w:r>
      <w:proofErr w:type="spellEnd"/>
      <w:r>
        <w:t xml:space="preserve"> ice community made the right choice: I think they did, and I think I would have made the same one. Not because it was easy — it clearly was not — but because the alternative was to remain in a project whose governance gave them no voice and whose legal owner had no incentive to listen. There is a kind of dignity in building something you control, even at significant cost, rather than continuing to supply labour to an institution that treats your contributions as inputs to its own commercial output.  </w:t>
      </w:r>
    </w:p>
    <w:p w:rsidR="009B0DC4" w:rsidRDefault="00000000">
      <w:pPr>
        <w:ind w:left="-5"/>
      </w:pPr>
      <w:r>
        <w:t xml:space="preserve">The </w:t>
      </w:r>
      <w:proofErr w:type="spellStart"/>
      <w:r>
        <w:t>LibreO</w:t>
      </w:r>
      <w:proofErr w:type="spellEnd"/>
      <w:r>
        <w:t xml:space="preserve"> ice story is, ultimately, about the di </w:t>
      </w:r>
      <w:proofErr w:type="spellStart"/>
      <w:r>
        <w:t>erence</w:t>
      </w:r>
      <w:proofErr w:type="spellEnd"/>
      <w:r>
        <w:t xml:space="preserve"> between freedom on paper and freedom in practice. The community had the legal freedom to fork from the beginning. What the Document Foundation built was the institutional capacity to make that freedom real — a governance structure that ensures no future Oracle can replay the same scenario. That strikes me as one of the more important lessons </w:t>
      </w:r>
      <w:proofErr w:type="gramStart"/>
      <w:r>
        <w:t>open source</w:t>
      </w:r>
      <w:proofErr w:type="gramEnd"/>
      <w:r>
        <w:t xml:space="preserve"> practice has produced, and one that took a painful episode to learn. </w:t>
      </w:r>
    </w:p>
    <w:sectPr w:rsidR="009B0DC4">
      <w:headerReference w:type="even" r:id="rId8"/>
      <w:headerReference w:type="default" r:id="rId9"/>
      <w:footerReference w:type="even" r:id="rId10"/>
      <w:footerReference w:type="default" r:id="rId11"/>
      <w:headerReference w:type="first" r:id="rId12"/>
      <w:footerReference w:type="first" r:id="rId13"/>
      <w:pgSz w:w="12240" w:h="15840"/>
      <w:pgMar w:top="1353" w:right="1886" w:bottom="1382" w:left="1872" w:header="454"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012" w:rsidRDefault="00D46012">
      <w:pPr>
        <w:spacing w:after="0" w:line="240" w:lineRule="auto"/>
      </w:pPr>
      <w:r>
        <w:separator/>
      </w:r>
    </w:p>
  </w:endnote>
  <w:endnote w:type="continuationSeparator" w:id="0">
    <w:p w:rsidR="00D46012" w:rsidRDefault="00D46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8002" name="Group 8002"/>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8204" name="Shape 8204"/>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205" name="Shape 8205"/>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8002" style="width:514.56pt;height:2.76007pt;position:absolute;mso-position-horizontal-relative:page;mso-position-horizontal:absolute;margin-left:48.48pt;mso-position-vertical-relative:page;margin-top:766.2pt;" coordsize="65349,350">
              <v:shape id="Shape 8206" style="position:absolute;width:64983;height:350;left:0;top:0;" coordsize="6498337,35053" path="m0,0l6498337,0l6498337,35053l0,35053l0,0">
                <v:stroke weight="0pt" endcap="flat" joinstyle="miter" miterlimit="10" on="false" color="#000000" opacity="0"/>
                <v:fill on="true" color="#002060"/>
              </v:shape>
              <v:shape id="Shape 8207" style="position:absolute;width:365;height:350;left:64983;top:0;" coordsize="36575,35053" path="m0,0l36575,0l36575,35053l0,35053l0,0">
                <v:stroke weight="0pt" endcap="flat" joinstyle="miter" miterlimit="10" on="false" color="#000000" opacity="0"/>
                <v:fill on="true" color="#00206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7985" name="Group 7985"/>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8200" name="Shape 8200"/>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201" name="Shape 8201"/>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85" style="width:514.56pt;height:2.76007pt;position:absolute;mso-position-horizontal-relative:page;mso-position-horizontal:absolute;margin-left:48.48pt;mso-position-vertical-relative:page;margin-top:766.2pt;" coordsize="65349,350">
              <v:shape id="Shape 8202" style="position:absolute;width:64983;height:350;left:0;top:0;" coordsize="6498337,35053" path="m0,0l6498337,0l6498337,35053l0,35053l0,0">
                <v:stroke weight="0pt" endcap="flat" joinstyle="miter" miterlimit="10" on="false" color="#000000" opacity="0"/>
                <v:fill on="true" color="#002060"/>
              </v:shape>
              <v:shape id="Shape 8203" style="position:absolute;width:365;height:350;left:64983;top:0;" coordsize="36575,35053" path="m0,0l36575,0l36575,35053l0,35053l0,0">
                <v:stroke weight="0pt" endcap="flat" joinstyle="miter" miterlimit="10" on="false" color="#000000" opacity="0"/>
                <v:fill on="true" color="#00206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7968" name="Group 7968"/>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8196" name="Shape 8196"/>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97" name="Shape 8197"/>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68" style="width:514.56pt;height:2.76007pt;position:absolute;mso-position-horizontal-relative:page;mso-position-horizontal:absolute;margin-left:48.48pt;mso-position-vertical-relative:page;margin-top:766.2pt;" coordsize="65349,350">
              <v:shape id="Shape 8198" style="position:absolute;width:64983;height:350;left:0;top:0;" coordsize="6498337,35053" path="m0,0l6498337,0l6498337,35053l0,35053l0,0">
                <v:stroke weight="0pt" endcap="flat" joinstyle="miter" miterlimit="10" on="false" color="#000000" opacity="0"/>
                <v:fill on="true" color="#002060"/>
              </v:shape>
              <v:shape id="Shape 8199" style="position:absolute;width:365;height:350;left:64983;top:0;" coordsize="36575,35053" path="m0,0l36575,0l36575,35053l0,35053l0,0">
                <v:stroke weight="0pt" endcap="flat" joinstyle="miter" miterlimit="10" on="false" color="#000000" opacity="0"/>
                <v:fill on="true" color="#00206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012" w:rsidRDefault="00D46012">
      <w:pPr>
        <w:spacing w:after="0" w:line="240" w:lineRule="auto"/>
      </w:pPr>
      <w:r>
        <w:separator/>
      </w:r>
    </w:p>
  </w:footnote>
  <w:footnote w:type="continuationSeparator" w:id="0">
    <w:p w:rsidR="00D46012" w:rsidRDefault="00D46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7992" name="Group 7992"/>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8188" name="Shape 8188"/>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89" name="Shape 8189"/>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92" style="width:514.56pt;height:2.76pt;position:absolute;mso-position-horizontal-relative:page;mso-position-horizontal:absolute;margin-left:48.48pt;mso-position-vertical-relative:page;margin-top:22.68pt;" coordsize="65349,350">
              <v:shape id="Shape 8190" style="position:absolute;width:64983;height:350;left:0;top:0;" coordsize="6498337,35052" path="m0,0l6498337,0l6498337,35052l0,35052l0,0">
                <v:stroke weight="0pt" endcap="flat" joinstyle="miter" miterlimit="10" on="false" color="#000000" opacity="0"/>
                <v:fill on="true" color="#002060"/>
              </v:shape>
              <v:shape id="Shape 8191" style="position:absolute;width:365;height:350;left:64983;top:0;" coordsize="36575,35052" path="m0,0l36575,0l36575,35052l0,35052l0,0">
                <v:stroke weight="0pt" endcap="flat" joinstyle="miter" miterlimit="10" on="false" color="#000000" opacity="0"/>
                <v:fill on="true" color="#002060"/>
              </v:shape>
              <w10:wrap type="square"/>
            </v:group>
          </w:pict>
        </mc:Fallback>
      </mc:AlternateContent>
    </w:r>
  </w:p>
  <w:p w:rsidR="009B0DC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615696</wp:posOffset>
              </wp:positionH>
              <wp:positionV relativeFrom="page">
                <wp:posOffset>323088</wp:posOffset>
              </wp:positionV>
              <wp:extent cx="6534912" cy="9407651"/>
              <wp:effectExtent l="0" t="0" r="0" b="0"/>
              <wp:wrapNone/>
              <wp:docPr id="7995" name="Group 7995"/>
              <wp:cNvGraphicFramePr/>
              <a:graphic xmlns:a="http://schemas.openxmlformats.org/drawingml/2006/main">
                <a:graphicData uri="http://schemas.microsoft.com/office/word/2010/wordprocessingGroup">
                  <wpg:wgp>
                    <wpg:cNvGrpSpPr/>
                    <wpg:grpSpPr>
                      <a:xfrm>
                        <a:off x="0" y="0"/>
                        <a:ext cx="6534912" cy="9407651"/>
                        <a:chOff x="0" y="0"/>
                        <a:chExt cx="6534912" cy="9407651"/>
                      </a:xfrm>
                    </wpg:grpSpPr>
                    <wps:wsp>
                      <wps:cNvPr id="8192" name="Shape 8192"/>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93" name="Shape 8193"/>
                      <wps:cNvSpPr/>
                      <wps:spPr>
                        <a:xfrm>
                          <a:off x="6498337"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95" style="width:514.56pt;height:740.76pt;position:absolute;z-index:-2147483648;mso-position-horizontal-relative:page;mso-position-horizontal:absolute;margin-left:48.48pt;mso-position-vertical-relative:page;margin-top:25.44pt;" coordsize="65349,94076">
              <v:shape id="Shape 8194" style="position:absolute;width:365;height:94076;left:0;top:0;" coordsize="36576,9407651" path="m0,0l36576,0l36576,9407651l0,9407651l0,0">
                <v:stroke weight="0pt" endcap="flat" joinstyle="miter" miterlimit="10" on="false" color="#000000" opacity="0"/>
                <v:fill on="true" color="#002060"/>
              </v:shape>
              <v:shape id="Shape 8195" style="position:absolute;width:365;height:94076;left:64983;top:0;" coordsize="36575,9407651" path="m0,0l36575,0l36575,9407651l0,9407651l0,0">
                <v:stroke weight="0pt" endcap="flat" joinstyle="miter" miterlimit="10" on="false" color="#000000" opacity="0"/>
                <v:fill on="true" color="#00206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7975" name="Group 7975"/>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8180" name="Shape 8180"/>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81" name="Shape 8181"/>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75" style="width:514.56pt;height:2.76pt;position:absolute;mso-position-horizontal-relative:page;mso-position-horizontal:absolute;margin-left:48.48pt;mso-position-vertical-relative:page;margin-top:22.68pt;" coordsize="65349,350">
              <v:shape id="Shape 8182" style="position:absolute;width:64983;height:350;left:0;top:0;" coordsize="6498337,35052" path="m0,0l6498337,0l6498337,35052l0,35052l0,0">
                <v:stroke weight="0pt" endcap="flat" joinstyle="miter" miterlimit="10" on="false" color="#000000" opacity="0"/>
                <v:fill on="true" color="#002060"/>
              </v:shape>
              <v:shape id="Shape 8183" style="position:absolute;width:365;height:350;left:64983;top:0;" coordsize="36575,35052" path="m0,0l36575,0l36575,35052l0,35052l0,0">
                <v:stroke weight="0pt" endcap="flat" joinstyle="miter" miterlimit="10" on="false" color="#000000" opacity="0"/>
                <v:fill on="true" color="#002060"/>
              </v:shape>
              <w10:wrap type="square"/>
            </v:group>
          </w:pict>
        </mc:Fallback>
      </mc:AlternateContent>
    </w:r>
  </w:p>
  <w:p w:rsidR="009B0DC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615696</wp:posOffset>
              </wp:positionH>
              <wp:positionV relativeFrom="page">
                <wp:posOffset>323088</wp:posOffset>
              </wp:positionV>
              <wp:extent cx="6534912" cy="9407651"/>
              <wp:effectExtent l="0" t="0" r="0" b="0"/>
              <wp:wrapNone/>
              <wp:docPr id="7978" name="Group 7978"/>
              <wp:cNvGraphicFramePr/>
              <a:graphic xmlns:a="http://schemas.openxmlformats.org/drawingml/2006/main">
                <a:graphicData uri="http://schemas.microsoft.com/office/word/2010/wordprocessingGroup">
                  <wpg:wgp>
                    <wpg:cNvGrpSpPr/>
                    <wpg:grpSpPr>
                      <a:xfrm>
                        <a:off x="0" y="0"/>
                        <a:ext cx="6534912" cy="9407651"/>
                        <a:chOff x="0" y="0"/>
                        <a:chExt cx="6534912" cy="9407651"/>
                      </a:xfrm>
                    </wpg:grpSpPr>
                    <wps:wsp>
                      <wps:cNvPr id="8184" name="Shape 8184"/>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85" name="Shape 8185"/>
                      <wps:cNvSpPr/>
                      <wps:spPr>
                        <a:xfrm>
                          <a:off x="6498337"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78" style="width:514.56pt;height:740.76pt;position:absolute;z-index:-2147483648;mso-position-horizontal-relative:page;mso-position-horizontal:absolute;margin-left:48.48pt;mso-position-vertical-relative:page;margin-top:25.44pt;" coordsize="65349,94076">
              <v:shape id="Shape 8186" style="position:absolute;width:365;height:94076;left:0;top:0;" coordsize="36576,9407651" path="m0,0l36576,0l36576,9407651l0,9407651l0,0">
                <v:stroke weight="0pt" endcap="flat" joinstyle="miter" miterlimit="10" on="false" color="#000000" opacity="0"/>
                <v:fill on="true" color="#002060"/>
              </v:shape>
              <v:shape id="Shape 8187" style="position:absolute;width:365;height:94076;left:64983;top:0;" coordsize="36575,9407651" path="m0,0l36575,0l36575,9407651l0,9407651l0,0">
                <v:stroke weight="0pt" endcap="flat" joinstyle="miter" miterlimit="10" on="false" color="#000000" opacity="0"/>
                <v:fill on="true" color="#00206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0DC4" w:rsidRDefault="00000000">
    <w:pPr>
      <w:spacing w:after="0" w:line="259" w:lineRule="auto"/>
      <w:ind w:left="-1872" w:right="1035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7958" name="Group 7958"/>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8172" name="Shape 8172"/>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73" name="Shape 8173"/>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58" style="width:514.56pt;height:2.76pt;position:absolute;mso-position-horizontal-relative:page;mso-position-horizontal:absolute;margin-left:48.48pt;mso-position-vertical-relative:page;margin-top:22.68pt;" coordsize="65349,350">
              <v:shape id="Shape 8174" style="position:absolute;width:64983;height:350;left:0;top:0;" coordsize="6498337,35052" path="m0,0l6498337,0l6498337,35052l0,35052l0,0">
                <v:stroke weight="0pt" endcap="flat" joinstyle="miter" miterlimit="10" on="false" color="#000000" opacity="0"/>
                <v:fill on="true" color="#002060"/>
              </v:shape>
              <v:shape id="Shape 8175" style="position:absolute;width:365;height:350;left:64983;top:0;" coordsize="36575,35052" path="m0,0l36575,0l36575,35052l0,35052l0,0">
                <v:stroke weight="0pt" endcap="flat" joinstyle="miter" miterlimit="10" on="false" color="#000000" opacity="0"/>
                <v:fill on="true" color="#002060"/>
              </v:shape>
              <w10:wrap type="square"/>
            </v:group>
          </w:pict>
        </mc:Fallback>
      </mc:AlternateContent>
    </w:r>
  </w:p>
  <w:p w:rsidR="009B0DC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615696</wp:posOffset>
              </wp:positionH>
              <wp:positionV relativeFrom="page">
                <wp:posOffset>323088</wp:posOffset>
              </wp:positionV>
              <wp:extent cx="6534912" cy="9407651"/>
              <wp:effectExtent l="0" t="0" r="0" b="0"/>
              <wp:wrapNone/>
              <wp:docPr id="7961" name="Group 7961"/>
              <wp:cNvGraphicFramePr/>
              <a:graphic xmlns:a="http://schemas.openxmlformats.org/drawingml/2006/main">
                <a:graphicData uri="http://schemas.microsoft.com/office/word/2010/wordprocessingGroup">
                  <wpg:wgp>
                    <wpg:cNvGrpSpPr/>
                    <wpg:grpSpPr>
                      <a:xfrm>
                        <a:off x="0" y="0"/>
                        <a:ext cx="6534912" cy="9407651"/>
                        <a:chOff x="0" y="0"/>
                        <a:chExt cx="6534912" cy="9407651"/>
                      </a:xfrm>
                    </wpg:grpSpPr>
                    <wps:wsp>
                      <wps:cNvPr id="8176" name="Shape 8176"/>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177" name="Shape 8177"/>
                      <wps:cNvSpPr/>
                      <wps:spPr>
                        <a:xfrm>
                          <a:off x="6498337"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xmlns:a="http://schemas.openxmlformats.org/drawingml/2006/main">
          <w:pict>
            <v:group id="Group 7961" style="width:514.56pt;height:740.76pt;position:absolute;z-index:-2147483648;mso-position-horizontal-relative:page;mso-position-horizontal:absolute;margin-left:48.48pt;mso-position-vertical-relative:page;margin-top:25.44pt;" coordsize="65349,94076">
              <v:shape id="Shape 8178" style="position:absolute;width:365;height:94076;left:0;top:0;" coordsize="36576,9407651" path="m0,0l36576,0l36576,9407651l0,9407651l0,0">
                <v:stroke weight="0pt" endcap="flat" joinstyle="miter" miterlimit="10" on="false" color="#000000" opacity="0"/>
                <v:fill on="true" color="#002060"/>
              </v:shape>
              <v:shape id="Shape 8179" style="position:absolute;width:365;height:94076;left:64983;top:0;" coordsize="36575,9407651" path="m0,0l36575,0l36575,9407651l0,9407651l0,0">
                <v:stroke weight="0pt" endcap="flat" joinstyle="miter" miterlimit="10" on="false" color="#000000" opacity="0"/>
                <v:fill on="true" color="#00206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7DB7"/>
    <w:multiLevelType w:val="hybridMultilevel"/>
    <w:tmpl w:val="528E8EFE"/>
    <w:lvl w:ilvl="0" w:tplc="1400C326">
      <w:start w:val="1"/>
      <w:numFmt w:val="bullet"/>
      <w:lvlText w:val="•"/>
      <w:lvlJc w:val="left"/>
      <w:pPr>
        <w:ind w:left="13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F6852D6">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8B25178">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32E1BEA">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0DC49A8">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0EEE31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8E811A4">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10842B0">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900D44E">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36537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DC4"/>
    <w:rsid w:val="00073136"/>
    <w:rsid w:val="006848C1"/>
    <w:rsid w:val="009B0DC4"/>
    <w:rsid w:val="00D46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B294"/>
  <w15:docId w15:val="{1A983297-2B8C-45C9-8F9C-35E5A3D9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6"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 w:line="259" w:lineRule="auto"/>
      <w:ind w:left="10" w:hanging="10"/>
      <w:outlineLvl w:val="0"/>
    </w:pPr>
    <w:rPr>
      <w:rFonts w:ascii="Times New Roman" w:eastAsia="Times New Roman" w:hAnsi="Times New Roman" w:cs="Times New Roman"/>
      <w:color w:val="000000"/>
      <w:sz w:val="41"/>
      <w:u w:val="single" w:color="000000"/>
    </w:rPr>
  </w:style>
  <w:style w:type="paragraph" w:styleId="Heading2">
    <w:name w:val="heading 2"/>
    <w:next w:val="Normal"/>
    <w:link w:val="Heading2Char"/>
    <w:uiPriority w:val="9"/>
    <w:unhideWhenUsed/>
    <w:qFormat/>
    <w:pPr>
      <w:keepNext/>
      <w:keepLines/>
      <w:spacing w:after="165" w:line="259" w:lineRule="auto"/>
      <w:ind w:left="10" w:hanging="10"/>
      <w:outlineLvl w:val="1"/>
    </w:pPr>
    <w:rPr>
      <w:rFonts w:ascii="Times New Roman" w:eastAsia="Times New Roman" w:hAnsi="Times New Roman" w:cs="Times New Roman"/>
      <w:color w:val="EE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EE0000"/>
      <w:sz w:val="23"/>
    </w:rPr>
  </w:style>
  <w:style w:type="character" w:customStyle="1" w:styleId="Heading1Char">
    <w:name w:val="Heading 1 Char"/>
    <w:link w:val="Heading1"/>
    <w:rPr>
      <w:rFonts w:ascii="Times New Roman" w:eastAsia="Times New Roman" w:hAnsi="Times New Roman" w:cs="Times New Roman"/>
      <w:color w:val="000000"/>
      <w:sz w:val="41"/>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3722</Words>
  <Characters>21222</Characters>
  <Application>Microsoft Office Word</Application>
  <DocSecurity>0</DocSecurity>
  <Lines>176</Lines>
  <Paragraphs>49</Paragraphs>
  <ScaleCrop>false</ScaleCrop>
  <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The Fork in the Road</dc:title>
  <dc:subject/>
  <dc:creator>Hiral Jagetiya</dc:creator>
  <cp:keywords/>
  <cp:lastModifiedBy>Aarav Trivedi</cp:lastModifiedBy>
  <cp:revision>2</cp:revision>
  <dcterms:created xsi:type="dcterms:W3CDTF">2026-03-31T18:03:00Z</dcterms:created>
  <dcterms:modified xsi:type="dcterms:W3CDTF">2026-03-31T18:03:00Z</dcterms:modified>
</cp:coreProperties>
</file>