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MILAP BHAVESHKUMAR TRIVEDI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milap.trivedi16@outlook.com | LinkedIn | +49 174 6060297 | Paris | Available from: September 2026 onwards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PROFILE 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ESCP MiM candidate (Consulting specialization, GMAT 710 - Top 9%) with McKinsey Forward training, 180 Degrees Consulting project leadership and top-20 Harvard M&amp;A case-competition finish; analyst internships spanning market sizing, growth strategy and investment analysis across energy, TMT and asset management.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ESCP BUSINESS SCHOOL | Master in Management - Programme Grande École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'23 - Dec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3.7/4.0 | GMAT: 710 (Top 9%) | Specialization(s) - Consulting, Entrepreneurship | CFA L1: Nov '26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Paris, Berlin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WHU - OTTO BEISHEIM SCHOOL OF MANAGEMENT | Master in Finance -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'26 - Apr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Advanced Course(s) - Financial Statement Analysis, Financial Modeling, Asset Management, Risk Management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Düsseldorf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THE LNMIIT | Bachelor of Technology - Electronics and Communication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Aug '18 - Jul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6.33/10.0 (Top 15%) | JEE National Test (Phy, Math, Chem): Top 3.3% (of 1.2M) | Courses - AI, Robotics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Jaipur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LA FRANÇAISE GROUP - NEW ALPHA ASSET MANAGEMENT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Jul '26 - Present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Hedge Fund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Synthesized findings into 10+ research notes for senior stakeholders, combining due diligence, peer benchmarking &amp; risk analysis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20+ investment managers across strategies, structuring assessments of return drivers &amp; risk controls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SIEMENS ENERGY | Energy Transition &amp;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Oct '25 - Mar '26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Corporate Development &amp; Investments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Berlin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Sized markets &amp; built scenario-based business cases for renewables and grid-infrastructure investments worth €60M+ (MENA)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Identified ~€1.2B growth potential in low-emission technologies through structured analysis of energy-transition markets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Distilled analysis into investment-committee presentations supporting €200M+ capital-allocation decisions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MUNICH RE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Mar '25 - Jun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Asset Management Intern - Private Credit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Benchmarked 5+ asset managers for €2B+ mandates, structuring evaluation criteria on performance &amp; diversification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dashboards that cut risk/performance monitoring effort by 30%, improving senior management oversight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ORANGE | Telecommunications, Media &amp; Technology (TMT)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'24 - Jan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Mergers &amp; Acquisitions (M&amp;A)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Supported M&amp;A decisions through financial analysis, competitive benchmarking &amp; scenario analysis of telecom assets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network cost structures, identifying €50M+ OPEX improvement levers with direct EBITDA impact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CEPRES | Private Equity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Jun '24 - Aug '24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Private Equity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quarterly investment reports for institutional clients, improving visibility on performance &amp; downside risk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EXTRACURRICULARS &amp; LEADERSHIP ROLES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180 DEGREES CONSULTING | Project Leader | Strategy Consulting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'24 - Sep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Consulted non-profits on GTM strategies &amp; growth plans; designed ESG frameworks &amp; domestic expansion roadmaps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HARVARD CASE COMPETITION | Team Leader | Harvard Business School - M&amp;A Case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'25 - Apr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a 5-member team to a top-20 finish among 300+ teams, presenting an automotive-industry M&amp;A case study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ALL INDIA NATIONAL UNIVERSITY LEVEL VOLLEYBALL | Captain | National Level Sports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'20 - Apr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Captained a national team to top-3 finishes in 7+ national tournaments, competing among India's top 35 teams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Mumbai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 Skills:</w:t>
      </w:r>
      <w:r>
        <w:rPr>
          <w:rFonts w:ascii="Calibri" w:cs="Calibri" w:eastAsia="Calibri" w:hAnsi="Calibri"/>
          <w:sz w:val="18"/>
          <w:szCs w:val="18"/>
        </w:rPr>
        <w:t xml:space="preserve"> MS PowerPoint (storylining) | MS Excel | Python | SQL | Power BI | Bloomberg Terminal | Pitchbook | FactSet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</w:t>
      </w:r>
      <w:r>
        <w:rPr>
          <w:rFonts w:ascii="Calibri" w:cs="Calibri" w:eastAsia="Calibri" w:hAnsi="Calibri"/>
          <w:sz w:val="18"/>
          <w:szCs w:val="18"/>
        </w:rPr>
        <w:t xml:space="preserve"> English (Native) | German (Upper Intermediate - B2) | French (Beginner - A2) | Hindi (Native) | Gujarati (Native)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</w:t>
      </w:r>
      <w:r>
        <w:rPr>
          <w:rFonts w:ascii="Calibri" w:cs="Calibri" w:eastAsia="Calibri" w:hAnsi="Calibri"/>
          <w:sz w:val="18"/>
          <w:szCs w:val="18"/>
        </w:rPr>
        <w:t xml:space="preserve"> McKinsey Forward Program | Bloomberg Market Concepts | CFI - FMVA | CFI - Financial Statements Analysis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Interests:</w:t>
      </w:r>
      <w:r>
        <w:rPr>
          <w:rFonts w:ascii="Calibri" w:cs="Calibri" w:eastAsia="Calibri" w:hAnsi="Calibri"/>
          <w:sz w:val="18"/>
          <w:szCs w:val="18"/>
        </w:rPr>
        <w:t xml:space="preserve"> Cinematography (International Projects with 12+ nationalities) | Biking &amp; Cycling | Cooking | Travelling | Formula 1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2026-07-18T13:14:54.455Z</dcterms:created>
  <dcterms:modified xsi:type="dcterms:W3CDTF">2026-07-18T13:14:54.455Z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