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MILAP BHAVESHKUMAR TRIVEDI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404040"/>
          <w:sz w:val="16"/>
          <w:szCs w:val="16"/>
        </w:rPr>
        <w:t xml:space="preserve">milap.trivedi16@outlook.com | LinkedIn | +49 174 6060297 | Paris | Available from: September 2026 onwards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PROFILE  </w:t>
      </w:r>
      <w:r>
        <w:rPr>
          <w:rFonts w:ascii="Calibri" w:cs="Calibri" w:eastAsia="Calibri" w:hAnsi="Calibri"/>
          <w:i/>
          <w:iCs/>
          <w:sz w:val="17"/>
          <w:szCs w:val="17"/>
        </w:rPr>
        <w:t xml:space="preserve">Energy &amp; infrastructure finance profile: corporate development at Siemens Energy (€200M+ investment-committee decisions across MENA renewables &amp; grid), infrastructure-linked private credit at Munich Re, digital-infrastructure (FTTH) M&amp;A at Orange; engineering undergraduate with scenario-modelling depth; CFA L1 Nov '26.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ESCP BUSINESS SCHOOL | Master in Management - Programme Grande École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Sep '23 - Dec '26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GPA: 3.7/4.0 | GMAT: 710 (Top 9%) | CFA L1: Nov '26 | Specialization(s) - Consulting, Entrepreneurship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Paris, Berlin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WHU - OTTO BEISHEIM SCHOOL OF MANAGEMENT | Master in Finance - Exchange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Jan '26 - Apr '26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Advanced Course(s) - Financial Modeling, Risk Management, Financial Statement Analysis, Asset Management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Düsseldorf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THE LNMIIT | Bachelor of Technology - Electronics and Communication Engineering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Aug '18 - Jul '22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GPA: 6.33/10.0 (Top 15%) | JEE National Test (Phy, Math, Chem): Top 3.3% (of 1.2M) | Courses - AI, Robotics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Jaipur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WORK EXPERIENCE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LA FRANÇAISE GROUP - NEW ALPHA ASSET MANAGEMENT | Alternative Investments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Jul '26 - Present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Hedge Fund Analyst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Paris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regression-based attribution models across €500M+ allocations, identifying alpha, beta exposure &amp; drawdown drivers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Produced 10+ research notes combining manager due diligence, peer benchmarking &amp; risk analysis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SIEMENS ENERGY | Energy Transition &amp; Technology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Oct '25 - Mar '26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Corporate Development &amp; Investments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Berlin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market-sizing &amp; scenario-based investment models for renewables and grid-infrastructure opportunities worth €60M+ across the MENA region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Prepared investment-committee materials supporting €200M+ capital-allocation decisions in energy-transition technologies &amp; assets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energy-transition markets across gas services &amp; turbines, quantifying ~€1.2B growth potential in low-emission technologies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MUNICH RE | Alternative Investments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Mar '25 - Jun '25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Asset Management Intern - Private Credit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Munich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Evaluated €10B+ portfolios with focus on private debt &amp; infrastructure-linked assets, assessing spreads, beta &amp; downside risk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Benchmarked 5+ asset managers for €2B+ private-debt mandates, evaluating risk-adjusted performance &amp; diversification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ORANGE | Telecommunications, Media &amp; Technology (TMT)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Sep '24 - Jan '25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Mergers &amp; Acquisitions (M&amp;A)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Paris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valuation models (DCF, trading comps) for FTTH digital-infrastructure targets across a €70M+ M&amp;A pipeline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network cost structures &amp; long-life asset economics, identifying €50M+ OPEX upside impacting EBITDA &amp; valuation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CEPRES | Private Equity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Jun '24 - Aug '24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Private Equity Analyst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Munich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fund- &amp; company-level IRR, cash flows &amp; sector exposure to support investment evaluation &amp; diversification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EXTRACURRICULARS &amp; LEADERSHIP ROLES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180 DEGREES CONSULTING | Project Leader | Strategy Consulting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Jan '24 - Sep '25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Consulted non-profits on GTM strategies &amp; growth plans; designed ESG frameworks &amp; domestic expansion roadmaps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HARVARD CASE COMPETITION | Team Leader | Harvard Business School - M&amp;A Case Competition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Feb '25 - Apr '25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Led a 5-member team to a top-20 finish among 300+ teams, presenting an automotive-industry M&amp;A case study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ALL INDIA NATIONAL UNIVERSITY LEVEL VOLLEYBALL | Captain | National Level Sports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Feb '20 - Apr '22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Captained a national team to top-3 finishes in 7+ national tournaments, competing among India's top 35 teams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Mumbai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SKILLS &amp; CERTIFICATIONS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Tech Skills:</w:t>
      </w:r>
      <w:r>
        <w:rPr>
          <w:rFonts w:ascii="Calibri" w:cs="Calibri" w:eastAsia="Calibri" w:hAnsi="Calibri"/>
          <w:sz w:val="18"/>
          <w:szCs w:val="18"/>
        </w:rPr>
        <w:t xml:space="preserve"> MS Excel (scenario &amp; cash-flow modelling) | Python | Bloomberg Terminal | FactSet | Pitchbook | SQL | Power BI | MS PowerPoint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Languages:</w:t>
      </w:r>
      <w:r>
        <w:rPr>
          <w:rFonts w:ascii="Calibri" w:cs="Calibri" w:eastAsia="Calibri" w:hAnsi="Calibri"/>
          <w:sz w:val="18"/>
          <w:szCs w:val="18"/>
        </w:rPr>
        <w:t xml:space="preserve"> English (Native) | German (Upper Intermediate - B2) | French (Beginner - A2) | Hindi (Native) | Gujarati (Native)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Certifications:</w:t>
      </w:r>
      <w:r>
        <w:rPr>
          <w:rFonts w:ascii="Calibri" w:cs="Calibri" w:eastAsia="Calibri" w:hAnsi="Calibri"/>
          <w:sz w:val="18"/>
          <w:szCs w:val="18"/>
        </w:rPr>
        <w:t xml:space="preserve"> CFI - FMVA | CFI - Financial Statements Analysis | Bloomberg Market Concepts | McKinsey Forward Program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Interests:</w:t>
      </w:r>
      <w:r>
        <w:rPr>
          <w:rFonts w:ascii="Calibri" w:cs="Calibri" w:eastAsia="Calibri" w:hAnsi="Calibri"/>
          <w:sz w:val="18"/>
          <w:szCs w:val="18"/>
        </w:rPr>
        <w:t xml:space="preserve"> Cinematography (International Projects with 12+ nationalities) | Biking &amp; Cycling | Cooking | Travelling | Formula 1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2026-07-18T13:14:54.437Z</dcterms:created>
  <dcterms:modified xsi:type="dcterms:W3CDTF">2026-07-18T13:14:54.437Z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