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  <w:jc w:val="center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MILAP BHAVESHKUMAR TRIVEDI</w:t>
      </w:r>
    </w:p>
    <w:p>
      <w:pPr>
        <w:spacing w:after="60"/>
        <w:jc w:val="center"/>
      </w:pPr>
      <w:r>
        <w:rPr>
          <w:rFonts w:ascii="Calibri" w:cs="Calibri" w:eastAsia="Calibri" w:hAnsi="Calibri"/>
          <w:color w:val="404040"/>
          <w:sz w:val="16"/>
          <w:szCs w:val="16"/>
        </w:rPr>
        <w:t xml:space="preserve">milap.trivedi16@outlook.com | LinkedIn | +49 174 6060297 | Paris | Available from: September 2026 onwards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F3864"/>
          <w:sz w:val="18"/>
          <w:szCs w:val="18"/>
        </w:rPr>
        <w:t xml:space="preserve">PROFILE  </w:t>
      </w:r>
      <w:r>
        <w:rPr>
          <w:rFonts w:ascii="Calibri" w:cs="Calibri" w:eastAsia="Calibri" w:hAnsi="Calibri"/>
          <w:i/>
          <w:iCs/>
          <w:sz w:val="17"/>
          <w:szCs w:val="17"/>
        </w:rPr>
        <w:t xml:space="preserve">Master in Management candidate (ESCP, GMAT 710, CFA L1 Nov '26) targeting investment banking analyst roles: M&amp;A valuation (DCF, trading &amp; transaction comps), financial modelling and investment-committee materials across TMT, energy and asset management; FMVA-certified.</w:t>
      </w:r>
    </w:p>
    <w:p>
      <w:pPr>
        <w:pBdr>
          <w:bottom w:val="single" w:color="1F3864" w:sz="6"/>
        </w:pBdr>
        <w:spacing w:after="40" w:before="14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EDUCATION</w:t>
      </w:r>
    </w:p>
    <w:p>
      <w:pPr>
        <w:tabs>
          <w:tab w:val="right" w:pos="10466"/>
        </w:tabs>
        <w:spacing w:after="20"/>
      </w:pPr>
      <w:r>
        <w:rPr>
          <w:rFonts w:ascii="Calibri" w:cs="Calibri" w:eastAsia="Calibri" w:hAnsi="Calibri"/>
          <w:b/>
          <w:bCs/>
          <w:i w:val="false"/>
          <w:iCs w:val="false"/>
          <w:sz w:val="18"/>
          <w:szCs w:val="18"/>
        </w:rPr>
        <w:t xml:space="preserve">ESCP BUSINESS SCHOOL | Master in Management - Programme Grande École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8"/>
          <w:szCs w:val="18"/>
        </w:rPr>
        <w:t xml:space="preserve">	Sep '23 - Dec '26</w:t>
      </w:r>
    </w:p>
    <w:p>
      <w:pPr>
        <w:pStyle w:val="ListParagraph"/>
        <w:numPr>
          <w:ilvl w:val="0"/>
          <w:numId w:val="2"/>
        </w:numPr>
        <w:tabs>
          <w:tab w:val="right" w:pos="10466"/>
        </w:tabs>
        <w:spacing w:after="20"/>
      </w:pPr>
      <w:r>
        <w:rPr>
          <w:rFonts w:ascii="Calibri" w:cs="Calibri" w:eastAsia="Calibri" w:hAnsi="Calibri"/>
          <w:sz w:val="18"/>
          <w:szCs w:val="18"/>
        </w:rPr>
        <w:t xml:space="preserve">GPA: 3.7/4.0 | GMAT: 710 (Top 9%) | Specialization(s) - Consulting, Entrepreneurship | CFA L1: Nov '26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	Paris, Berlin</w:t>
      </w:r>
    </w:p>
    <w:p>
      <w:pPr>
        <w:tabs>
          <w:tab w:val="right" w:pos="10466"/>
        </w:tabs>
        <w:spacing w:after="20"/>
      </w:pPr>
      <w:r>
        <w:rPr>
          <w:rFonts w:ascii="Calibri" w:cs="Calibri" w:eastAsia="Calibri" w:hAnsi="Calibri"/>
          <w:b/>
          <w:bCs/>
          <w:i w:val="false"/>
          <w:iCs w:val="false"/>
          <w:sz w:val="18"/>
          <w:szCs w:val="18"/>
        </w:rPr>
        <w:t xml:space="preserve">WHU - OTTO BEISHEIM SCHOOL OF MANAGEMENT | Master in Finance - Exchange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8"/>
          <w:szCs w:val="18"/>
        </w:rPr>
        <w:t xml:space="preserve">	Jan '26 - Apr '26</w:t>
      </w:r>
    </w:p>
    <w:p>
      <w:pPr>
        <w:pStyle w:val="ListParagraph"/>
        <w:numPr>
          <w:ilvl w:val="0"/>
          <w:numId w:val="2"/>
        </w:numPr>
        <w:tabs>
          <w:tab w:val="right" w:pos="10466"/>
        </w:tabs>
        <w:spacing w:after="20"/>
      </w:pPr>
      <w:r>
        <w:rPr>
          <w:rFonts w:ascii="Calibri" w:cs="Calibri" w:eastAsia="Calibri" w:hAnsi="Calibri"/>
          <w:sz w:val="18"/>
          <w:szCs w:val="18"/>
        </w:rPr>
        <w:t xml:space="preserve">Advanced Course(s) - Financial Modeling, Financial Statement Analysis, Asset Management, Risk Management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	Düsseldorf</w:t>
      </w:r>
    </w:p>
    <w:p>
      <w:pPr>
        <w:tabs>
          <w:tab w:val="right" w:pos="10466"/>
        </w:tabs>
        <w:spacing w:after="20"/>
      </w:pPr>
      <w:r>
        <w:rPr>
          <w:rFonts w:ascii="Calibri" w:cs="Calibri" w:eastAsia="Calibri" w:hAnsi="Calibri"/>
          <w:b/>
          <w:bCs/>
          <w:i w:val="false"/>
          <w:iCs w:val="false"/>
          <w:sz w:val="18"/>
          <w:szCs w:val="18"/>
        </w:rPr>
        <w:t xml:space="preserve">THE LNMIIT | Bachelor of Technology - Electronics and Communication Engineering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8"/>
          <w:szCs w:val="18"/>
        </w:rPr>
        <w:t xml:space="preserve">	Aug '18 - Jul '22</w:t>
      </w:r>
    </w:p>
    <w:p>
      <w:pPr>
        <w:pStyle w:val="ListParagraph"/>
        <w:numPr>
          <w:ilvl w:val="0"/>
          <w:numId w:val="2"/>
        </w:numPr>
        <w:tabs>
          <w:tab w:val="right" w:pos="10466"/>
        </w:tabs>
        <w:spacing w:after="20"/>
      </w:pPr>
      <w:r>
        <w:rPr>
          <w:rFonts w:ascii="Calibri" w:cs="Calibri" w:eastAsia="Calibri" w:hAnsi="Calibri"/>
          <w:sz w:val="18"/>
          <w:szCs w:val="18"/>
        </w:rPr>
        <w:t xml:space="preserve">GPA: 6.33/10.0 (Top 15%) | JEE National Test (Phy, Math, Chem): Top 3.3% (of 1.2M) | Courses - AI, Robotics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	Jaipur</w:t>
      </w:r>
    </w:p>
    <w:p>
      <w:pPr>
        <w:pBdr>
          <w:bottom w:val="single" w:color="1F3864" w:sz="6"/>
        </w:pBdr>
        <w:spacing w:after="40" w:before="14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WORK EXPERIENCE</w:t>
      </w:r>
    </w:p>
    <w:p>
      <w:pPr>
        <w:tabs>
          <w:tab w:val="right" w:pos="10466"/>
        </w:tabs>
        <w:spacing w:after="20"/>
      </w:pPr>
      <w:r>
        <w:rPr>
          <w:rFonts w:ascii="Calibri" w:cs="Calibri" w:eastAsia="Calibri" w:hAnsi="Calibri"/>
          <w:b/>
          <w:bCs/>
          <w:i w:val="false"/>
          <w:iCs w:val="false"/>
          <w:sz w:val="18"/>
          <w:szCs w:val="18"/>
        </w:rPr>
        <w:t xml:space="preserve">LA FRANÇAISE GROUP - NEW ALPHA ASSET MANAGEMENT | Alternative Investments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8"/>
          <w:szCs w:val="18"/>
        </w:rPr>
        <w:t xml:space="preserve">	Jul '26 - Present</w:t>
      </w:r>
    </w:p>
    <w:p>
      <w:pPr>
        <w:tabs>
          <w:tab w:val="right" w:pos="10466"/>
        </w:tabs>
        <w:spacing w:after="20"/>
      </w:pPr>
      <w:r>
        <w:rPr>
          <w:rFonts w:ascii="Calibri" w:cs="Calibri" w:eastAsia="Calibri" w:hAnsi="Calibri"/>
          <w:b w:val="false"/>
          <w:bCs w:val="false"/>
          <w:i/>
          <w:iCs/>
          <w:sz w:val="18"/>
          <w:szCs w:val="18"/>
        </w:rPr>
        <w:t xml:space="preserve">Hedge Fund Analyst Intern</w:t>
      </w:r>
      <w:r>
        <w:rPr>
          <w:rFonts w:ascii="Calibri" w:cs="Calibri" w:eastAsia="Calibri" w:hAnsi="Calibri"/>
          <w:b w:val="false"/>
          <w:bCs w:val="false"/>
          <w:i/>
          <w:iCs/>
          <w:sz w:val="18"/>
          <w:szCs w:val="18"/>
        </w:rPr>
        <w:t xml:space="preserve">	Paris</w:t>
      </w:r>
    </w:p>
    <w:p>
      <w:pPr>
        <w:pStyle w:val="ListParagraph"/>
        <w:numPr>
          <w:ilvl w:val="0"/>
          <w:numId w:val="2"/>
        </w:numPr>
        <w:tabs>
          <w:tab w:val="right" w:pos="10466"/>
        </w:tabs>
        <w:spacing w:after="20"/>
      </w:pPr>
      <w:r>
        <w:rPr>
          <w:rFonts w:ascii="Calibri" w:cs="Calibri" w:eastAsia="Calibri" w:hAnsi="Calibri"/>
          <w:sz w:val="18"/>
          <w:szCs w:val="18"/>
        </w:rPr>
        <w:t xml:space="preserve">Produced 10+ investment research notes on equity &amp; credit exposures, combining manager due diligence, peer benchmarking &amp; risk analysis under tight deadlines</w:t>
      </w:r>
    </w:p>
    <w:p>
      <w:pPr>
        <w:pStyle w:val="ListParagraph"/>
        <w:numPr>
          <w:ilvl w:val="0"/>
          <w:numId w:val="2"/>
        </w:numPr>
        <w:tabs>
          <w:tab w:val="right" w:pos="10466"/>
        </w:tabs>
        <w:spacing w:after="20"/>
      </w:pPr>
      <w:r>
        <w:rPr>
          <w:rFonts w:ascii="Calibri" w:cs="Calibri" w:eastAsia="Calibri" w:hAnsi="Calibri"/>
          <w:sz w:val="18"/>
          <w:szCs w:val="18"/>
        </w:rPr>
        <w:t xml:space="preserve">Built regression-based attribution models across €500M+ allocations, identifying alpha, beta exposure &amp; drawdown drivers</w:t>
      </w:r>
    </w:p>
    <w:p>
      <w:pPr>
        <w:pStyle w:val="ListParagraph"/>
        <w:numPr>
          <w:ilvl w:val="0"/>
          <w:numId w:val="2"/>
        </w:numPr>
        <w:tabs>
          <w:tab w:val="right" w:pos="10466"/>
        </w:tabs>
        <w:spacing w:after="20"/>
      </w:pPr>
      <w:r>
        <w:rPr>
          <w:rFonts w:ascii="Calibri" w:cs="Calibri" w:eastAsia="Calibri" w:hAnsi="Calibri"/>
          <w:sz w:val="18"/>
          <w:szCs w:val="18"/>
        </w:rPr>
        <w:t xml:space="preserve">Analyzed 20+ long/short equity, global macro, event-driven &amp; credit managers, assessing return drivers &amp; risk controls</w:t>
      </w:r>
    </w:p>
    <w:p>
      <w:pPr>
        <w:tabs>
          <w:tab w:val="right" w:pos="10466"/>
        </w:tabs>
        <w:spacing w:after="20"/>
      </w:pPr>
      <w:r>
        <w:rPr>
          <w:rFonts w:ascii="Calibri" w:cs="Calibri" w:eastAsia="Calibri" w:hAnsi="Calibri"/>
          <w:b/>
          <w:bCs/>
          <w:i w:val="false"/>
          <w:iCs w:val="false"/>
          <w:sz w:val="18"/>
          <w:szCs w:val="18"/>
        </w:rPr>
        <w:t xml:space="preserve">SIEMENS ENERGY | Energy Transition &amp; Technology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8"/>
          <w:szCs w:val="18"/>
        </w:rPr>
        <w:t xml:space="preserve">	Oct '25 - Mar '26</w:t>
      </w:r>
    </w:p>
    <w:p>
      <w:pPr>
        <w:tabs>
          <w:tab w:val="right" w:pos="10466"/>
        </w:tabs>
        <w:spacing w:after="20"/>
      </w:pPr>
      <w:r>
        <w:rPr>
          <w:rFonts w:ascii="Calibri" w:cs="Calibri" w:eastAsia="Calibri" w:hAnsi="Calibri"/>
          <w:b w:val="false"/>
          <w:bCs w:val="false"/>
          <w:i/>
          <w:iCs/>
          <w:sz w:val="18"/>
          <w:szCs w:val="18"/>
        </w:rPr>
        <w:t xml:space="preserve">Corporate Development &amp; Investments Intern</w:t>
      </w:r>
      <w:r>
        <w:rPr>
          <w:rFonts w:ascii="Calibri" w:cs="Calibri" w:eastAsia="Calibri" w:hAnsi="Calibri"/>
          <w:b w:val="false"/>
          <w:bCs w:val="false"/>
          <w:i/>
          <w:iCs/>
          <w:sz w:val="18"/>
          <w:szCs w:val="18"/>
        </w:rPr>
        <w:t xml:space="preserve">	Berlin</w:t>
      </w:r>
    </w:p>
    <w:p>
      <w:pPr>
        <w:pStyle w:val="ListParagraph"/>
        <w:numPr>
          <w:ilvl w:val="0"/>
          <w:numId w:val="2"/>
        </w:numPr>
        <w:tabs>
          <w:tab w:val="right" w:pos="10466"/>
        </w:tabs>
        <w:spacing w:after="20"/>
      </w:pPr>
      <w:r>
        <w:rPr>
          <w:rFonts w:ascii="Calibri" w:cs="Calibri" w:eastAsia="Calibri" w:hAnsi="Calibri"/>
          <w:sz w:val="18"/>
          <w:szCs w:val="18"/>
        </w:rPr>
        <w:t xml:space="preserve">Prepared investment-committee materials supporting €200M+ capital-allocation decisions in energy-transition assets</w:t>
      </w:r>
    </w:p>
    <w:p>
      <w:pPr>
        <w:pStyle w:val="ListParagraph"/>
        <w:numPr>
          <w:ilvl w:val="0"/>
          <w:numId w:val="2"/>
        </w:numPr>
        <w:tabs>
          <w:tab w:val="right" w:pos="10466"/>
        </w:tabs>
        <w:spacing w:after="20"/>
      </w:pPr>
      <w:r>
        <w:rPr>
          <w:rFonts w:ascii="Calibri" w:cs="Calibri" w:eastAsia="Calibri" w:hAnsi="Calibri"/>
          <w:sz w:val="18"/>
          <w:szCs w:val="18"/>
        </w:rPr>
        <w:t xml:space="preserve">Built market-sizing &amp; scenario-based models for renewables and grid-infrastructure investments worth €60M+ (MENA)</w:t>
      </w:r>
    </w:p>
    <w:p>
      <w:pPr>
        <w:pStyle w:val="ListParagraph"/>
        <w:numPr>
          <w:ilvl w:val="0"/>
          <w:numId w:val="2"/>
        </w:numPr>
        <w:tabs>
          <w:tab w:val="right" w:pos="10466"/>
        </w:tabs>
        <w:spacing w:after="20"/>
      </w:pPr>
      <w:r>
        <w:rPr>
          <w:rFonts w:ascii="Calibri" w:cs="Calibri" w:eastAsia="Calibri" w:hAnsi="Calibri"/>
          <w:sz w:val="18"/>
          <w:szCs w:val="18"/>
        </w:rPr>
        <w:t xml:space="preserve">Analyzed energy-transition markets across gas services &amp; turbines, quantifying ~€1.2B growth potential</w:t>
      </w:r>
    </w:p>
    <w:p>
      <w:pPr>
        <w:tabs>
          <w:tab w:val="right" w:pos="10466"/>
        </w:tabs>
        <w:spacing w:after="20"/>
      </w:pPr>
      <w:r>
        <w:rPr>
          <w:rFonts w:ascii="Calibri" w:cs="Calibri" w:eastAsia="Calibri" w:hAnsi="Calibri"/>
          <w:b/>
          <w:bCs/>
          <w:i w:val="false"/>
          <w:iCs w:val="false"/>
          <w:sz w:val="18"/>
          <w:szCs w:val="18"/>
        </w:rPr>
        <w:t xml:space="preserve">MUNICH RE | Alternative Investments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8"/>
          <w:szCs w:val="18"/>
        </w:rPr>
        <w:t xml:space="preserve">	Mar '25 - Jun '25</w:t>
      </w:r>
    </w:p>
    <w:p>
      <w:pPr>
        <w:tabs>
          <w:tab w:val="right" w:pos="10466"/>
        </w:tabs>
        <w:spacing w:after="20"/>
      </w:pPr>
      <w:r>
        <w:rPr>
          <w:rFonts w:ascii="Calibri" w:cs="Calibri" w:eastAsia="Calibri" w:hAnsi="Calibri"/>
          <w:b w:val="false"/>
          <w:bCs w:val="false"/>
          <w:i/>
          <w:iCs/>
          <w:sz w:val="18"/>
          <w:szCs w:val="18"/>
        </w:rPr>
        <w:t xml:space="preserve">Asset Management Intern - Private Credit</w:t>
      </w:r>
      <w:r>
        <w:rPr>
          <w:rFonts w:ascii="Calibri" w:cs="Calibri" w:eastAsia="Calibri" w:hAnsi="Calibri"/>
          <w:b w:val="false"/>
          <w:bCs w:val="false"/>
          <w:i/>
          <w:iCs/>
          <w:sz w:val="18"/>
          <w:szCs w:val="18"/>
        </w:rPr>
        <w:t xml:space="preserve">	Munich</w:t>
      </w:r>
    </w:p>
    <w:p>
      <w:pPr>
        <w:pStyle w:val="ListParagraph"/>
        <w:numPr>
          <w:ilvl w:val="0"/>
          <w:numId w:val="2"/>
        </w:numPr>
        <w:tabs>
          <w:tab w:val="right" w:pos="10466"/>
        </w:tabs>
        <w:spacing w:after="20"/>
      </w:pPr>
      <w:r>
        <w:rPr>
          <w:rFonts w:ascii="Calibri" w:cs="Calibri" w:eastAsia="Calibri" w:hAnsi="Calibri"/>
          <w:sz w:val="18"/>
          <w:szCs w:val="18"/>
        </w:rPr>
        <w:t xml:space="preserve">Evaluated €10B+ portfolios in private debt &amp; infrastructure-linked assets, assessing spreads, beta &amp; downside risk</w:t>
      </w:r>
    </w:p>
    <w:p>
      <w:pPr>
        <w:pStyle w:val="ListParagraph"/>
        <w:numPr>
          <w:ilvl w:val="0"/>
          <w:numId w:val="2"/>
        </w:numPr>
        <w:tabs>
          <w:tab w:val="right" w:pos="10466"/>
        </w:tabs>
        <w:spacing w:after="20"/>
      </w:pPr>
      <w:r>
        <w:rPr>
          <w:rFonts w:ascii="Calibri" w:cs="Calibri" w:eastAsia="Calibri" w:hAnsi="Calibri"/>
          <w:sz w:val="18"/>
          <w:szCs w:val="18"/>
        </w:rPr>
        <w:t xml:space="preserve">Benchmarked 5+ asset managers for €2B+ private-debt mandates on risk-adjusted performance &amp; diversification</w:t>
      </w:r>
    </w:p>
    <w:p>
      <w:pPr>
        <w:tabs>
          <w:tab w:val="right" w:pos="10466"/>
        </w:tabs>
        <w:spacing w:after="20"/>
      </w:pPr>
      <w:r>
        <w:rPr>
          <w:rFonts w:ascii="Calibri" w:cs="Calibri" w:eastAsia="Calibri" w:hAnsi="Calibri"/>
          <w:b/>
          <w:bCs/>
          <w:i w:val="false"/>
          <w:iCs w:val="false"/>
          <w:sz w:val="18"/>
          <w:szCs w:val="18"/>
        </w:rPr>
        <w:t xml:space="preserve">ORANGE | Telecommunications, Media &amp; Technology (TMT)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8"/>
          <w:szCs w:val="18"/>
        </w:rPr>
        <w:t xml:space="preserve">	Sep '24 - Jan '25</w:t>
      </w:r>
    </w:p>
    <w:p>
      <w:pPr>
        <w:tabs>
          <w:tab w:val="right" w:pos="10466"/>
        </w:tabs>
        <w:spacing w:after="20"/>
      </w:pPr>
      <w:r>
        <w:rPr>
          <w:rFonts w:ascii="Calibri" w:cs="Calibri" w:eastAsia="Calibri" w:hAnsi="Calibri"/>
          <w:b w:val="false"/>
          <w:bCs w:val="false"/>
          <w:i/>
          <w:iCs/>
          <w:sz w:val="18"/>
          <w:szCs w:val="18"/>
        </w:rPr>
        <w:t xml:space="preserve">Mergers &amp; Acquisitions (M&amp;A) Intern</w:t>
      </w:r>
      <w:r>
        <w:rPr>
          <w:rFonts w:ascii="Calibri" w:cs="Calibri" w:eastAsia="Calibri" w:hAnsi="Calibri"/>
          <w:b w:val="false"/>
          <w:bCs w:val="false"/>
          <w:i/>
          <w:iCs/>
          <w:sz w:val="18"/>
          <w:szCs w:val="18"/>
        </w:rPr>
        <w:t xml:space="preserve">	Paris</w:t>
      </w:r>
    </w:p>
    <w:p>
      <w:pPr>
        <w:pStyle w:val="ListParagraph"/>
        <w:numPr>
          <w:ilvl w:val="0"/>
          <w:numId w:val="2"/>
        </w:numPr>
        <w:tabs>
          <w:tab w:val="right" w:pos="10466"/>
        </w:tabs>
        <w:spacing w:after="20"/>
      </w:pPr>
      <w:r>
        <w:rPr>
          <w:rFonts w:ascii="Calibri" w:cs="Calibri" w:eastAsia="Calibri" w:hAnsi="Calibri"/>
          <w:sz w:val="18"/>
          <w:szCs w:val="18"/>
        </w:rPr>
        <w:t xml:space="preserve">Built valuation models (DCF, trading comps) for FTTH acquisition targets, assessing synergies across a €70M+ M&amp;A pipeline</w:t>
      </w:r>
    </w:p>
    <w:p>
      <w:pPr>
        <w:pStyle w:val="ListParagraph"/>
        <w:numPr>
          <w:ilvl w:val="0"/>
          <w:numId w:val="2"/>
        </w:numPr>
        <w:tabs>
          <w:tab w:val="right" w:pos="10466"/>
        </w:tabs>
        <w:spacing w:after="20"/>
      </w:pPr>
      <w:r>
        <w:rPr>
          <w:rFonts w:ascii="Calibri" w:cs="Calibri" w:eastAsia="Calibri" w:hAnsi="Calibri"/>
          <w:sz w:val="18"/>
          <w:szCs w:val="18"/>
        </w:rPr>
        <w:t xml:space="preserve">Supported live M&amp;A decisions through financial analysis, benchmarking &amp; scenario/sensitivity analysis of telecom &amp; digital-infrastructure assets</w:t>
      </w:r>
    </w:p>
    <w:p>
      <w:pPr>
        <w:pStyle w:val="ListParagraph"/>
        <w:numPr>
          <w:ilvl w:val="0"/>
          <w:numId w:val="2"/>
        </w:numPr>
        <w:tabs>
          <w:tab w:val="right" w:pos="10466"/>
        </w:tabs>
        <w:spacing w:after="20"/>
      </w:pPr>
      <w:r>
        <w:rPr>
          <w:rFonts w:ascii="Calibri" w:cs="Calibri" w:eastAsia="Calibri" w:hAnsi="Calibri"/>
          <w:sz w:val="18"/>
          <w:szCs w:val="18"/>
        </w:rPr>
        <w:t xml:space="preserve">Analyzed network cost structures, identifying €50M+ OPEX upside with direct impact on EBITDA &amp; valuation assumptions</w:t>
      </w:r>
    </w:p>
    <w:p>
      <w:pPr>
        <w:tabs>
          <w:tab w:val="right" w:pos="10466"/>
        </w:tabs>
        <w:spacing w:after="20"/>
      </w:pPr>
      <w:r>
        <w:rPr>
          <w:rFonts w:ascii="Calibri" w:cs="Calibri" w:eastAsia="Calibri" w:hAnsi="Calibri"/>
          <w:b/>
          <w:bCs/>
          <w:i w:val="false"/>
          <w:iCs w:val="false"/>
          <w:sz w:val="18"/>
          <w:szCs w:val="18"/>
        </w:rPr>
        <w:t xml:space="preserve">CEPRES | Private Equity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8"/>
          <w:szCs w:val="18"/>
        </w:rPr>
        <w:t xml:space="preserve">	Jun '24 - Aug '24</w:t>
      </w:r>
    </w:p>
    <w:p>
      <w:pPr>
        <w:tabs>
          <w:tab w:val="right" w:pos="10466"/>
        </w:tabs>
        <w:spacing w:after="20"/>
      </w:pPr>
      <w:r>
        <w:rPr>
          <w:rFonts w:ascii="Calibri" w:cs="Calibri" w:eastAsia="Calibri" w:hAnsi="Calibri"/>
          <w:b w:val="false"/>
          <w:bCs w:val="false"/>
          <w:i/>
          <w:iCs/>
          <w:sz w:val="18"/>
          <w:szCs w:val="18"/>
        </w:rPr>
        <w:t xml:space="preserve">Private Equity Analyst Intern</w:t>
      </w:r>
      <w:r>
        <w:rPr>
          <w:rFonts w:ascii="Calibri" w:cs="Calibri" w:eastAsia="Calibri" w:hAnsi="Calibri"/>
          <w:b w:val="false"/>
          <w:bCs w:val="false"/>
          <w:i/>
          <w:iCs/>
          <w:sz w:val="18"/>
          <w:szCs w:val="18"/>
        </w:rPr>
        <w:t xml:space="preserve">	Munich</w:t>
      </w:r>
    </w:p>
    <w:p>
      <w:pPr>
        <w:pStyle w:val="ListParagraph"/>
        <w:numPr>
          <w:ilvl w:val="0"/>
          <w:numId w:val="2"/>
        </w:numPr>
        <w:tabs>
          <w:tab w:val="right" w:pos="10466"/>
        </w:tabs>
        <w:spacing w:after="20"/>
      </w:pPr>
      <w:r>
        <w:rPr>
          <w:rFonts w:ascii="Calibri" w:cs="Calibri" w:eastAsia="Calibri" w:hAnsi="Calibri"/>
          <w:sz w:val="18"/>
          <w:szCs w:val="18"/>
        </w:rPr>
        <w:t xml:space="preserve">Analyzed fund- &amp; company-level IRR, cash flows &amp; sector exposure to support investment evaluation &amp; diversification</w:t>
      </w:r>
    </w:p>
    <w:p>
      <w:pPr>
        <w:pStyle w:val="ListParagraph"/>
        <w:numPr>
          <w:ilvl w:val="0"/>
          <w:numId w:val="2"/>
        </w:numPr>
        <w:tabs>
          <w:tab w:val="right" w:pos="10466"/>
        </w:tabs>
        <w:spacing w:after="20"/>
      </w:pPr>
      <w:r>
        <w:rPr>
          <w:rFonts w:ascii="Calibri" w:cs="Calibri" w:eastAsia="Calibri" w:hAnsi="Calibri"/>
          <w:sz w:val="18"/>
          <w:szCs w:val="18"/>
        </w:rPr>
        <w:t xml:space="preserve">Produced quarterly investment reports for institutional investors, improving visibility on performance &amp; downside risk</w:t>
      </w:r>
    </w:p>
    <w:p>
      <w:pPr>
        <w:pBdr>
          <w:bottom w:val="single" w:color="1F3864" w:sz="6"/>
        </w:pBdr>
        <w:spacing w:after="40" w:before="14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EXTRACURRICULARS &amp; LEADERSHIP ROLES</w:t>
      </w:r>
    </w:p>
    <w:p>
      <w:pPr>
        <w:tabs>
          <w:tab w:val="right" w:pos="10466"/>
        </w:tabs>
        <w:spacing w:after="20"/>
      </w:pPr>
      <w:r>
        <w:rPr>
          <w:rFonts w:ascii="Calibri" w:cs="Calibri" w:eastAsia="Calibri" w:hAnsi="Calibri"/>
          <w:b/>
          <w:bCs/>
          <w:i w:val="false"/>
          <w:iCs w:val="false"/>
          <w:sz w:val="18"/>
          <w:szCs w:val="18"/>
        </w:rPr>
        <w:t xml:space="preserve">180 DEGREES CONSULTING | Project Leader | Strategy Consulting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8"/>
          <w:szCs w:val="18"/>
        </w:rPr>
        <w:t xml:space="preserve">	Jan '24 - Sep '25</w:t>
      </w:r>
    </w:p>
    <w:p>
      <w:pPr>
        <w:pStyle w:val="ListParagraph"/>
        <w:numPr>
          <w:ilvl w:val="0"/>
          <w:numId w:val="2"/>
        </w:numPr>
        <w:tabs>
          <w:tab w:val="right" w:pos="10466"/>
        </w:tabs>
        <w:spacing w:after="20"/>
      </w:pPr>
      <w:r>
        <w:rPr>
          <w:rFonts w:ascii="Calibri" w:cs="Calibri" w:eastAsia="Calibri" w:hAnsi="Calibri"/>
          <w:sz w:val="18"/>
          <w:szCs w:val="18"/>
        </w:rPr>
        <w:t xml:space="preserve">Consulted non-profits on GTM strategies &amp; growth plans; designed ESG frameworks &amp; domestic expansion roadmaps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	Paris</w:t>
      </w:r>
    </w:p>
    <w:p>
      <w:pPr>
        <w:tabs>
          <w:tab w:val="right" w:pos="10466"/>
        </w:tabs>
        <w:spacing w:after="20"/>
      </w:pPr>
      <w:r>
        <w:rPr>
          <w:rFonts w:ascii="Calibri" w:cs="Calibri" w:eastAsia="Calibri" w:hAnsi="Calibri"/>
          <w:b/>
          <w:bCs/>
          <w:i w:val="false"/>
          <w:iCs w:val="false"/>
          <w:sz w:val="18"/>
          <w:szCs w:val="18"/>
        </w:rPr>
        <w:t xml:space="preserve">HARVARD CASE COMPETITION | Team Leader | Harvard Business School - M&amp;A Case Competition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8"/>
          <w:szCs w:val="18"/>
        </w:rPr>
        <w:t xml:space="preserve">	Feb '25 - Apr '25</w:t>
      </w:r>
    </w:p>
    <w:p>
      <w:pPr>
        <w:pStyle w:val="ListParagraph"/>
        <w:numPr>
          <w:ilvl w:val="0"/>
          <w:numId w:val="2"/>
        </w:numPr>
        <w:tabs>
          <w:tab w:val="right" w:pos="10466"/>
        </w:tabs>
        <w:spacing w:after="20"/>
      </w:pPr>
      <w:r>
        <w:rPr>
          <w:rFonts w:ascii="Calibri" w:cs="Calibri" w:eastAsia="Calibri" w:hAnsi="Calibri"/>
          <w:sz w:val="18"/>
          <w:szCs w:val="18"/>
        </w:rPr>
        <w:t xml:space="preserve">Led a 5-member team to a top-20 finish among 300+ teams, presenting an automotive-industry M&amp;A case study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	Paris</w:t>
      </w:r>
    </w:p>
    <w:p>
      <w:pPr>
        <w:tabs>
          <w:tab w:val="right" w:pos="10466"/>
        </w:tabs>
        <w:spacing w:after="20"/>
      </w:pPr>
      <w:r>
        <w:rPr>
          <w:rFonts w:ascii="Calibri" w:cs="Calibri" w:eastAsia="Calibri" w:hAnsi="Calibri"/>
          <w:b/>
          <w:bCs/>
          <w:i w:val="false"/>
          <w:iCs w:val="false"/>
          <w:sz w:val="18"/>
          <w:szCs w:val="18"/>
        </w:rPr>
        <w:t xml:space="preserve">ALL INDIA NATIONAL UNIVERSITY LEVEL VOLLEYBALL | Captain | National Level Sports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8"/>
          <w:szCs w:val="18"/>
        </w:rPr>
        <w:t xml:space="preserve">	Feb '20 - Apr '22</w:t>
      </w:r>
    </w:p>
    <w:p>
      <w:pPr>
        <w:pStyle w:val="ListParagraph"/>
        <w:numPr>
          <w:ilvl w:val="0"/>
          <w:numId w:val="2"/>
        </w:numPr>
        <w:tabs>
          <w:tab w:val="right" w:pos="10466"/>
        </w:tabs>
        <w:spacing w:after="20"/>
      </w:pPr>
      <w:r>
        <w:rPr>
          <w:rFonts w:ascii="Calibri" w:cs="Calibri" w:eastAsia="Calibri" w:hAnsi="Calibri"/>
          <w:sz w:val="18"/>
          <w:szCs w:val="18"/>
        </w:rPr>
        <w:t xml:space="preserve">Captained a national team to top-3 finishes in 7+ national tournaments, competing among India's top 35 teams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	Mumbai</w:t>
      </w:r>
    </w:p>
    <w:p>
      <w:pPr>
        <w:pBdr>
          <w:bottom w:val="single" w:color="1F3864" w:sz="6"/>
        </w:pBdr>
        <w:spacing w:after="40" w:before="14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SKILLS &amp; CERTIFICATIONS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Tech Skills:</w:t>
      </w:r>
      <w:r>
        <w:rPr>
          <w:rFonts w:ascii="Calibri" w:cs="Calibri" w:eastAsia="Calibri" w:hAnsi="Calibri"/>
          <w:sz w:val="18"/>
          <w:szCs w:val="18"/>
        </w:rPr>
        <w:t xml:space="preserve"> MS Excel (financial modelling) | MS PowerPoint | Bloomberg Terminal | Pitchbook | FactSet | Python | SQL | Power BI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Languages:</w:t>
      </w:r>
      <w:r>
        <w:rPr>
          <w:rFonts w:ascii="Calibri" w:cs="Calibri" w:eastAsia="Calibri" w:hAnsi="Calibri"/>
          <w:sz w:val="18"/>
          <w:szCs w:val="18"/>
        </w:rPr>
        <w:t xml:space="preserve"> English (Native) | German (Upper Intermediate - B2) | French (Beginner - A2) | Hindi (Native) | Gujarati (Native)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Certifications:</w:t>
      </w:r>
      <w:r>
        <w:rPr>
          <w:rFonts w:ascii="Calibri" w:cs="Calibri" w:eastAsia="Calibri" w:hAnsi="Calibri"/>
          <w:sz w:val="18"/>
          <w:szCs w:val="18"/>
        </w:rPr>
        <w:t xml:space="preserve"> CFI - FMVA (Financial Modeling &amp; Valuation Analyst) | CFI - Financial Statements Analysis | Bloomberg Market Concepts | McKinsey Forward Program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Interests:</w:t>
      </w:r>
      <w:r>
        <w:rPr>
          <w:rFonts w:ascii="Calibri" w:cs="Calibri" w:eastAsia="Calibri" w:hAnsi="Calibri"/>
          <w:sz w:val="18"/>
          <w:szCs w:val="18"/>
        </w:rPr>
        <w:t xml:space="preserve"> Cinematography (International Projects with 12+ nationalities) | Biking &amp; Cycling | Cooking | Travelling | Formula 1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20" w:hanging="1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2026-07-18T13:14:54.359Z</dcterms:created>
  <dcterms:modified xsi:type="dcterms:W3CDTF">2026-07-18T13:14:54.360Z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