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MILAP BHAVESHKUMAR TRIVEDI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04040"/>
          <w:sz w:val="16"/>
          <w:szCs w:val="16"/>
        </w:rPr>
        <w:t xml:space="preserve">milap.trivedi16@outlook.com | LinkedIn | +49 174 6060297 | Paris | Available from: September 2026 onwards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PROFILE  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Engineering-trained finance master's candidate targeting trading and quantitative markets roles: JEE national test top 3.3% of 1.2M (maths/physics), GMAT 710 (Top 9%), Python/SQL, regression-based portfolio analytics on EUR 500M+ hedge fund allocations, and a national-level competitive sports record.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ESCP BUSINESS SCHOOL | Master in Management - Programme Grande École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Sep '23 - Dec '26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GPA: 3.7/4.0 | GMAT: 710 (Top 9%) | CFA L1: Nov '26 | Specialization(s) - Consulting, Entrepreneurship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Paris, Berlin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WHU - OTTO BEISHEIM SCHOOL OF MANAGEMENT | Master in Finance - Exchange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Jan '26 - Apr '26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Advanced Course(s) - Risk Management, Financial Modeling, Asset Management, Financial Statement Analysis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Düsseldorf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THE LNMIIT | Bachelor of Technology - Electronics and Communication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Aug '18 - Jul '22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GPA: 6.33/10.0 (Top 15%) | JEE National Test (Phy, Math, Chem): Top 3.3% (of 1.2M) | Courses - AI, Robotics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Jaipur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LA FRANÇAISE GROUP - NEW ALPHA ASSET MANAGEMENT | Alternative Investments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Jul '26 - Present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Hedge Fund Analyst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Paris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regression-based attribution models across €500M+ hedge fund allocations, isolating alpha, beta exposure &amp; drawdown drivers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Analyzed 20+ long/short equity, global macro, event-driven &amp; credit managers, assessing return drivers, risk controls &amp; alpha repeatability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Produced 10+ research notes on equity/credit exposures under tight deadlines, combining statistical analysis &amp; peer benchmarking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SIEMENS ENERGY | Energy Transition &amp;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Oct '25 - Mar '26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Corporate Development &amp; Investments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Berlin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scenario-based models for renewables &amp; grid-infrastructure investments worth €60M+ (MENA), quantifying outcome distributions across market scenarios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Analyzed energy markets across gas services &amp; turbines, quantifying ~€1.2B growth potential from supply/demand fundamentals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MUNICH RE | Alternative Investments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Mar '25 - Jun '25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Asset Management Intern - Private Credit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Munich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Evaluated €10B+ portfolios, quantifying spreads, beta &amp; downside risk across private debt &amp; infrastructure-linked assets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portfolio dashboards automating risk/performance monitoring, cutting senior oversight effort by 30%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ORANGE | Telecommunications, Media &amp; Technology (TMT)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Sep '24 - Jan '25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Mergers &amp; Acquisitions (M&amp;A)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Paris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DCF &amp; comparables valuation models with scenario/sensitivity analysis across a €70M+ M&amp;A pipeline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Quantified €50M+ OPEX upside from network cost-structure analysis, with direct EBITDA &amp; valuation impact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CEPRES | Private Equity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Jun '24 - Aug '24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Private Equity Analyst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Munich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Analyzed fund- &amp; company-level IRR and cash-flow profiles to support investment evaluation &amp; portfolio diversification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EXTRACURRICULARS &amp; LEADERSHIP ROLES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ALL INDIA NATIONAL UNIVERSITY LEVEL VOLLEYBALL | Captain | National Level Sports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Feb '20 - Apr '22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Captained a national team to top-3 finishes in 7+ national tournaments, competing among India's top 35 teams - sustained performance under pressure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Mumbai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HARVARD CASE COMPETITION | Team Leader | Harvard Business School - M&amp;A Case Competition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Feb '25 - Apr '25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Led a 5-member team to a top-20 finish among 300+ teams, presenting an automotive-industry M&amp;A case study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180 DEGREES CONSULTING | Project Leader | Strategy Consulting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Jan '24 - Sep '25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Consulted non-profits on GTM strategies &amp; growth plans; designed ESG frameworks &amp; expansion roadmaps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SKILLS &amp; CERTIFICATIONS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 Skills:</w:t>
      </w:r>
      <w:r>
        <w:rPr>
          <w:rFonts w:ascii="Calibri" w:cs="Calibri" w:eastAsia="Calibri" w:hAnsi="Calibri"/>
          <w:sz w:val="18"/>
          <w:szCs w:val="18"/>
        </w:rPr>
        <w:t xml:space="preserve"> Python | SQL | MS Excel | Power BI | Bloomberg Terminal | FactSet | Pitchbook | MS PowerPoint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</w:t>
      </w:r>
      <w:r>
        <w:rPr>
          <w:rFonts w:ascii="Calibri" w:cs="Calibri" w:eastAsia="Calibri" w:hAnsi="Calibri"/>
          <w:sz w:val="18"/>
          <w:szCs w:val="18"/>
        </w:rPr>
        <w:t xml:space="preserve"> English (Native) | German (Upper Intermediate - B2) | French (Beginner - A2) | Hindi (Native) | Gujarati (Native)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Certifications:</w:t>
      </w:r>
      <w:r>
        <w:rPr>
          <w:rFonts w:ascii="Calibri" w:cs="Calibri" w:eastAsia="Calibri" w:hAnsi="Calibri"/>
          <w:sz w:val="18"/>
          <w:szCs w:val="18"/>
        </w:rPr>
        <w:t xml:space="preserve"> Bloomberg Market Concepts | CFI - FMVA | CFI - Financial Statements Analysis | McKinsey Forward Program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Interests:</w:t>
      </w:r>
      <w:r>
        <w:rPr>
          <w:rFonts w:ascii="Calibri" w:cs="Calibri" w:eastAsia="Calibri" w:hAnsi="Calibri"/>
          <w:sz w:val="18"/>
          <w:szCs w:val="18"/>
        </w:rPr>
        <w:t xml:space="preserve"> Cinematography (International Projects with 12+ nationalities) | Biking &amp; Cycling | Cooking | Travelling | Formula 1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2026-07-18T13:42:14.507Z</dcterms:created>
  <dcterms:modified xsi:type="dcterms:W3CDTF">2026-07-18T13:42:14.507Z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