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DATA IDENTIFICATION, SOURCING STRATEGY</w:t>
        <w:br/>
        <w:t>&amp; INITIAL ANALYSIS PLANNING</w:t>
      </w:r>
    </w:p>
    <w:p>
      <w:pPr>
        <w:jc w:val="center"/>
      </w:pPr>
      <w:r>
        <w:rPr>
          <w:i/>
        </w:rPr>
        <w:t>YuvaIntern – Data Science with Python Analyst Internship</w:t>
        <w:br/>
        <w:t>Week 2 Report | Beauty &amp; Wellness</w:t>
      </w:r>
    </w:p>
    <w:p>
      <w:r>
        <w:t>Prepared by: Perumallapalli Triveni</w:t>
      </w:r>
    </w:p>
    <w:p>
      <w:r>
        <w:t>Date: 28 October 2026</w:t>
      </w:r>
    </w:p>
    <w:p>
      <w:pPr>
        <w:pStyle w:val="Heading1"/>
      </w:pPr>
      <w:r>
        <w:t>1. Executive Summary</w:t>
      </w:r>
    </w:p>
    <w:p>
      <w:r>
        <w:t>This report defines a practical data-sourcing strategy for studying repeat purchasing in the beauty and wellness sector. The business question is: Which observable customer and transaction patterns are associated with a customer making another purchase? The planned analysis will examine purchase recency, order frequency, spending, product category, discounts (if available), and time-related patterns. Because a complete, openly accessible beauty-store transaction dataset may be difficult to obtain, the project will separate the primary analysis dataset from supporting contextual sources. The UCI Online Retail dataset provides a documented transaction-data structure and 541,909 records, but it concerns a UK non-store retailer selling mainly gifts rather than a dedicated beauty retailer. It can therefore be used to prototype repeat-purchase methods, not to claim beauty-specific findings. Beauty-specific public sources such as openFDA cosmetic adverse-event reports and Google Trends can provide context, but they do not replace customer-level sales data.</w:t>
      </w:r>
    </w:p>
    <w:p>
      <w:pPr>
        <w:pStyle w:val="Heading1"/>
      </w:pPr>
      <w:r>
        <w:t>2. Business Problem and Research Questions</w:t>
      </w:r>
    </w:p>
    <w:p>
      <w:r>
        <w:t>Business problem: Beauty and wellness sellers need to understand repeat-purchase behaviour so they can plan customer engagement, inventory, and relevant product communications without relying on assumptions.</w:t>
      </w:r>
    </w:p>
    <w:p>
      <w:pPr>
        <w:pStyle w:val="ListBullet"/>
      </w:pPr>
      <w:r>
        <w:t>RQ1: How does the time since a customer’s last purchase relate to the likelihood of another purchase in a defined future period?</w:t>
      </w:r>
    </w:p>
    <w:p>
      <w:pPr>
        <w:pStyle w:val="ListBullet"/>
      </w:pPr>
      <w:r>
        <w:t>RQ2: Do purchase frequency and total historical spend help distinguish repeat purchasers from one-time purchasers?</w:t>
      </w:r>
    </w:p>
    <w:p>
      <w:pPr>
        <w:pStyle w:val="ListBullet"/>
      </w:pPr>
      <w:r>
        <w:t>RQ3: Are purchase counts or product interests different by month or season in the available transaction data?</w:t>
      </w:r>
    </w:p>
    <w:p>
      <w:pPr>
        <w:pStyle w:val="ListBullet"/>
      </w:pPr>
      <w:r>
        <w:t>RQ4: What limitations arise when a general retail dataset is used as a proxy for beauty and wellness transactions?</w:t>
      </w:r>
    </w:p>
    <w:p>
      <w:r>
        <w:t>Initial hypotheses (to be tested, not treated as established facts): H1—customers with more prior orders will be more likely to purchase again; H2—recency and frequency will provide useful signals for repeat-purchase grouping; H3—monthly purchase patterns may vary, but any pattern must be verified from the data rather than assumed.</w:t>
      </w:r>
    </w:p>
    <w:p>
      <w:pPr>
        <w:pStyle w:val="Heading1"/>
      </w:pPr>
      <w:r>
        <w:t>3. Data Sources and Selection</w:t>
      </w:r>
    </w:p>
    <w:p>
      <w:r>
        <w:t>The following sources are public or publicly documented. They have different purposes and should not be combined blindly because their units, populations, and time coverage differ.</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Source / link</w:t>
            </w:r>
          </w:p>
        </w:tc>
        <w:tc>
          <w:tcPr>
            <w:tcW w:type="dxa" w:w="1987"/>
          </w:tcPr>
          <w:p>
            <w:r>
              <w:t>Potential fields or content</w:t>
            </w:r>
          </w:p>
        </w:tc>
        <w:tc>
          <w:tcPr>
            <w:tcW w:type="dxa" w:w="1987"/>
          </w:tcPr>
          <w:p>
            <w:r>
              <w:t>Use in this project</w:t>
            </w:r>
          </w:p>
        </w:tc>
        <w:tc>
          <w:tcPr>
            <w:tcW w:type="dxa" w:w="1987"/>
          </w:tcPr>
          <w:p>
            <w:r>
              <w:t>Strengths</w:t>
            </w:r>
          </w:p>
        </w:tc>
        <w:tc>
          <w:tcPr>
            <w:tcW w:type="dxa" w:w="1987"/>
          </w:tcPr>
          <w:p>
            <w:r>
              <w:t>Limitations / risks</w:t>
            </w:r>
          </w:p>
        </w:tc>
      </w:tr>
      <w:tr>
        <w:tc>
          <w:tcPr>
            <w:tcW w:type="dxa" w:w="1987"/>
          </w:tcPr>
          <w:p>
            <w:r>
              <w:t>UCI Online Retail</w:t>
              <w:br/>
              <w:t>https://archive.ics.uci.edu/dataset/352/online+retail</w:t>
            </w:r>
          </w:p>
        </w:tc>
        <w:tc>
          <w:tcPr>
            <w:tcW w:type="dxa" w:w="1987"/>
          </w:tcPr>
          <w:p>
            <w:r>
              <w:t>541,909 transactions; invoice, product code/description, quantity, date, unit price, customer ID, country.</w:t>
            </w:r>
          </w:p>
        </w:tc>
        <w:tc>
          <w:tcPr>
            <w:tcW w:type="dxa" w:w="1987"/>
          </w:tcPr>
          <w:p>
            <w:r>
              <w:t>Primary prototype for transaction cleaning, customer-level recency/frequency/spend, and repeat-purchase definitions.</w:t>
            </w:r>
          </w:p>
        </w:tc>
        <w:tc>
          <w:tcPr>
            <w:tcW w:type="dxa" w:w="1987"/>
          </w:tcPr>
          <w:p>
            <w:r>
              <w:t>Documented dataset; substantial transaction volume; published repository and citation.</w:t>
            </w:r>
          </w:p>
        </w:tc>
        <w:tc>
          <w:tcPr>
            <w:tcW w:type="dxa" w:w="1987"/>
          </w:tcPr>
          <w:p>
            <w:r>
              <w:t>UK retailer mainly selling gifts; not beauty-specific; covers 1 Dec 2010–9 Dec 2011; cancellation invoices and missing customer IDs require treatment.</w:t>
            </w:r>
          </w:p>
        </w:tc>
      </w:tr>
      <w:tr>
        <w:tc>
          <w:tcPr>
            <w:tcW w:type="dxa" w:w="1987"/>
          </w:tcPr>
          <w:p>
            <w:r>
              <w:t>UCI Online Retail II</w:t>
              <w:br/>
              <w:t>https://archive.ics.uci.edu/dataset/502/online+retail+ii</w:t>
            </w:r>
          </w:p>
        </w:tc>
        <w:tc>
          <w:tcPr>
            <w:tcW w:type="dxa" w:w="1987"/>
          </w:tcPr>
          <w:p>
            <w:r>
              <w:t>Two-year retail transaction data; invoice, product, quantity, date, price, customer ID, country.</w:t>
            </w:r>
          </w:p>
        </w:tc>
        <w:tc>
          <w:tcPr>
            <w:tcW w:type="dxa" w:w="1987"/>
          </w:tcPr>
          <w:p>
            <w:r>
              <w:t>Alternative if a longer period is needed for testing temporal splits and repeat behaviour.</w:t>
            </w:r>
          </w:p>
        </w:tc>
        <w:tc>
          <w:tcPr>
            <w:tcW w:type="dxa" w:w="1987"/>
          </w:tcPr>
          <w:p>
            <w:r>
              <w:t>Larger, longer time coverage than the first UCI dataset.</w:t>
            </w:r>
          </w:p>
        </w:tc>
        <w:tc>
          <w:tcPr>
            <w:tcW w:type="dxa" w:w="1987"/>
          </w:tcPr>
          <w:p>
            <w:r>
              <w:t>Still general retail rather than dedicated beauty; missing values and data quality checks are necessary.</w:t>
            </w:r>
          </w:p>
        </w:tc>
      </w:tr>
      <w:tr>
        <w:tc>
          <w:tcPr>
            <w:tcW w:type="dxa" w:w="1987"/>
          </w:tcPr>
          <w:p>
            <w:r>
              <w:t>openFDA Cosmetic Adverse Events API</w:t>
              <w:br/>
              <w:t>https://open.fda.gov/apis/cosmetic/event/how-to-use-the-endpoint/</w:t>
            </w:r>
          </w:p>
        </w:tc>
        <w:tc>
          <w:tcPr>
            <w:tcW w:type="dxa" w:w="1987"/>
          </w:tcPr>
          <w:p>
            <w:r>
              <w:t>Publicly reported cosmetic adverse-event records and searchable fields.</w:t>
            </w:r>
          </w:p>
        </w:tc>
        <w:tc>
          <w:tcPr>
            <w:tcW w:type="dxa" w:w="1987"/>
          </w:tcPr>
          <w:p>
            <w:r>
              <w:t>Contextual safety-trend source; count reported records over time or explore reported product/event categories if fields support it.</w:t>
            </w:r>
          </w:p>
        </w:tc>
        <w:tc>
          <w:tcPr>
            <w:tcW w:type="dxa" w:w="1987"/>
          </w:tcPr>
          <w:p>
            <w:r>
              <w:t>Official public API; can be queried programmatically; useful for responsible product-safety context.</w:t>
            </w:r>
          </w:p>
        </w:tc>
        <w:tc>
          <w:tcPr>
            <w:tcW w:type="dxa" w:w="1987"/>
          </w:tcPr>
          <w:p>
            <w:r>
              <w:t>Reports are not all events; duplicates and reporting bias can occur; cannot calculate population incidence or prove a product caused an event.</w:t>
            </w:r>
          </w:p>
        </w:tc>
      </w:tr>
      <w:tr>
        <w:tc>
          <w:tcPr>
            <w:tcW w:type="dxa" w:w="1987"/>
          </w:tcPr>
          <w:p>
            <w:r>
              <w:t>Google Trends resources</w:t>
              <w:br/>
              <w:t>https://support.google.com/trends/answer/12764470?hl=en-IN</w:t>
            </w:r>
          </w:p>
        </w:tc>
        <w:tc>
          <w:tcPr>
            <w:tcW w:type="dxa" w:w="1987"/>
          </w:tcPr>
          <w:p>
            <w:r>
              <w:t>Aggregated, normalised search-interest data; available through Trends interfaces/datasets, with API access subject to eligibility.</w:t>
            </w:r>
          </w:p>
        </w:tc>
        <w:tc>
          <w:tcPr>
            <w:tcW w:type="dxa" w:w="1987"/>
          </w:tcPr>
          <w:p>
            <w:r>
              <w:t>Optional contextual measure for search interest in selected beauty terms, if data can be lawfully and reliably obtained.</w:t>
            </w:r>
          </w:p>
        </w:tc>
        <w:tc>
          <w:tcPr>
            <w:tcW w:type="dxa" w:w="1987"/>
          </w:tcPr>
          <w:p>
            <w:r>
              <w:t>Can support comparison of interest over time and across locations.</w:t>
            </w:r>
          </w:p>
        </w:tc>
        <w:tc>
          <w:tcPr>
            <w:tcW w:type="dxa" w:w="1987"/>
          </w:tcPr>
          <w:p>
            <w:r>
              <w:t>Search interest is not sales or purchase intent; values are indexed/aggregated; official API is described as alpha/limited access, so availability must be checked.</w:t>
            </w:r>
          </w:p>
        </w:tc>
      </w:tr>
      <w:tr>
        <w:tc>
          <w:tcPr>
            <w:tcW w:type="dxa" w:w="1987"/>
          </w:tcPr>
          <w:p>
            <w:r>
              <w:t>Official Google Trends website</w:t>
              <w:br/>
              <w:t>https://trends.google.com/trends/</w:t>
            </w:r>
          </w:p>
        </w:tc>
        <w:tc>
          <w:tcPr>
            <w:tcW w:type="dxa" w:w="1987"/>
          </w:tcPr>
          <w:p>
            <w:r>
              <w:t>Explore keyword interest and related queries in the interface.</w:t>
            </w:r>
          </w:p>
        </w:tc>
        <w:tc>
          <w:tcPr>
            <w:tcW w:type="dxa" w:w="1987"/>
          </w:tcPr>
          <w:p>
            <w:r>
              <w:t>Manual exploratory context if API access is unavailable.</w:t>
            </w:r>
          </w:p>
        </w:tc>
        <w:tc>
          <w:tcPr>
            <w:tcW w:type="dxa" w:w="1987"/>
          </w:tcPr>
          <w:p>
            <w:r>
              <w:t>Accessible for preliminary exploration.</w:t>
            </w:r>
          </w:p>
        </w:tc>
        <w:tc>
          <w:tcPr>
            <w:tcW w:type="dxa" w:w="1987"/>
          </w:tcPr>
          <w:p>
            <w:r>
              <w:t>Sampling, normalisation, geography and time-window choices affect comparability; record settings and download date.</w:t>
            </w:r>
          </w:p>
        </w:tc>
      </w:tr>
    </w:tbl>
    <w:p>
      <w:pPr>
        <w:pStyle w:val="Heading1"/>
      </w:pPr>
      <w:r>
        <w:t>4. Recommended Collection Strategy</w:t>
      </w:r>
    </w:p>
    <w:p>
      <w:pPr>
        <w:pStyle w:val="ListNumber"/>
      </w:pPr>
      <w:r>
        <w:t>Step 1 — Download the UCI Online Retail dataset from the official repository. Record the access date, dataset version, citation, licence/usage terms, original filename, and source URL in a data log.</w:t>
      </w:r>
    </w:p>
    <w:p>
      <w:pPr>
        <w:pStyle w:val="ListNumber"/>
      </w:pPr>
      <w:r>
        <w:t>Step 2 — Keep the raw file unchanged in a raw_data folder and work on a copy. Store analysis outputs separately so the process can be repeated.</w:t>
      </w:r>
    </w:p>
    <w:p>
      <w:pPr>
        <w:pStyle w:val="ListNumber"/>
      </w:pPr>
      <w:r>
        <w:t>Step 3 — Inspect the data dictionary and confirm the date range, row count, column names, data types, missingness, and unique customer count before analysis. Do not assume the downloaded file matches published metadata until checked.</w:t>
      </w:r>
    </w:p>
    <w:p>
      <w:pPr>
        <w:pStyle w:val="ListNumber"/>
      </w:pPr>
      <w:r>
        <w:t>Step 4 — Optionally query openFDA for cosmetic-event context. Save the query parameters, retrieval date, returned record count, and API response. Treat the source as safety-reporting context, not as purchase data.</w:t>
      </w:r>
    </w:p>
    <w:p>
      <w:pPr>
        <w:pStyle w:val="ListNumber"/>
      </w:pPr>
      <w:r>
        <w:t>Step 5 — If Google Trends is used, select a small, pre-defined set of terms (for example, broad terms such as “skincare” and “sunscreen”), geographic region, and date range. Save the settings and explain that the index is not absolute search volume.</w:t>
      </w:r>
    </w:p>
    <w:p>
      <w:pPr>
        <w:pStyle w:val="ListNumber"/>
      </w:pPr>
      <w:r>
        <w:t>Step 6 — Maintain a source register containing source name, owner, URL, retrieval date, file/API format, licence/terms, time coverage, key variables, missingness, and known biases.</w:t>
      </w:r>
    </w:p>
    <w:p>
      <w:pPr>
        <w:pStyle w:val="Heading1"/>
      </w:pPr>
      <w:r>
        <w:t>5. Key Variables and Derived Measures</w:t>
      </w:r>
    </w:p>
    <w:tbl>
      <w:tblPr>
        <w:tblStyle w:val="LightShading-Accent1"/>
        <w:tblW w:type="auto" w:w="0"/>
        <w:tblLook w:firstColumn="1" w:firstRow="1" w:lastColumn="0" w:lastRow="0" w:noHBand="0" w:noVBand="1" w:val="04A0"/>
      </w:tblPr>
      <w:tblGrid>
        <w:gridCol w:w="4968"/>
        <w:gridCol w:w="4968"/>
      </w:tblGrid>
      <w:tr>
        <w:tc>
          <w:tcPr>
            <w:tcW w:type="dxa" w:w="4968"/>
          </w:tcPr>
          <w:p>
            <w:r>
              <w:t>Variable</w:t>
            </w:r>
          </w:p>
        </w:tc>
        <w:tc>
          <w:tcPr>
            <w:tcW w:type="dxa" w:w="4968"/>
          </w:tcPr>
          <w:p>
            <w:r>
              <w:t>Definition / use</w:t>
            </w:r>
          </w:p>
        </w:tc>
      </w:tr>
      <w:tr>
        <w:tc>
          <w:tcPr>
            <w:tcW w:type="dxa" w:w="4968"/>
          </w:tcPr>
          <w:p>
            <w:r>
              <w:t>CustomerID</w:t>
            </w:r>
          </w:p>
        </w:tc>
        <w:tc>
          <w:tcPr>
            <w:tcW w:type="dxa" w:w="4968"/>
          </w:tcPr>
          <w:p>
            <w:r>
              <w:t>Customer identifier; needed to group transactions. Missing IDs may prevent customer-level analysis.</w:t>
            </w:r>
          </w:p>
        </w:tc>
      </w:tr>
      <w:tr>
        <w:tc>
          <w:tcPr>
            <w:tcW w:type="dxa" w:w="4968"/>
          </w:tcPr>
          <w:p>
            <w:r>
              <w:t>InvoiceNo</w:t>
            </w:r>
          </w:p>
        </w:tc>
        <w:tc>
          <w:tcPr>
            <w:tcW w:type="dxa" w:w="4968"/>
          </w:tcPr>
          <w:p>
            <w:r>
              <w:t>Transaction identifier; inspect cancellation indicators before counting purchases.</w:t>
            </w:r>
          </w:p>
        </w:tc>
      </w:tr>
      <w:tr>
        <w:tc>
          <w:tcPr>
            <w:tcW w:type="dxa" w:w="4968"/>
          </w:tcPr>
          <w:p>
            <w:r>
              <w:t>InvoiceDate</w:t>
            </w:r>
          </w:p>
        </w:tc>
        <w:tc>
          <w:tcPr>
            <w:tcW w:type="dxa" w:w="4968"/>
          </w:tcPr>
          <w:p>
            <w:r>
              <w:t>Date/time; parse to datetime and derive month, weekday, and observation date.</w:t>
            </w:r>
          </w:p>
        </w:tc>
      </w:tr>
      <w:tr>
        <w:tc>
          <w:tcPr>
            <w:tcW w:type="dxa" w:w="4968"/>
          </w:tcPr>
          <w:p>
            <w:r>
              <w:t>Quantity and UnitPrice</w:t>
            </w:r>
          </w:p>
        </w:tc>
        <w:tc>
          <w:tcPr>
            <w:tcW w:type="dxa" w:w="4968"/>
          </w:tcPr>
          <w:p>
            <w:r>
              <w:t>Numeric transaction fields; inspect zero/negative values and compute line value only after validation.</w:t>
            </w:r>
          </w:p>
        </w:tc>
      </w:tr>
      <w:tr>
        <w:tc>
          <w:tcPr>
            <w:tcW w:type="dxa" w:w="4968"/>
          </w:tcPr>
          <w:p>
            <w:r>
              <w:t>StockCode / Description</w:t>
            </w:r>
          </w:p>
        </w:tc>
        <w:tc>
          <w:tcPr>
            <w:tcW w:type="dxa" w:w="4968"/>
          </w:tcPr>
          <w:p>
            <w:r>
              <w:t>Product identifiers and descriptions; useful for product-level counts, but product category may not be explicitly provided.</w:t>
            </w:r>
          </w:p>
        </w:tc>
      </w:tr>
      <w:tr>
        <w:tc>
          <w:tcPr>
            <w:tcW w:type="dxa" w:w="4968"/>
          </w:tcPr>
          <w:p>
            <w:r>
              <w:t>Country</w:t>
            </w:r>
          </w:p>
        </w:tc>
        <w:tc>
          <w:tcPr>
            <w:tcW w:type="dxa" w:w="4968"/>
          </w:tcPr>
          <w:p>
            <w:r>
              <w:t>Geographic label; use cautiously and avoid over-interpreting small groups.</w:t>
            </w:r>
          </w:p>
        </w:tc>
      </w:tr>
      <w:tr>
        <w:tc>
          <w:tcPr>
            <w:tcW w:type="dxa" w:w="4968"/>
          </w:tcPr>
          <w:p>
            <w:r>
              <w:t>Recency</w:t>
            </w:r>
          </w:p>
        </w:tc>
        <w:tc>
          <w:tcPr>
            <w:tcW w:type="dxa" w:w="4968"/>
          </w:tcPr>
          <w:p>
            <w:r>
              <w:t>Days between a customer’s last valid purchase and the analysis reference date.</w:t>
            </w:r>
          </w:p>
        </w:tc>
      </w:tr>
      <w:tr>
        <w:tc>
          <w:tcPr>
            <w:tcW w:type="dxa" w:w="4968"/>
          </w:tcPr>
          <w:p>
            <w:r>
              <w:t>Frequency</w:t>
            </w:r>
          </w:p>
        </w:tc>
        <w:tc>
          <w:tcPr>
            <w:tcW w:type="dxa" w:w="4968"/>
          </w:tcPr>
          <w:p>
            <w:r>
              <w:t>Number of distinct valid purchase invoices per customer during the observation period.</w:t>
            </w:r>
          </w:p>
        </w:tc>
      </w:tr>
      <w:tr>
        <w:tc>
          <w:tcPr>
            <w:tcW w:type="dxa" w:w="4968"/>
          </w:tcPr>
          <w:p>
            <w:r>
              <w:t>Monetary value</w:t>
            </w:r>
          </w:p>
        </w:tc>
        <w:tc>
          <w:tcPr>
            <w:tcW w:type="dxa" w:w="4968"/>
          </w:tcPr>
          <w:p>
            <w:r>
              <w:t>Sum of validated quantity × unit price for included transactions; clearly document treatment of returns/cancellations.</w:t>
            </w:r>
          </w:p>
        </w:tc>
      </w:tr>
      <w:tr>
        <w:tc>
          <w:tcPr>
            <w:tcW w:type="dxa" w:w="4968"/>
          </w:tcPr>
          <w:p>
            <w:r>
              <w:t>Repeat-purchase label</w:t>
            </w:r>
          </w:p>
        </w:tc>
        <w:tc>
          <w:tcPr>
            <w:tcW w:type="dxa" w:w="4968"/>
          </w:tcPr>
          <w:p>
            <w:r>
              <w:t>For a defined time-based split, indicate whether a customer buys again in a future window. This must avoid using future information as a predictor.</w:t>
            </w:r>
          </w:p>
        </w:tc>
      </w:tr>
    </w:tbl>
    <w:p>
      <w:pPr>
        <w:pStyle w:val="Heading1"/>
      </w:pPr>
      <w:r>
        <w:t>6. Initial Exploratory Data Analysis Plan</w:t>
      </w:r>
    </w:p>
    <w:p>
      <w:pPr>
        <w:pStyle w:val="ListBullet"/>
      </w:pPr>
      <w:r>
        <w:t>Data audit: row/column counts, data types, duplicate rows, missing-value percentage per column, unique customers/products/invoices, date range, and invalid or unusual numeric values.</w:t>
      </w:r>
    </w:p>
    <w:p>
      <w:pPr>
        <w:pStyle w:val="ListBullet"/>
      </w:pPr>
      <w:r>
        <w:t>Descriptive statistics: median, mean, quartiles, minimum/maximum, and distribution of quantity, unit price, order value, customer frequency, and recency. Use medians and quantiles because spending data may be skewed.</w:t>
      </w:r>
    </w:p>
    <w:p>
      <w:pPr>
        <w:pStyle w:val="ListBullet"/>
      </w:pPr>
      <w:r>
        <w:t>Time analysis: aggregate valid transactions by month and week; plot transaction count and revenue-like line value over time. Annotate the period covered and do not interpret seasonal patterns from a short or old dataset as current market trends.</w:t>
      </w:r>
    </w:p>
    <w:p>
      <w:pPr>
        <w:pStyle w:val="ListBullet"/>
      </w:pPr>
      <w:r>
        <w:t>Customer analysis: histogram of orders per customer; recency-frequency-monetary summaries; compare one-time and repeat customers using clear, pre-defined rules.</w:t>
      </w:r>
    </w:p>
    <w:p>
      <w:pPr>
        <w:pStyle w:val="ListBullet"/>
      </w:pPr>
      <w:r>
        <w:t>Product analysis: top products by transaction count and quantity after cleaning; inspect descriptions for inconsistent labels. Do not label products as beauty items unless product evidence supports that classification.</w:t>
      </w:r>
    </w:p>
    <w:p>
      <w:pPr>
        <w:pStyle w:val="ListBullet"/>
      </w:pPr>
      <w:r>
        <w:t>Relationships: use a correlation matrix only for appropriate numeric variables; use grouped summaries or boxplots to compare distributions. Correlation does not demonstrate causation.</w:t>
      </w:r>
    </w:p>
    <w:p>
      <w:pPr>
        <w:pStyle w:val="ListBullet"/>
      </w:pPr>
      <w:r>
        <w:t>Optional context: plot openFDA reported cosmetic-event counts by time/category where fields and sample size allow. For Trends data, graph indexed interest over time and clearly label it as search interest, not sales.</w:t>
      </w:r>
    </w:p>
    <w:p>
      <w:pPr>
        <w:pStyle w:val="Heading1"/>
      </w:pPr>
      <w:r>
        <w:t>7. Tools and Techniques</w:t>
      </w:r>
    </w:p>
    <w:p>
      <w:r>
        <w:t>Python 3; pandas for loading, joining, grouping, date handling and missingness summaries; NumPy for numerical operations; Matplotlib and Seaborn for histograms, bar charts, line charts, boxplots and heatmaps; requests for documented API calls; and Jupyter Notebook or VS Code for reproducible work. Excel may be used for a quick initial inspection, but Python will be the main repeatable workflow.</w:t>
      </w:r>
    </w:p>
    <w:p>
      <w:pPr>
        <w:pStyle w:val="Heading1"/>
      </w:pPr>
      <w:r>
        <w:t>8. Data Quality, Relevance and Risk Assessment</w:t>
      </w:r>
    </w:p>
    <w:p>
      <w:pPr>
        <w:pStyle w:val="ListBullet"/>
      </w:pPr>
      <w:r>
        <w:t>Completeness: quantify missing values by field and decide whether a record can support the intended analysis. Customer-level measures should not silently treat missing customer IDs as a single customer.</w:t>
      </w:r>
    </w:p>
    <w:p>
      <w:pPr>
        <w:pStyle w:val="ListBullet"/>
      </w:pPr>
      <w:r>
        <w:t>Validity: parse dates carefully; verify quantity and price ranges; inspect cancellation invoice markers, returns, zero prices and negative quantities. Keep a record of each exclusion rule and report how many rows it affects.</w:t>
      </w:r>
    </w:p>
    <w:p>
      <w:pPr>
        <w:pStyle w:val="ListBullet"/>
      </w:pPr>
      <w:r>
        <w:t>Consistency: standardise text whitespace/case only where appropriate; preserve original fields; verify currency and units before comparisons.</w:t>
      </w:r>
    </w:p>
    <w:p>
      <w:pPr>
        <w:pStyle w:val="ListBullet"/>
      </w:pPr>
      <w:r>
        <w:t>Representativeness: UCI retail data is historical, UK-based and gift-oriented, so it is a methodological proxy, not a representative sample of today’s beauty/wellness market. Public cosmetic adverse-event data is affected by reporting behaviour.</w:t>
      </w:r>
    </w:p>
    <w:p>
      <w:pPr>
        <w:pStyle w:val="ListBullet"/>
      </w:pPr>
      <w:r>
        <w:t>Privacy and ethics: use only public, permitted data; do not attempt to identify individuals; avoid publishing customer IDs; aggregate results for reports; comply with dataset licence and API terms.</w:t>
      </w:r>
    </w:p>
    <w:p>
      <w:pPr>
        <w:pStyle w:val="ListBullet"/>
      </w:pPr>
      <w:r>
        <w:t>Reproducibility: save source links, access dates, query parameters, raw-file checksums if feasible, package versions, cleaning decisions and generated charts.</w:t>
      </w:r>
    </w:p>
    <w:p>
      <w:pPr>
        <w:pStyle w:val="Heading1"/>
      </w:pPr>
      <w:r>
        <w:t>9. How the Data Will Test the Hypotheses</w:t>
      </w:r>
    </w:p>
    <w:p>
      <w:r>
        <w:t>H1 will be examined by comparing future repeat-purchase rates across groups defined by prior order frequency. H2 will be assessed by checking whether recency and frequency differ between customers who do and do not purchase in the future window; a later modelling task may compare a simple baseline with a decision tree or logistic regression. H3 will be explored by monthly aggregation and visual inspection, while noting the limited date coverage. The target window, observation window, exclusions and reference date will be fixed before modelling to reduce leakage. Results will be described as associations in the available dataset, not causal effects.</w:t>
      </w:r>
    </w:p>
    <w:p>
      <w:pPr>
        <w:pStyle w:val="Heading1"/>
      </w:pPr>
      <w:r>
        <w:t>10. Proposed Timeline and Deliverables</w:t>
      </w:r>
    </w:p>
    <w:p>
      <w:pPr>
        <w:pStyle w:val="ListNumber"/>
      </w:pPr>
      <w:r>
        <w:t>Day 1: confirm the business question, define the dataset-selection criteria and register sources.</w:t>
      </w:r>
    </w:p>
    <w:p>
      <w:pPr>
        <w:pStyle w:val="ListNumber"/>
      </w:pPr>
      <w:r>
        <w:t>Days 2–3: download and inspect the primary dataset; create a data dictionary and quality audit.</w:t>
      </w:r>
    </w:p>
    <w:p>
      <w:pPr>
        <w:pStyle w:val="ListNumber"/>
      </w:pPr>
      <w:r>
        <w:t>Days 4–5: document optional API/Trends feasibility and source limitations.</w:t>
      </w:r>
    </w:p>
    <w:p>
      <w:pPr>
        <w:pStyle w:val="ListNumber"/>
      </w:pPr>
      <w:r>
        <w:t>Days 6–7: draft EDA questions, statistical summaries, chart plan and hypothesis-to-variable mapping.</w:t>
      </w:r>
    </w:p>
    <w:p>
      <w:pPr>
        <w:pStyle w:val="ListNumber"/>
      </w:pPr>
      <w:r>
        <w:t>Final outputs: this sourcing-strategy report; a source register; a data dictionary; a preliminary EDA checklist; and, in later weeks, a reproducible cleaning notebook and analysis results.</w:t>
      </w:r>
    </w:p>
    <w:p>
      <w:pPr>
        <w:pStyle w:val="Heading1"/>
      </w:pPr>
      <w:r>
        <w:t>11. Conclusion</w:t>
      </w:r>
    </w:p>
    <w:p>
      <w:r>
        <w:t>The proposed strategy prioritises an auditable transaction dataset for developing repeat-purchase analysis while openly documenting its mismatch with the beauty and wellness domain. Official cosmetic adverse-event records and search-interest data can enrich context, but each answers a different question and carries its own limitations. The next step is to download and profile the chosen transaction data, verify actual field quality, and then revise the plan based on observed evidence. No performance result or market trend is claimed before analysis is conducted.</w:t>
      </w:r>
    </w:p>
    <w:p>
      <w:pPr>
        <w:pStyle w:val="Heading1"/>
      </w:pPr>
      <w:r>
        <w:t>References</w:t>
      </w:r>
    </w:p>
    <w:p>
      <w:pPr>
        <w:pStyle w:val="ListNumber"/>
      </w:pPr>
      <w:r>
        <w:t>Chen, D. (2015). Online Retail [Dataset]. UCI Machine Learning Repository. https://doi.org/10.24432/C5BW33. Dataset description reports 541,909 instances and transactions from 1 December 2010 to 9 December 2011.</w:t>
      </w:r>
    </w:p>
    <w:p>
      <w:pPr>
        <w:pStyle w:val="ListNumber"/>
      </w:pPr>
      <w:r>
        <w:t>UCI Machine Learning Repository. Online Retail II. https://archive.ics.uci.edu/dataset/502/online+retail+ii</w:t>
      </w:r>
    </w:p>
    <w:p>
      <w:pPr>
        <w:pStyle w:val="ListNumber"/>
      </w:pPr>
      <w:r>
        <w:t>U.S. Food and Drug Administration (FDA). openFDA Cosmetic Adverse Events API: How to Use the Endpoint. https://open.fda.gov/apis/cosmetic/event/how-to-use-the-endpoint/</w:t>
      </w:r>
    </w:p>
    <w:p>
      <w:pPr>
        <w:pStyle w:val="ListNumber"/>
      </w:pPr>
      <w:r>
        <w:t>U.S. Food and Drug Administration (FDA). FAERS Public Dashboard FAQ. https://fis.fda.gov/extensions/FPD-FAQ-OCAC/FPD-FAQ-OCAC.html</w:t>
      </w:r>
    </w:p>
    <w:p>
      <w:pPr>
        <w:pStyle w:val="ListNumber"/>
      </w:pPr>
      <w:r>
        <w:t>Google Trends Help. Get started with the Google Trends dataset. https://support.google.com/trends/answer/12764470?hl=en-IN</w:t>
      </w:r>
    </w:p>
    <w:p>
      <w:pPr>
        <w:pStyle w:val="ListNumber"/>
      </w:pPr>
      <w:r>
        <w:t>Google Search Central. Get early access to the Google Trends API alpha. https://developers.google.com/search/apis/trends</w:t>
      </w:r>
    </w:p>
    <w:p>
      <w:r>
        <w:t>Source-selection note: Sources were selected for public accessibility, relevance to transaction analysis or beauty-product context, identifiable data fields, and documentation. Access date for this report: 28 October 2026. Dataset/API availability and terms should be rechecked at the time of download.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