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MedSecure Patient Portal &amp; Electronic Health Records SRS</w:t>
      </w:r>
    </w:p>
    <w:p>
      <w:pPr>
        <w:pStyle w:val="Heading1"/>
      </w:pPr>
      <w:r>
        <w:t>1. User Authentication &amp; Access Control</w:t>
      </w:r>
    </w:p>
    <w:p>
      <w:r>
        <w:t>REQ-AUTH-01: The system shall automatically terminate user sessions after 15 minutes of user inactivity.</w:t>
      </w:r>
    </w:p>
    <w:p>
      <w:r>
        <w:t>REQ-AUTH-02: All healthcare practitioners and patients shall authenticate using mandatory multi-factor authentication (MFA).</w:t>
      </w:r>
    </w:p>
    <w:p>
      <w:pPr>
        <w:pStyle w:val="Heading1"/>
      </w:pPr>
      <w:r>
        <w:t>2. System Performance &amp; Latency</w:t>
      </w:r>
    </w:p>
    <w:p>
      <w:r>
        <w:t>REQ-PERF-01: Patient medical record search queries shall return results within 1.0 second under peak load.</w:t>
      </w:r>
    </w:p>
    <w:p>
      <w:pPr>
        <w:pStyle w:val="Heading1"/>
      </w:pPr>
      <w:r>
        <w:t>3. Data Retention &amp; Compliance</w:t>
      </w:r>
    </w:p>
    <w:p>
      <w:r>
        <w:t>REQ-DATA-01: All electronic health record access logs and audit trails shall be preserved for a mandatory retention period of 7 years.</w:t>
      </w:r>
    </w:p>
    <w:p>
      <w:pPr>
        <w:pStyle w:val="Heading1"/>
      </w:pPr>
      <w:r>
        <w:t>4. Infrastructure &amp; Hosting</w:t>
      </w:r>
    </w:p>
    <w:p>
      <w:r>
        <w:t>REQ-INFRA-01: All patient database clusters and services shall be hosted on-premise within the hospital air-gapped data center.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