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36"/>
        </w:rPr>
        <w:t>AI-Based Crop Disease Detection and Monitoring System</w:t>
      </w:r>
    </w:p>
    <w:tbl>
      <w:tblPr>
        <w:tblW w:type="auto" w:w="0"/>
        <w:jc w:val="center"/>
        <w:tblLook w:firstColumn="1" w:firstRow="1" w:lastColumn="0" w:lastRow="0" w:noHBand="0" w:noVBand="1" w:val="04A0"/>
      </w:tblPr>
      <w:tblGrid>
        <w:gridCol w:w="3360"/>
        <w:gridCol w:w="3360"/>
        <w:gridCol w:w="3360"/>
      </w:tblGrid>
      <w:tr>
        <w:tc>
          <w:tcPr>
            <w:tcW w:type="dxa" w:w="3312"/>
          </w:tcPr>
          <w:p>
            <w:pPr>
              <w:spacing w:line="252" w:lineRule="auto" w:after="240"/>
              <w:jc w:val="center"/>
            </w:pPr>
            <w:r>
              <w:rPr>
                <w:b/>
                <w:sz w:val="20"/>
              </w:rPr>
              <w:t>Sudha. D</w:t>
              <w:br/>
            </w:r>
            <w:r>
              <w:rPr>
                <w:i/>
                <w:sz w:val="18"/>
              </w:rPr>
              <w:t>Dept Of CSE</w:t>
              <w:br/>
              <w:t>Sathyabama Institute of science &amp;</w:t>
              <w:br/>
              <w:t>Technology</w:t>
              <w:br/>
              <w:t>Chennai, India</w:t>
              <w:br/>
              <w:t>sudha.dandapani.cse@sathyabama.ac.in</w:t>
            </w:r>
          </w:p>
        </w:tc>
        <w:tc>
          <w:tcPr>
            <w:tcW w:type="dxa" w:w="3312"/>
          </w:tcPr>
          <w:p>
            <w:pPr>
              <w:spacing w:line="252" w:lineRule="auto" w:after="240"/>
              <w:jc w:val="center"/>
            </w:pPr>
            <w:r>
              <w:rPr>
                <w:b/>
                <w:sz w:val="20"/>
              </w:rPr>
              <w:t>G.V.Trivendra Reddy</w:t>
              <w:br/>
            </w:r>
            <w:r>
              <w:rPr>
                <w:i/>
                <w:sz w:val="18"/>
              </w:rPr>
              <w:t>Dept Of CSE</w:t>
              <w:br/>
              <w:t>Sathyabama Institute of science &amp;</w:t>
              <w:br/>
              <w:t>Technology</w:t>
              <w:br/>
              <w:t>Chennai, India</w:t>
              <w:br/>
              <w:t>trivereddy2005@gmail.com</w:t>
            </w:r>
          </w:p>
        </w:tc>
        <w:tc>
          <w:tcPr>
            <w:tcW w:type="dxa" w:w="3312"/>
          </w:tcPr>
          <w:p>
            <w:pPr>
              <w:spacing w:line="252" w:lineRule="auto" w:after="240"/>
              <w:jc w:val="center"/>
            </w:pPr>
            <w:r>
              <w:rPr>
                <w:b/>
                <w:sz w:val="20"/>
              </w:rPr>
              <w:t>K.Nanda Kishore Reddy</w:t>
              <w:br/>
            </w:r>
            <w:r>
              <w:rPr>
                <w:i/>
                <w:sz w:val="18"/>
              </w:rPr>
              <w:t>Dept Of CSE</w:t>
              <w:br/>
              <w:t>Sathyabama Institute of science &amp;</w:t>
              <w:br/>
              <w:t>Technology</w:t>
              <w:br/>
              <w:t>Chennai, India</w:t>
              <w:br/>
              <w:t>nandakishorereddy929@gmail.com</w:t>
            </w:r>
          </w:p>
        </w:tc>
      </w:tr>
    </w:tbl>
    <w:p>
      <w:pPr>
        <w:sectPr>
          <w:pgSz w:w="12240" w:h="15840"/>
          <w:pgMar w:top="1080" w:right="1080" w:bottom="1080" w:left="1080" w:header="720" w:footer="720" w:gutter="0"/>
          <w:cols w:space="720"/>
          <w:docGrid w:linePitch="360"/>
        </w:sectPr>
      </w:pPr>
    </w:p>
    <w:p>
      <w:pPr>
        <w:spacing w:before="80" w:after="80" w:line="252" w:lineRule="auto"/>
        <w:jc w:val="both"/>
      </w:pPr>
      <w:r>
        <w:rPr>
          <w:b/>
          <w:sz w:val="18"/>
        </w:rPr>
        <w:t xml:space="preserve">Abstract— </w:t>
      </w:r>
      <w:r>
        <w:rPr>
          <w:i/>
          <w:sz w:val="18"/>
        </w:rPr>
        <w:t>Timely identification of botanical pathologies represents an essential prerequisite for safeguarding agricultural yield, elevating farm profitability, and fortifying worldwide food sustainability. Conventional manual inspection protocols remain inherently flawed, labor-demanding, and susceptible to diagnostic discrepancies owing to their reliance on naked-eye appraisal. To overcome these operational bottlenecks, this research introduces an integrated smart agronomy architecture coupling an Internet of Things (IoT) multi-parameter edge sensing network with a PyTorch-driven Convolutional Neural Network (CNN). The physical edge apparatus orchestrates uninterrupted surveillance over critical microclimatic determinants—specifically ambient temperature, relative humidity, soil moisture saturation, and luminous intensity—utilizing an ESP32 microprocessor. Simultaneously, foliar image inputs undergo deep hierarchical feature extraction via the CNN classifier to diagnose specific phytopathological conditions. To eliminate the opacity inherent in deep neural models and cultivate practitioner confidence, Gradient-weighted Class Activation Mapping (Grad-CAM) is incorporated to construct spatial explainability heatmaps. Concurrently, a prescriptive Agrochemical Engine cross-references identified pathogens against a treatment repository to formulate targeted chemical remediation protocols. Empirical evaluation illustrates that the hybrid framework attains an exemplary classification accuracy of 99.2% across standardized benchmark repositories, demonstrating marked superiority over conventional isolated diagnostic paradigms while optimizing agrochemical dispersion.</w:t>
      </w:r>
    </w:p>
    <w:p>
      <w:pPr>
        <w:spacing w:before="40" w:after="160" w:line="252" w:lineRule="auto"/>
        <w:jc w:val="both"/>
      </w:pPr>
      <w:r>
        <w:rPr>
          <w:b/>
          <w:i/>
          <w:sz w:val="18"/>
        </w:rPr>
        <w:t xml:space="preserve">Keywords— </w:t>
      </w:r>
      <w:r>
        <w:rPr>
          <w:i/>
          <w:sz w:val="18"/>
        </w:rPr>
        <w:t>Internet of Things, Precision Agriculture, Convolutional Neural Networks, Explainable Artificial Intelligence, Sensor Data Fusion, Agrochemical Recommendation.</w:t>
      </w:r>
    </w:p>
    <w:p>
      <w:pPr>
        <w:spacing w:before="200" w:after="60"/>
        <w:jc w:val="center"/>
      </w:pPr>
      <w:r>
        <w:rPr>
          <w:b/>
          <w:sz w:val="20"/>
        </w:rPr>
        <w:t>I. INTRODUCTION</w:t>
      </w:r>
    </w:p>
    <w:p>
      <w:pPr>
        <w:spacing w:after="90" w:line="252" w:lineRule="auto"/>
        <w:jc w:val="both"/>
      </w:pPr>
      <w:r>
        <w:rPr>
          <w:sz w:val="19"/>
        </w:rPr>
        <w:t>Agriculture remains the foundational bedrock of socio-economic stability and global food security. In light of United Nations projections forecasting a human population approaching 9.7 billion by mid-century, agricultural ecosystems face mounting pressure to expand productivity amidst climate unpredictability, arable land degradation, and virulent biological pathogen infestations. Phytopathological afflictions collectively precipitate an annual reduction of 20% to 40% in worldwide crop harvests, incurring severe economic liabilities for agrarian economies and destabilizing commercial food supply chains. Consequently, developing automated, rapid, and dependable early-warning methodologies for crop pathology detection is paramount to arresting disease transmission and curbing excessive chemical usage.</w:t>
      </w:r>
    </w:p>
    <w:p>
      <w:pPr>
        <w:spacing w:after="90" w:line="252" w:lineRule="auto"/>
        <w:jc w:val="both"/>
      </w:pPr>
      <w:r>
        <w:rPr>
          <w:sz w:val="19"/>
        </w:rPr>
        <w:t>Historically, the diagnosis of crop maladies has depended on in-person foliar evaluation conducted by agriculturalists and extension specialists. This manual approach is inherently subjective, logistically cumbersome, and functionally unscalable over extensive rural acreages. While contemporary developments in Computer Vision (CV) and Deep Learning (DL) have facilitated automated leaf lesion classification, standard convolutional architectures exhibit two defining systemic shortcomings:</w:t>
      </w:r>
    </w:p>
    <w:p>
      <w:pPr>
        <w:spacing w:after="90" w:line="252" w:lineRule="auto"/>
        <w:jc w:val="both"/>
      </w:pPr>
      <w:r>
        <w:rPr>
          <w:sz w:val="19"/>
        </w:rPr>
        <w:t>1. Absence of Environmental Contextuality: Visual manifestations typically emerge only after prolonged latent pathogen incubation. Isolated image classifiers fail to evaluate the ambient microclimatic determinants (e.g., elevated humidity, persistent leaf dampness, temperature fluctuations, and precipitative events) that actively drive spore germination and bacterial proliferation.</w:t>
      </w:r>
    </w:p>
    <w:p>
      <w:pPr>
        <w:spacing w:after="90" w:line="252" w:lineRule="auto"/>
        <w:jc w:val="both"/>
      </w:pPr>
      <w:r>
        <w:rPr>
          <w:sz w:val="19"/>
        </w:rPr>
        <w:t>2. Interpretability and Trust Deficit: Standard deep neural networks operate as opaque computational black-boxes. Providing unverified classification labels without visual justification generates significant skepticism among farmers who risk their livelihoods upon expensive chemical interventions.</w:t>
      </w:r>
    </w:p>
    <w:p>
      <w:pPr>
        <w:spacing w:after="90" w:line="252" w:lineRule="auto"/>
        <w:jc w:val="both"/>
      </w:pPr>
      <w:r>
        <w:rPr>
          <w:sz w:val="19"/>
        </w:rPr>
        <w:t>To resolve these interconnected challenges, this work introduces a multi-tier precision farming framework that bridges hardware-based physical sensing with explainable computer vision. The system incorporates an on-field IoT edge telemetry node, an optimized PyTorch CNN for foliar classification, a Grad-CAM explainability module that renders diagnostic heatmaps, and an automated Agrochemical Recommendation Engine accessible through a dynamic React.js dashboard.</w:t>
      </w:r>
    </w:p>
    <w:p>
      <w:pPr>
        <w:spacing w:before="200" w:after="60"/>
        <w:jc w:val="center"/>
      </w:pPr>
      <w:r>
        <w:rPr>
          <w:b/>
          <w:sz w:val="20"/>
        </w:rPr>
        <w:t>II. LITERATURE REVIEW</w:t>
      </w:r>
    </w:p>
    <w:p>
      <w:pPr>
        <w:spacing w:after="90" w:line="252" w:lineRule="auto"/>
        <w:jc w:val="both"/>
      </w:pPr>
      <w:r>
        <w:rPr>
          <w:sz w:val="19"/>
        </w:rPr>
        <w:t>Patil and Kale [1] introduced physical IoT edge telemetry systems for agriculture, demonstrating that continuous monitoring of soil moisture, ambient temperature, and relative humidity provides vital predictive indicators for pre-symptomatic crop risk assessment. In parallel, Jayashree et al. [2] analyzed the deployment of microclimatic and soil-embedded sensors in precision agriculture, detailing how atmospheric telemetry optimizes irrigation schedules and highlighting that real-time environmental context is necessary to prevent disease proliferation. To address visual pathology classification, Ferentinos [3] explored deep learning convolutional neural network models for image-based plant disease recognition, proving that deep visual architectures significantly outperform manual inspection across diverse crop foliage. Evaluating non-parametric predictive algorithms, Panchal et al. [4] deployed Random Forest classifiers utilizing agricultural sensor logs, demonstrating that telemetry-driven models can forecast infection probabilities before macroscopic lesions appear. Integrating hardware and algorithms, Babu et al. [5] proposed an IoT-ML framework for synchronized crop disease detection, establishing how edge-acquired sensor metrics enhance central diagnostic accuracy. Broadening the scope of connected intelligence, Reddy [6] reviewed amalgamation paradigms uniting IoT sensing with machine learning, emphasizing that distributed edge-cloud processing frameworks are essential for scalable real-time monitoring.</w:t>
      </w:r>
    </w:p>
    <w:p>
      <w:pPr>
        <w:spacing w:after="90" w:line="252" w:lineRule="auto"/>
        <w:jc w:val="both"/>
      </w:pPr>
      <w:r>
        <w:rPr>
          <w:sz w:val="19"/>
        </w:rPr>
        <w:t>Managing high-throughput agricultural data, Ramesh et al. [7] examined cloud computing infrastructures tailored for precision farming, proving that distributed databases and server architectures are critical for handling high-volume continuous sensor streams without throughput degradation. Advancing information modeling, Sharma et al. [8] developed semi-automatic predictive pathways in smart agriculture, showing that systematic parameter tracking improves diagnostic foresight in rural farming envelopes. Investigating crop-specific telemetry, Singh et al. [9] implemented an IoT-based surveillance architecture for cereal crops using machine learning algorithms, establishing that microclimatic sensor fusion enhances disease mitigation. In aerial remote sensing, Lan et al. [10] evaluated machine learning classifiers on unmanned aerial vehicle (UAV) multispectral imagery for citrus greening detection, demonstrating the power of multispectral spatial feature extraction. Expanding on aerial and thermal imaging, Poblete et al. [11] utilized airborne hyperspectral bandsets to identify early infection symptoms in olive crops, proving that narrow-band optical variations reveal physiological stress. Detecting fungal spread at varying stages, Abdulridha et al. [12] applied deep learning models to UAV-based hyperspectral data for powdery mildew identification, demonstrating robust early-stage localization. Focusing on localized horticultural surveillance, Patil and Thorat [13] implemented machine learning algorithms for grape disease detection, illustrating how targeted vision models isolate specific foliar pathologies.</w:t>
      </w:r>
    </w:p>
    <w:p>
      <w:pPr>
        <w:spacing w:after="90" w:line="252" w:lineRule="auto"/>
        <w:jc w:val="both"/>
      </w:pPr>
      <w:r>
        <w:rPr>
          <w:sz w:val="19"/>
        </w:rPr>
        <w:t>Addressing pest and pathogen monitoring networks, Materne and Inoue [14] designed an automated IoT surveillance system for early pest detection, establishing that edge sensing nodes significantly decrease operational intervention latency across agricultural fields. In localized disorder diagnosis, Khan and Narvekar [15] developed an IoT-ML framework for tomato plant health, demonstrating how fused sensor metrics validate automated vision classifications. Exploring real-time healthcare-grade telemetry architectures, Abdulkareem et al. [16] detailed the deployment of high-throughput machine learning within sensor-driven environments, providing architectural blueprints for low-latency diagnostic pipelines. Enhancing low-cost sensing, Popa et al. [17] designed an economical multi-sensor framework for quality assessment, proving that affordable hardware components can attain enterprise-grade telemetry precision. Evaluating immersive remote monitoring interfaces, Postolache et al. [18] investigated virtualized real-time telemetry dashboards, demonstrating that interactive visual control planes dramatically enhance user decision-making during high-stress operational conditions. Investigating non-invasive sensor integration, Brezulianu et al. [19] analyzed inductive telemetry methods for continuous physiological monitoring, highlighting data reliability principles applicable to agricultural edge nodes. Finally, Manoj et al. [20] synthesized state-of-the-art telemetry techniques for distributed environmental sensor networks, proving that multi-parameter data fusion is indispensable for maintaining diagnostic stability across dynamic real-world environments.</w:t>
      </w:r>
    </w:p>
    <w:p>
      <w:pPr>
        <w:spacing w:before="200" w:after="60"/>
        <w:jc w:val="center"/>
      </w:pPr>
      <w:r>
        <w:rPr>
          <w:b/>
          <w:sz w:val="20"/>
        </w:rPr>
        <w:t>III. PROPOSED METHODOLOGY</w:t>
      </w:r>
    </w:p>
    <w:p>
      <w:pPr>
        <w:spacing w:after="90" w:line="252" w:lineRule="auto"/>
        <w:jc w:val="both"/>
      </w:pPr>
      <w:r>
        <w:rPr>
          <w:sz w:val="19"/>
        </w:rPr>
        <w:t>Figure 1 illustrates the ingestion of two distinct operational data modalities: continuous environmental telemetry vectors acquired via physical IoT edge hardware and high-resolution foliar image payloads uploaded through the web portal. The environmental telemetry undergoes specialized min-max scaling and threshold risk scoring, while the image payload is processed through the deep CNN inference engine with integrated Grad-CAM explainability to compute class activations and prescribe remedial agrochemical interventions.</w:t>
      </w:r>
    </w:p>
    <w:p>
      <w:pPr>
        <w:spacing w:before="80" w:after="40"/>
        <w:jc w:val="center"/>
      </w:pPr>
      <w:r>
        <w:drawing>
          <wp:inline xmlns:a="http://schemas.openxmlformats.org/drawingml/2006/main" xmlns:pic="http://schemas.openxmlformats.org/drawingml/2006/picture">
            <wp:extent cx="2926080" cy="165372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926080" cy="1653720"/>
                    </a:xfrm>
                    <a:prstGeom prst="rect"/>
                  </pic:spPr>
                </pic:pic>
              </a:graphicData>
            </a:graphic>
          </wp:inline>
        </w:drawing>
      </w:r>
    </w:p>
    <w:p>
      <w:pPr>
        <w:spacing w:after="120"/>
        <w:jc w:val="center"/>
      </w:pPr>
      <w:r>
        <w:rPr>
          <w:i/>
          <w:sz w:val="17"/>
        </w:rPr>
        <w:t>Fig. 1. System Architecture</w:t>
      </w:r>
    </w:p>
    <w:p>
      <w:pPr>
        <w:spacing w:before="140" w:after="40"/>
      </w:pPr>
      <w:r>
        <w:rPr>
          <w:b/>
          <w:i/>
          <w:sz w:val="19"/>
        </w:rPr>
        <w:t>A. DATASET DESCRIPTION</w:t>
      </w:r>
    </w:p>
    <w:p>
      <w:pPr>
        <w:spacing w:after="90" w:line="252" w:lineRule="auto"/>
        <w:jc w:val="both"/>
      </w:pPr>
      <w:r>
        <w:rPr>
          <w:sz w:val="19"/>
        </w:rPr>
        <w:t>The dataset utilized in this investigation incorporates multi-modal data streams designed to emulate real-world agricultural monitoring:</w:t>
      </w:r>
    </w:p>
    <w:p>
      <w:pPr>
        <w:spacing w:after="90" w:line="252" w:lineRule="auto"/>
        <w:jc w:val="both"/>
      </w:pPr>
      <w:r>
        <w:rPr>
          <w:sz w:val="19"/>
        </w:rPr>
        <w:t>1. IoT Sensor Telemetry Dataset: Collected via an ESP32 microcontroller logging four physical parameters: ambient temperature (T), relative humidity (H), soil moisture saturation (M), and luminous intensity (L). Readings are captured at 5-minute sampling intervals under diverse field conditions (e.g., clear, overcast, and precipitative states).</w:t>
      </w:r>
    </w:p>
    <w:p>
      <w:pPr>
        <w:spacing w:after="90" w:line="252" w:lineRule="auto"/>
        <w:jc w:val="both"/>
      </w:pPr>
      <w:r>
        <w:rPr>
          <w:sz w:val="19"/>
        </w:rPr>
        <w:t>2. Foliar Image Benchmark: Sourced from standardized botanical pathology datasets (incorporating the PlantVillage benchmark), comprising over 54,000 labeled images spanning 38 distinct crop-disease combinations across Solanaceae (Tomato, Potato), Poaceae (Corn), Vitaceae (Grape), and Rosaceae (Apple) families.</w:t>
      </w:r>
    </w:p>
    <w:p>
      <w:pPr>
        <w:spacing w:before="120" w:after="60"/>
        <w:jc w:val="center"/>
      </w:pPr>
      <w:r>
        <w:rPr>
          <w:b/>
          <w:sz w:val="17"/>
        </w:rPr>
        <w:t>TABLE I. SAMPLE IOT SENSOR TELEMETRY DATASET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40" w:type="dxa"/>
              <w:bottom w:w="40" w:type="dxa"/>
              <w:left w:w="40" w:type="dxa"/>
              <w:right w:w="40" w:type="dxa"/>
            </w:tcMar>
          </w:tcPr>
          <w:p>
            <w:pPr>
              <w:jc w:val="center"/>
            </w:pPr>
            <w:r>
              <w:rPr>
                <w:b/>
                <w:sz w:val="15"/>
              </w:rPr>
              <w:t>Time</w:t>
            </w:r>
          </w:p>
        </w:tc>
        <w:tc>
          <w:tcPr>
            <w:tcW w:type="dxa" w:w="1680"/>
            <w:shd w:fill="E0E0E0"/>
            <w:tcMar>
              <w:top w:w="40" w:type="dxa"/>
              <w:bottom w:w="40" w:type="dxa"/>
              <w:left w:w="40" w:type="dxa"/>
              <w:right w:w="40" w:type="dxa"/>
            </w:tcMar>
          </w:tcPr>
          <w:p>
            <w:pPr>
              <w:jc w:val="center"/>
            </w:pPr>
            <w:r>
              <w:rPr>
                <w:b/>
                <w:sz w:val="15"/>
              </w:rPr>
              <w:t>T(°C)</w:t>
            </w:r>
          </w:p>
        </w:tc>
        <w:tc>
          <w:tcPr>
            <w:tcW w:type="dxa" w:w="1680"/>
            <w:shd w:fill="E0E0E0"/>
            <w:tcMar>
              <w:top w:w="40" w:type="dxa"/>
              <w:bottom w:w="40" w:type="dxa"/>
              <w:left w:w="40" w:type="dxa"/>
              <w:right w:w="40" w:type="dxa"/>
            </w:tcMar>
          </w:tcPr>
          <w:p>
            <w:pPr>
              <w:jc w:val="center"/>
            </w:pPr>
            <w:r>
              <w:rPr>
                <w:b/>
                <w:sz w:val="15"/>
              </w:rPr>
              <w:t>H(%)</w:t>
            </w:r>
          </w:p>
        </w:tc>
        <w:tc>
          <w:tcPr>
            <w:tcW w:type="dxa" w:w="1680"/>
            <w:shd w:fill="E0E0E0"/>
            <w:tcMar>
              <w:top w:w="40" w:type="dxa"/>
              <w:bottom w:w="40" w:type="dxa"/>
              <w:left w:w="40" w:type="dxa"/>
              <w:right w:w="40" w:type="dxa"/>
            </w:tcMar>
          </w:tcPr>
          <w:p>
            <w:pPr>
              <w:jc w:val="center"/>
            </w:pPr>
            <w:r>
              <w:rPr>
                <w:b/>
                <w:sz w:val="15"/>
              </w:rPr>
              <w:t>M(%)</w:t>
            </w:r>
          </w:p>
        </w:tc>
        <w:tc>
          <w:tcPr>
            <w:tcW w:type="dxa" w:w="1680"/>
            <w:shd w:fill="E0E0E0"/>
            <w:tcMar>
              <w:top w:w="40" w:type="dxa"/>
              <w:bottom w:w="40" w:type="dxa"/>
              <w:left w:w="40" w:type="dxa"/>
              <w:right w:w="40" w:type="dxa"/>
            </w:tcMar>
          </w:tcPr>
          <w:p>
            <w:pPr>
              <w:jc w:val="center"/>
            </w:pPr>
            <w:r>
              <w:rPr>
                <w:b/>
                <w:sz w:val="15"/>
              </w:rPr>
              <w:t>Lux</w:t>
            </w:r>
          </w:p>
        </w:tc>
        <w:tc>
          <w:tcPr>
            <w:tcW w:type="dxa" w:w="1680"/>
            <w:shd w:fill="E0E0E0"/>
            <w:tcMar>
              <w:top w:w="40" w:type="dxa"/>
              <w:bottom w:w="40" w:type="dxa"/>
              <w:left w:w="40" w:type="dxa"/>
              <w:right w:w="40" w:type="dxa"/>
            </w:tcMar>
          </w:tcPr>
          <w:p>
            <w:pPr>
              <w:jc w:val="center"/>
            </w:pPr>
            <w:r>
              <w:rPr>
                <w:b/>
                <w:sz w:val="15"/>
              </w:rPr>
              <w:t>Rain</w:t>
            </w:r>
          </w:p>
        </w:tc>
      </w:tr>
      <w:tr>
        <w:tc>
          <w:tcPr>
            <w:tcW w:type="dxa" w:w="1680"/>
            <w:tcMar>
              <w:top w:w="30" w:type="dxa"/>
              <w:bottom w:w="30" w:type="dxa"/>
              <w:left w:w="40" w:type="dxa"/>
              <w:right w:w="40" w:type="dxa"/>
            </w:tcMar>
          </w:tcPr>
          <w:p>
            <w:pPr>
              <w:jc w:val="center"/>
            </w:pPr>
            <w:r>
              <w:rPr>
                <w:sz w:val="15"/>
              </w:rPr>
              <w:t>08:00</w:t>
            </w:r>
          </w:p>
        </w:tc>
        <w:tc>
          <w:tcPr>
            <w:tcW w:type="dxa" w:w="1680"/>
            <w:tcMar>
              <w:top w:w="30" w:type="dxa"/>
              <w:bottom w:w="30" w:type="dxa"/>
              <w:left w:w="40" w:type="dxa"/>
              <w:right w:w="40" w:type="dxa"/>
            </w:tcMar>
          </w:tcPr>
          <w:p>
            <w:pPr>
              <w:jc w:val="center"/>
            </w:pPr>
            <w:r>
              <w:rPr>
                <w:sz w:val="15"/>
              </w:rPr>
              <w:t>25.4</w:t>
            </w:r>
          </w:p>
        </w:tc>
        <w:tc>
          <w:tcPr>
            <w:tcW w:type="dxa" w:w="1680"/>
            <w:tcMar>
              <w:top w:w="30" w:type="dxa"/>
              <w:bottom w:w="30" w:type="dxa"/>
              <w:left w:w="40" w:type="dxa"/>
              <w:right w:w="40" w:type="dxa"/>
            </w:tcMar>
          </w:tcPr>
          <w:p>
            <w:pPr>
              <w:jc w:val="center"/>
            </w:pPr>
            <w:r>
              <w:rPr>
                <w:sz w:val="15"/>
              </w:rPr>
              <w:t>62</w:t>
            </w:r>
          </w:p>
        </w:tc>
        <w:tc>
          <w:tcPr>
            <w:tcW w:type="dxa" w:w="1680"/>
            <w:tcMar>
              <w:top w:w="30" w:type="dxa"/>
              <w:bottom w:w="30" w:type="dxa"/>
              <w:left w:w="40" w:type="dxa"/>
              <w:right w:w="40" w:type="dxa"/>
            </w:tcMar>
          </w:tcPr>
          <w:p>
            <w:pPr>
              <w:jc w:val="center"/>
            </w:pPr>
            <w:r>
              <w:rPr>
                <w:sz w:val="15"/>
              </w:rPr>
              <w:t>45</w:t>
            </w:r>
          </w:p>
        </w:tc>
        <w:tc>
          <w:tcPr>
            <w:tcW w:type="dxa" w:w="1680"/>
            <w:tcMar>
              <w:top w:w="30" w:type="dxa"/>
              <w:bottom w:w="30" w:type="dxa"/>
              <w:left w:w="40" w:type="dxa"/>
              <w:right w:w="40" w:type="dxa"/>
            </w:tcMar>
          </w:tcPr>
          <w:p>
            <w:pPr>
              <w:jc w:val="center"/>
            </w:pPr>
            <w:r>
              <w:rPr>
                <w:sz w:val="15"/>
              </w:rPr>
              <w:t>18.5k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10:00</w:t>
            </w:r>
          </w:p>
        </w:tc>
        <w:tc>
          <w:tcPr>
            <w:tcW w:type="dxa" w:w="1680"/>
            <w:tcMar>
              <w:top w:w="30" w:type="dxa"/>
              <w:bottom w:w="30" w:type="dxa"/>
              <w:left w:w="40" w:type="dxa"/>
              <w:right w:w="40" w:type="dxa"/>
            </w:tcMar>
          </w:tcPr>
          <w:p>
            <w:pPr>
              <w:jc w:val="center"/>
            </w:pPr>
            <w:r>
              <w:rPr>
                <w:sz w:val="15"/>
              </w:rPr>
              <w:t>28.1</w:t>
            </w:r>
          </w:p>
        </w:tc>
        <w:tc>
          <w:tcPr>
            <w:tcW w:type="dxa" w:w="1680"/>
            <w:tcMar>
              <w:top w:w="30" w:type="dxa"/>
              <w:bottom w:w="30" w:type="dxa"/>
              <w:left w:w="40" w:type="dxa"/>
              <w:right w:w="40" w:type="dxa"/>
            </w:tcMar>
          </w:tcPr>
          <w:p>
            <w:pPr>
              <w:jc w:val="center"/>
            </w:pPr>
            <w:r>
              <w:rPr>
                <w:sz w:val="15"/>
              </w:rPr>
              <w:t>58</w:t>
            </w:r>
          </w:p>
        </w:tc>
        <w:tc>
          <w:tcPr>
            <w:tcW w:type="dxa" w:w="1680"/>
            <w:tcMar>
              <w:top w:w="30" w:type="dxa"/>
              <w:bottom w:w="30" w:type="dxa"/>
              <w:left w:w="40" w:type="dxa"/>
              <w:right w:w="40" w:type="dxa"/>
            </w:tcMar>
          </w:tcPr>
          <w:p>
            <w:pPr>
              <w:jc w:val="center"/>
            </w:pPr>
            <w:r>
              <w:rPr>
                <w:sz w:val="15"/>
              </w:rPr>
              <w:t>42</w:t>
            </w:r>
          </w:p>
        </w:tc>
        <w:tc>
          <w:tcPr>
            <w:tcW w:type="dxa" w:w="1680"/>
            <w:tcMar>
              <w:top w:w="30" w:type="dxa"/>
              <w:bottom w:w="30" w:type="dxa"/>
              <w:left w:w="40" w:type="dxa"/>
              <w:right w:w="40" w:type="dxa"/>
            </w:tcMar>
          </w:tcPr>
          <w:p>
            <w:pPr>
              <w:jc w:val="center"/>
            </w:pPr>
            <w:r>
              <w:rPr>
                <w:sz w:val="15"/>
              </w:rPr>
              <w:t>45.0k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12:00</w:t>
            </w:r>
          </w:p>
        </w:tc>
        <w:tc>
          <w:tcPr>
            <w:tcW w:type="dxa" w:w="1680"/>
            <w:tcMar>
              <w:top w:w="30" w:type="dxa"/>
              <w:bottom w:w="30" w:type="dxa"/>
              <w:left w:w="40" w:type="dxa"/>
              <w:right w:w="40" w:type="dxa"/>
            </w:tcMar>
          </w:tcPr>
          <w:p>
            <w:pPr>
              <w:jc w:val="center"/>
            </w:pPr>
            <w:r>
              <w:rPr>
                <w:sz w:val="15"/>
              </w:rPr>
              <w:t>31.5</w:t>
            </w:r>
          </w:p>
        </w:tc>
        <w:tc>
          <w:tcPr>
            <w:tcW w:type="dxa" w:w="1680"/>
            <w:tcMar>
              <w:top w:w="30" w:type="dxa"/>
              <w:bottom w:w="30" w:type="dxa"/>
              <w:left w:w="40" w:type="dxa"/>
              <w:right w:w="40" w:type="dxa"/>
            </w:tcMar>
          </w:tcPr>
          <w:p>
            <w:pPr>
              <w:jc w:val="center"/>
            </w:pPr>
            <w:r>
              <w:rPr>
                <w:sz w:val="15"/>
              </w:rPr>
              <w:t>54</w:t>
            </w:r>
          </w:p>
        </w:tc>
        <w:tc>
          <w:tcPr>
            <w:tcW w:type="dxa" w:w="1680"/>
            <w:tcMar>
              <w:top w:w="30" w:type="dxa"/>
              <w:bottom w:w="30" w:type="dxa"/>
              <w:left w:w="40" w:type="dxa"/>
              <w:right w:w="40" w:type="dxa"/>
            </w:tcMar>
          </w:tcPr>
          <w:p>
            <w:pPr>
              <w:jc w:val="center"/>
            </w:pPr>
            <w:r>
              <w:rPr>
                <w:sz w:val="15"/>
              </w:rPr>
              <w:t>38</w:t>
            </w:r>
          </w:p>
        </w:tc>
        <w:tc>
          <w:tcPr>
            <w:tcW w:type="dxa" w:w="1680"/>
            <w:tcMar>
              <w:top w:w="30" w:type="dxa"/>
              <w:bottom w:w="30" w:type="dxa"/>
              <w:left w:w="40" w:type="dxa"/>
              <w:right w:w="40" w:type="dxa"/>
            </w:tcMar>
          </w:tcPr>
          <w:p>
            <w:pPr>
              <w:jc w:val="center"/>
            </w:pPr>
            <w:r>
              <w:rPr>
                <w:sz w:val="15"/>
              </w:rPr>
              <w:t>68.0k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14:00</w:t>
            </w:r>
          </w:p>
        </w:tc>
        <w:tc>
          <w:tcPr>
            <w:tcW w:type="dxa" w:w="1680"/>
            <w:tcMar>
              <w:top w:w="30" w:type="dxa"/>
              <w:bottom w:w="30" w:type="dxa"/>
              <w:left w:w="40" w:type="dxa"/>
              <w:right w:w="40" w:type="dxa"/>
            </w:tcMar>
          </w:tcPr>
          <w:p>
            <w:pPr>
              <w:jc w:val="center"/>
            </w:pPr>
            <w:r>
              <w:rPr>
                <w:sz w:val="15"/>
              </w:rPr>
              <w:t>29.2</w:t>
            </w:r>
          </w:p>
        </w:tc>
        <w:tc>
          <w:tcPr>
            <w:tcW w:type="dxa" w:w="1680"/>
            <w:tcMar>
              <w:top w:w="30" w:type="dxa"/>
              <w:bottom w:w="30" w:type="dxa"/>
              <w:left w:w="40" w:type="dxa"/>
              <w:right w:w="40" w:type="dxa"/>
            </w:tcMar>
          </w:tcPr>
          <w:p>
            <w:pPr>
              <w:jc w:val="center"/>
            </w:pPr>
            <w:r>
              <w:rPr>
                <w:sz w:val="15"/>
              </w:rPr>
              <w:t>75</w:t>
            </w:r>
          </w:p>
        </w:tc>
        <w:tc>
          <w:tcPr>
            <w:tcW w:type="dxa" w:w="1680"/>
            <w:tcMar>
              <w:top w:w="30" w:type="dxa"/>
              <w:bottom w:w="30" w:type="dxa"/>
              <w:left w:w="40" w:type="dxa"/>
              <w:right w:w="40" w:type="dxa"/>
            </w:tcMar>
          </w:tcPr>
          <w:p>
            <w:pPr>
              <w:jc w:val="center"/>
            </w:pPr>
            <w:r>
              <w:rPr>
                <w:sz w:val="15"/>
              </w:rPr>
              <w:t>55</w:t>
            </w:r>
          </w:p>
        </w:tc>
        <w:tc>
          <w:tcPr>
            <w:tcW w:type="dxa" w:w="1680"/>
            <w:tcMar>
              <w:top w:w="30" w:type="dxa"/>
              <w:bottom w:w="30" w:type="dxa"/>
              <w:left w:w="40" w:type="dxa"/>
              <w:right w:w="40" w:type="dxa"/>
            </w:tcMar>
          </w:tcPr>
          <w:p>
            <w:pPr>
              <w:jc w:val="center"/>
            </w:pPr>
            <w:r>
              <w:rPr>
                <w:sz w:val="15"/>
              </w:rPr>
              <w:t>12.0k</w:t>
            </w:r>
          </w:p>
        </w:tc>
        <w:tc>
          <w:tcPr>
            <w:tcW w:type="dxa" w:w="1680"/>
            <w:tcMar>
              <w:top w:w="30" w:type="dxa"/>
              <w:bottom w:w="30" w:type="dxa"/>
              <w:left w:w="40" w:type="dxa"/>
              <w:right w:w="40" w:type="dxa"/>
            </w:tcMar>
          </w:tcPr>
          <w:p>
            <w:pPr>
              <w:jc w:val="center"/>
            </w:pPr>
            <w:r>
              <w:rPr>
                <w:sz w:val="15"/>
              </w:rPr>
              <w:t>Wet</w:t>
            </w:r>
          </w:p>
        </w:tc>
      </w:tr>
      <w:tr>
        <w:tc>
          <w:tcPr>
            <w:tcW w:type="dxa" w:w="1680"/>
            <w:tcMar>
              <w:top w:w="30" w:type="dxa"/>
              <w:bottom w:w="30" w:type="dxa"/>
              <w:left w:w="40" w:type="dxa"/>
              <w:right w:w="40" w:type="dxa"/>
            </w:tcMar>
          </w:tcPr>
          <w:p>
            <w:pPr>
              <w:jc w:val="center"/>
            </w:pPr>
            <w:r>
              <w:rPr>
                <w:sz w:val="15"/>
              </w:rPr>
              <w:t>16:00</w:t>
            </w:r>
          </w:p>
        </w:tc>
        <w:tc>
          <w:tcPr>
            <w:tcW w:type="dxa" w:w="1680"/>
            <w:tcMar>
              <w:top w:w="30" w:type="dxa"/>
              <w:bottom w:w="30" w:type="dxa"/>
              <w:left w:w="40" w:type="dxa"/>
              <w:right w:w="40" w:type="dxa"/>
            </w:tcMar>
          </w:tcPr>
          <w:p>
            <w:pPr>
              <w:jc w:val="center"/>
            </w:pPr>
            <w:r>
              <w:rPr>
                <w:sz w:val="15"/>
              </w:rPr>
              <w:t>26.0</w:t>
            </w:r>
          </w:p>
        </w:tc>
        <w:tc>
          <w:tcPr>
            <w:tcW w:type="dxa" w:w="1680"/>
            <w:tcMar>
              <w:top w:w="30" w:type="dxa"/>
              <w:bottom w:w="30" w:type="dxa"/>
              <w:left w:w="40" w:type="dxa"/>
              <w:right w:w="40" w:type="dxa"/>
            </w:tcMar>
          </w:tcPr>
          <w:p>
            <w:pPr>
              <w:jc w:val="center"/>
            </w:pPr>
            <w:r>
              <w:rPr>
                <w:sz w:val="15"/>
              </w:rPr>
              <w:t>82</w:t>
            </w:r>
          </w:p>
        </w:tc>
        <w:tc>
          <w:tcPr>
            <w:tcW w:type="dxa" w:w="1680"/>
            <w:tcMar>
              <w:top w:w="30" w:type="dxa"/>
              <w:bottom w:w="30" w:type="dxa"/>
              <w:left w:w="40" w:type="dxa"/>
              <w:right w:w="40" w:type="dxa"/>
            </w:tcMar>
          </w:tcPr>
          <w:p>
            <w:pPr>
              <w:jc w:val="center"/>
            </w:pPr>
            <w:r>
              <w:rPr>
                <w:sz w:val="15"/>
              </w:rPr>
              <w:t>68</w:t>
            </w:r>
          </w:p>
        </w:tc>
        <w:tc>
          <w:tcPr>
            <w:tcW w:type="dxa" w:w="1680"/>
            <w:tcMar>
              <w:top w:w="30" w:type="dxa"/>
              <w:bottom w:w="30" w:type="dxa"/>
              <w:left w:w="40" w:type="dxa"/>
              <w:right w:w="40" w:type="dxa"/>
            </w:tcMar>
          </w:tcPr>
          <w:p>
            <w:pPr>
              <w:jc w:val="center"/>
            </w:pPr>
            <w:r>
              <w:rPr>
                <w:sz w:val="15"/>
              </w:rPr>
              <w:t>8.5k</w:t>
            </w:r>
          </w:p>
        </w:tc>
        <w:tc>
          <w:tcPr>
            <w:tcW w:type="dxa" w:w="1680"/>
            <w:tcMar>
              <w:top w:w="30" w:type="dxa"/>
              <w:bottom w:w="30" w:type="dxa"/>
              <w:left w:w="40" w:type="dxa"/>
              <w:right w:w="40" w:type="dxa"/>
            </w:tcMar>
          </w:tcPr>
          <w:p>
            <w:pPr>
              <w:jc w:val="center"/>
            </w:pPr>
            <w:r>
              <w:rPr>
                <w:sz w:val="15"/>
              </w:rPr>
              <w:t>Wet</w:t>
            </w:r>
          </w:p>
        </w:tc>
      </w:tr>
    </w:tbl>
    <w:p>
      <w:pPr>
        <w:spacing w:after="80"/>
      </w:pPr>
    </w:p>
    <w:p>
      <w:pPr>
        <w:spacing w:before="140" w:after="40"/>
      </w:pPr>
      <w:r>
        <w:rPr>
          <w:b/>
          <w:i/>
          <w:sz w:val="19"/>
        </w:rPr>
        <w:t>B. FEATURE ENGINEERING &amp; SENSOR DATA FUSION</w:t>
      </w:r>
    </w:p>
    <w:p>
      <w:pPr>
        <w:spacing w:after="90" w:line="252" w:lineRule="auto"/>
        <w:jc w:val="both"/>
      </w:pPr>
      <w:r>
        <w:rPr>
          <w:sz w:val="19"/>
        </w:rPr>
        <w:t>Feature transformations are executed across both telemetry streams and image tensors to yield standardized representations:</w:t>
      </w:r>
    </w:p>
    <w:p>
      <w:pPr>
        <w:spacing w:after="90" w:line="252" w:lineRule="auto"/>
        <w:jc w:val="both"/>
      </w:pPr>
      <w:r>
        <w:rPr>
          <w:sz w:val="19"/>
        </w:rPr>
        <w:t>(i) Sensor Min-Max Normalization: Continuous telemetric variables X are scaled to standard range [0, 1]:</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X</m:t>
                    </m:r>
                  </m:e>
                  <m:sub>
                    <m:r>
                      <m:t>norm</m:t>
                    </m:r>
                  </m:sub>
                </m:sSub>
                <m:r>
                  <m:t> = </m:t>
                </m:r>
                <m:f>
                  <m:num>
                    <m:r>
                      <m:t>X - </m:t>
                    </m:r>
                    <m:sSub>
                      <m:e>
                        <m:r>
                          <m:t>X</m:t>
                        </m:r>
                      </m:e>
                      <m:sub>
                        <m:r>
                          <m:t>min</m:t>
                        </m:r>
                      </m:sub>
                    </m:sSub>
                  </m:num>
                  <m:den>
                    <m:sSub>
                      <m:e>
                        <m:r>
                          <m:t>X</m:t>
                        </m:r>
                      </m:e>
                      <m:sub>
                        <m:r>
                          <m:t>max</m:t>
                        </m:r>
                      </m:sub>
                    </m:sSub>
                    <m:r>
                      <m:t> - </m:t>
                    </m:r>
                    <m:sSub>
                      <m:e>
                        <m:r>
                          <m:t>X</m:t>
                        </m:r>
                      </m:e>
                      <m:sub>
                        <m:r>
                          <m:t>min</m:t>
                        </m:r>
                      </m:sub>
                    </m:sSub>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w:t>
            </w:r>
          </w:p>
        </w:tc>
      </w:tr>
    </w:tbl>
    <w:p>
      <w:pPr>
        <w:spacing w:after="90" w:line="252" w:lineRule="auto"/>
        <w:jc w:val="both"/>
      </w:pPr>
      <w:r>
        <w:rPr>
          <w:sz w:val="19"/>
        </w:rPr>
        <w:t>(ii) Environmental Fungal Proliferation Risk Index (R_env): A composite risk coefficient calculated from relative humidity (H) and ambient temperature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R</m:t>
                    </m:r>
                  </m:e>
                  <m:sub>
                    <m:r>
                      <m:t>env</m:t>
                    </m:r>
                  </m:sub>
                </m:sSub>
                <m:r>
                  <m:t> = </m:t>
                </m:r>
                <m:sSub>
                  <m:e>
                    <m:r>
                      <m:t>w</m:t>
                    </m:r>
                  </m:e>
                  <m:sub>
                    <m:r>
                      <m:t>1</m:t>
                    </m:r>
                  </m:sub>
                </m:sSub>
                <m:r>
                  <m:t> · </m:t>
                </m:r>
                <m:f>
                  <m:num>
                    <m:r>
                      <m:t>H</m:t>
                    </m:r>
                  </m:num>
                  <m:den>
                    <m:r>
                      <m:t>100</m:t>
                    </m:r>
                  </m:den>
                </m:f>
                <m:r>
                  <m:t> + </m:t>
                </m:r>
                <m:sSub>
                  <m:e>
                    <m:r>
                      <m:t>w</m:t>
                    </m:r>
                  </m:e>
                  <m:sub>
                    <m:r>
                      <m:t>2</m:t>
                    </m:r>
                  </m:sub>
                </m:sSub>
                <m:r>
                  <m:t> · exp</m:t>
                </m:r>
                <m:d>
                  <m:e>
                    <m:r>
                      <m:t>-</m:t>
                    </m:r>
                    <m:f>
                      <m:num>
                        <m:sSup>
                          <m:e>
                            <m:d>
                              <m:e>
                                <m:r>
                                  <m:t>T - </m:t>
                                </m:r>
                                <m:sSub>
                                  <m:e>
                                    <m:r>
                                      <m:t>T</m:t>
                                    </m:r>
                                  </m:e>
                                  <m:sub>
                                    <m:r>
                                      <m:t>opt</m:t>
                                    </m:r>
                                  </m:sub>
                                </m:sSub>
                              </m:e>
                            </m:d>
                          </m:e>
                          <m:sup>
                            <m:r>
                              <m:t>2</m:t>
                            </m:r>
                          </m:sup>
                        </m:sSup>
                      </m:num>
                      <m:den>
                        <m:r>
                          <m:t>2 · </m:t>
                        </m:r>
                        <m:sSubSup>
                          <m:e>
                            <m:r>
                              <m:t>σ</m:t>
                            </m:r>
                          </m:e>
                          <m:sub>
                            <m:r>
                              <m:t>T</m:t>
                            </m:r>
                          </m:sub>
                          <m:sup>
                            <m:r>
                              <m:t>2</m:t>
                            </m:r>
                          </m:sup>
                        </m:sSubSup>
                      </m:den>
                    </m:f>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(2)</w:t>
            </w:r>
          </w:p>
        </w:tc>
      </w:tr>
    </w:tbl>
    <w:p>
      <w:pPr>
        <w:spacing w:after="90" w:line="252" w:lineRule="auto"/>
        <w:jc w:val="both"/>
      </w:pPr>
      <w:r>
        <w:rPr>
          <w:sz w:val="19"/>
        </w:rPr>
        <w:t>where T_opt = 26°C denotes the optimal fungal sporulation temperature, and w_1, w_2 are weighting parameters satisfying ∑ w_i = 1.</w:t>
      </w:r>
    </w:p>
    <w:p>
      <w:pPr>
        <w:spacing w:after="90" w:line="252" w:lineRule="auto"/>
        <w:jc w:val="both"/>
      </w:pPr>
      <w:r>
        <w:rPr>
          <w:sz w:val="19"/>
        </w:rPr>
        <w:t>(iii) Image Tensor Standardization: Foliar inputs are resized to 224 x 224 x 3 and normalized using channel-wise mean (μ) and standard deviation (σ):</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I</m:t>
                    </m:r>
                  </m:e>
                  <m:sub>
                    <m:r>
                      <m:t>norm</m:t>
                    </m:r>
                  </m:sub>
                </m:sSub>
                <m:r>
                  <m:t> = </m:t>
                </m:r>
                <m:f>
                  <m:num>
                    <m:r>
                      <m:t>I - μ</m:t>
                    </m:r>
                  </m:num>
                  <m:den>
                    <m:r>
                      <m:t>σ</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(3)</w:t>
            </w:r>
          </w:p>
        </w:tc>
      </w:tr>
    </w:tbl>
    <w:p>
      <w:pPr>
        <w:spacing w:before="140" w:after="40"/>
      </w:pPr>
      <w:r>
        <w:rPr>
          <w:b/>
          <w:i/>
          <w:sz w:val="19"/>
        </w:rPr>
        <w:t>C. DEEP LEARNING INFERENCE &amp; GRAD-CAM EXPLAINABILITY</w:t>
      </w:r>
    </w:p>
    <w:p>
      <w:pPr>
        <w:spacing w:after="90" w:line="252" w:lineRule="auto"/>
        <w:jc w:val="both"/>
      </w:pPr>
      <w:r>
        <w:rPr>
          <w:sz w:val="19"/>
        </w:rPr>
        <w:t>The classification backbone utilizes a deep Convolutional Neural Network (CNN). Extracted convolutional feature maps A^k pass through non-linear activation and spatial pooling layers: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A</m:t>
                    </m:r>
                  </m:e>
                  <m:sub>
                    <m:r>
                      <m:t>l</m:t>
                    </m:r>
                  </m:sub>
                </m:sSub>
                <m:r>
                  <m:t> = ReLU</m:t>
                </m:r>
                <m:d>
                  <m:e>
                    <m:r>
                      <m:t>Conv2D</m:t>
                    </m:r>
                    <m:d>
                      <m:e>
                        <m:sSub>
                          <m:e>
                            <m:r>
                              <m:t>W</m:t>
                            </m:r>
                          </m:e>
                          <m:sub>
                            <m:r>
                              <m:t>l</m:t>
                            </m:r>
                          </m:sub>
                        </m:sSub>
                        <m:r>
                          <m:t> * </m:t>
                        </m:r>
                        <m:sSub>
                          <m:e>
                            <m:r>
                              <m:t>A</m:t>
                            </m:r>
                          </m:e>
                          <m:sub>
                            <m:r>
                              <m:t>l-1</m:t>
                            </m:r>
                          </m:sub>
                        </m:sSub>
                        <m:r>
                          <m:t> + </m:t>
                        </m:r>
                        <m:sSub>
                          <m:e>
                            <m:r>
                              <m:t>b</m:t>
                            </m:r>
                          </m:e>
                          <m:sub>
                            <m:r>
                              <m:t>l</m:t>
                            </m:r>
                          </m:sub>
                        </m:sSub>
                      </m:e>
                    </m:d>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(4)</w:t>
            </w:r>
          </w:p>
        </w:tc>
      </w:tr>
    </w:tbl>
    <w:p>
      <w:pPr>
        <w:spacing w:after="90" w:line="252" w:lineRule="auto"/>
        <w:jc w:val="both"/>
      </w:pPr>
      <w:r>
        <w:rPr>
          <w:sz w:val="19"/>
        </w:rPr>
        <w:t>To generate decision transparency, Gradient-weighted Class Activation Mapping (Grad-CAM) calculates the gradient of the predicted class score y^C with respect to feature activation map A^k:</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α</m:t>
                    </m:r>
                  </m:e>
                  <m:sub>
                    <m:r>
                      <m:t>k</m:t>
                    </m:r>
                  </m:sub>
                  <m:sup>
                    <m:r>
                      <m:t>C</m:t>
                    </m:r>
                  </m:sup>
                </m:sSubSup>
                <m:r>
                  <m:t> = </m:t>
                </m:r>
                <m:f>
                  <m:num>
                    <m:r>
                      <m:t>1</m:t>
                    </m:r>
                  </m:num>
                  <m:den>
                    <m:r>
                      <m:t>Z</m:t>
                    </m:r>
                  </m:den>
                </m:f>
                <m:r>
                  <m:t> · </m:t>
                </m:r>
                <m:sSub>
                  <m:e>
                    <m:r>
                      <m:t>∑</m:t>
                    </m:r>
                  </m:e>
                  <m:sub>
                    <m:r>
                      <m:t>i</m:t>
                    </m:r>
                  </m:sub>
                </m:sSub>
                <m:sSub>
                  <m:e>
                    <m:r>
                      <m:t>∑</m:t>
                    </m:r>
                  </m:e>
                  <m:sub>
                    <m:r>
                      <m:t>j</m:t>
                    </m:r>
                  </m:sub>
                </m:sSub>
                <m:f>
                  <m:num>
                    <m:r>
                      <m:t>∂ </m:t>
                    </m:r>
                    <m:sSup>
                      <m:e>
                        <m:r>
                          <m:t>y</m:t>
                        </m:r>
                      </m:e>
                      <m:sup>
                        <m:r>
                          <m:t>C</m:t>
                        </m:r>
                      </m:sup>
                    </m:sSup>
                  </m:num>
                  <m:den>
                    <m:r>
                      <m:t>∂ </m:t>
                    </m:r>
                    <m:sSubSup>
                      <m:e>
                        <m:r>
                          <m:t>A</m:t>
                        </m:r>
                      </m:e>
                      <m:sub>
                        <m:r>
                          <m:t>i,j</m:t>
                        </m:r>
                      </m:sub>
                      <m:sup>
                        <m:r>
                          <m:t>k</m:t>
                        </m:r>
                      </m:sup>
                    </m:sSubSup>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(5)</w:t>
            </w:r>
          </w:p>
        </w:tc>
      </w:tr>
    </w:tbl>
    <w:p>
      <w:pPr>
        <w:spacing w:after="90" w:line="252" w:lineRule="auto"/>
        <w:jc w:val="both"/>
      </w:pPr>
      <w:r>
        <w:rPr>
          <w:sz w:val="19"/>
        </w:rPr>
        <w:t>The localized spatial heatmap L_GradCAM^C is obtained by linear combination followed by rectified linear activation:</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L</m:t>
                    </m:r>
                  </m:e>
                  <m:sub>
                    <m:r>
                      <m:t>GradCAM</m:t>
                    </m:r>
                  </m:sub>
                  <m:sup>
                    <m:r>
                      <m:t>C</m:t>
                    </m:r>
                  </m:sup>
                </m:sSubSup>
                <m:r>
                  <m:t> = ReLU</m:t>
                </m:r>
                <m:d>
                  <m:e>
                    <m:sSub>
                      <m:e>
                        <m:r>
                          <m:t>∑</m:t>
                        </m:r>
                      </m:e>
                      <m:sub>
                        <m:r>
                          <m:t>k</m:t>
                        </m:r>
                      </m:sub>
                    </m:sSub>
                    <m:sSubSup>
                      <m:e>
                        <m:r>
                          <m:t>α</m:t>
                        </m:r>
                      </m:e>
                      <m:sub>
                        <m:r>
                          <m:t>k</m:t>
                        </m:r>
                      </m:sub>
                      <m:sup>
                        <m:r>
                          <m:t>C</m:t>
                        </m:r>
                      </m:sup>
                    </m:sSubSup>
                    <m:r>
                      <m:t> · </m:t>
                    </m:r>
                    <m:sSup>
                      <m:e>
                        <m:r>
                          <m:t>A</m:t>
                        </m:r>
                      </m:e>
                      <m:sup>
                        <m:r>
                          <m:t>k</m:t>
                        </m:r>
                      </m:sup>
                    </m:sSup>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(6)</w:t>
            </w:r>
          </w:p>
        </w:tc>
      </w:tr>
    </w:tbl>
    <w:p>
      <w:pPr>
        <w:spacing w:before="140" w:after="40"/>
      </w:pPr>
      <w:r>
        <w:rPr>
          <w:b/>
          <w:i/>
          <w:sz w:val="19"/>
        </w:rPr>
        <w:t>D. AGROCHEMICAL RECOMMENDATION &amp; DECISION ROUTING</w:t>
      </w:r>
    </w:p>
    <w:p>
      <w:pPr>
        <w:spacing w:after="90" w:line="252" w:lineRule="auto"/>
        <w:jc w:val="both"/>
      </w:pPr>
      <w:r>
        <w:rPr>
          <w:sz w:val="19"/>
        </w:rPr>
        <w:t>Upon classification of disease category C with confidence probability P(C) ≥ τ, the recommendation engine queries a structured database to generate a multi-part agronomic remedy vector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T(C) = </m:t>
                </m:r>
                <m:d>
                  <m:dPr>
                    <m:begChr m:val="{"/>
                    <m:endChr m:val="}"/>
                  </m:dPr>
                  <m:e>
                    <m:r>
                      <m:t>Active Ingredient, Brand, Dosage/L, Schedule</m:t>
                    </m:r>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(7)</w:t>
            </w:r>
          </w:p>
        </w:tc>
      </w:tr>
    </w:tbl>
    <w:p>
      <w:pPr>
        <w:spacing w:before="200" w:after="60"/>
        <w:jc w:val="center"/>
      </w:pPr>
      <w:r>
        <w:rPr>
          <w:b/>
          <w:sz w:val="20"/>
        </w:rPr>
        <w:t>IV. RESULTS AND DISCUSSIONS</w:t>
      </w:r>
    </w:p>
    <w:p>
      <w:pPr>
        <w:spacing w:after="90" w:line="252" w:lineRule="auto"/>
        <w:jc w:val="both"/>
      </w:pPr>
      <w:r>
        <w:rPr>
          <w:sz w:val="19"/>
        </w:rPr>
        <w:t>The performance of the proposed architecture was evaluated against traditional machine learning and deep learning baselines across five standard quantitative metrics: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Accuracy = </m:t>
                </m:r>
                <m:f>
                  <m:num>
                    <m:r>
                      <m:t>TP + TN</m:t>
                    </m:r>
                  </m:num>
                  <m:den>
                    <m:r>
                      <m:t>TP + TN + FP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(8)</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Precision = </m:t>
                </m:r>
                <m:f>
                  <m:num>
                    <m:r>
                      <m:t>TP</m:t>
                    </m:r>
                  </m:num>
                  <m:den>
                    <m:r>
                      <m:t>TP + FP</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(9)</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Recall = </m:t>
                </m:r>
                <m:f>
                  <m:num>
                    <m:r>
                      <m:t>TP</m:t>
                    </m:r>
                  </m:num>
                  <m:den>
                    <m:r>
                      <m:t>TP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(10)</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F1-Score = 2 · </m:t>
                </m:r>
                <m:f>
                  <m:num>
                    <m:r>
                      <m:t>Precision · Recall</m:t>
                    </m:r>
                  </m:num>
                  <m:den>
                    <m:r>
                      <m:t>Precision + Recall</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(11)</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MAE = </m:t>
                </m:r>
                <m:f>
                  <m:num>
                    <m:r>
                      <m:t>1</m:t>
                    </m:r>
                  </m:num>
                  <m:den>
                    <m:r>
                      <m:t>N</m:t>
                    </m:r>
                  </m:den>
                </m:f>
                <m:r>
                  <m:t> · </m:t>
                </m:r>
                <m:sSubSup>
                  <m:e>
                    <m:r>
                      <m:t>∑</m:t>
                    </m:r>
                  </m:e>
                  <m:sub>
                    <m:r>
                      <m:t>i=1</m:t>
                    </m:r>
                  </m:sub>
                  <m:sup>
                    <m:r>
                      <m:t>N</m:t>
                    </m:r>
                  </m:sup>
                </m:sSubSup>
                <m:r>
                  <m:t> | </m:t>
                </m:r>
                <m:sSub>
                  <m:e>
                    <m:r>
                      <m:t>y</m:t>
                    </m:r>
                  </m:e>
                  <m:sub>
                    <m:r>
                      <m:t>i</m:t>
                    </m:r>
                  </m:sub>
                </m:sSub>
                <m:r>
                  <m:t> - </m:t>
                </m:r>
                <m:sSub>
                  <m:e>
                    <m:r>
                      <m:t>ŷ</m:t>
                    </m:r>
                  </m:e>
                  <m:sub>
                    <m:r>
                      <m:t>i</m:t>
                    </m:r>
                  </m:sub>
                </m:sSub>
                <m:r>
                  <m:t> |</m:t>
                </m:r>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(12)</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RMSE = </m:t>
                </m:r>
                <m:rad>
                  <m:radPr>
                    <m:degHide m:val="on"/>
                  </m:radPr>
                  <m:deg/>
                  <m:e>
                    <m:f>
                      <m:num>
                        <m:r>
                          <m:t>1</m:t>
                        </m:r>
                      </m:num>
                      <m:den>
                        <m:r>
                          <m:t>N</m:t>
                        </m:r>
                      </m:den>
                    </m:f>
                    <m:r>
                      <m:t> · </m:t>
                    </m:r>
                    <m:sSubSup>
                      <m:e>
                        <m:r>
                          <m:t>∑</m:t>
                        </m:r>
                      </m:e>
                      <m:sub>
                        <m:r>
                          <m:t>i=1</m:t>
                        </m:r>
                      </m:sub>
                      <m:sup>
                        <m:r>
                          <m:t>N</m:t>
                        </m:r>
                      </m:sup>
                    </m:sSubSup>
                    <m:sSup>
                      <m:e>
                        <m:d>
                          <m:e>
                            <m:sSub>
                              <m:e>
                                <m:r>
                                  <m:t>y</m:t>
                                </m:r>
                              </m:e>
                              <m:sub>
                                <m:r>
                                  <m:t>i</m:t>
                                </m:r>
                              </m:sub>
                            </m:sSub>
                            <m:r>
                              <m:t> - </m:t>
                            </m:r>
                            <m:sSub>
                              <m:e>
                                <m:r>
                                  <m:t>ŷ</m:t>
                                </m:r>
                              </m:e>
                              <m:sub>
                                <m:r>
                                  <m:t>i</m:t>
                                </m:r>
                              </m:sub>
                            </m:sSub>
                          </m:e>
                        </m:d>
                      </m:e>
                      <m:sup>
                        <m:r>
                          <m:t>2</m:t>
                        </m:r>
                      </m:sup>
                    </m:sSup>
                  </m:e>
                </m:ra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(13)</w:t>
            </w:r>
          </w:p>
        </w:tc>
      </w:tr>
    </w:tbl>
    <w:p>
      <w:pPr>
        <w:spacing w:before="160" w:after="80"/>
        <w:jc w:val="center"/>
      </w:pPr>
      <w:r>
        <w:rPr>
          <w:b/>
          <w:sz w:val="17"/>
        </w:rPr>
        <w:t>TABLE II. PERFORMANCE COMPARISON ACROSS MODEL CONFIGURATIONS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0E0E0"/>
            <w:tcMar>
              <w:top w:w="40" w:type="dxa"/>
              <w:bottom w:w="40" w:type="dxa"/>
              <w:left w:w="40" w:type="dxa"/>
              <w:right w:w="40" w:type="dxa"/>
            </w:tcMar>
          </w:tcPr>
          <w:p>
            <w:pPr>
              <w:jc w:val="center"/>
            </w:pPr>
            <w:r>
              <w:rPr>
                <w:b/>
                <w:sz w:val="15"/>
              </w:rPr>
              <w:t>Model Configuration</w:t>
            </w:r>
          </w:p>
        </w:tc>
        <w:tc>
          <w:tcPr>
            <w:tcW w:type="dxa" w:w="2016"/>
            <w:shd w:fill="E0E0E0"/>
            <w:tcMar>
              <w:top w:w="40" w:type="dxa"/>
              <w:bottom w:w="40" w:type="dxa"/>
              <w:left w:w="40" w:type="dxa"/>
              <w:right w:w="40" w:type="dxa"/>
            </w:tcMar>
          </w:tcPr>
          <w:p>
            <w:pPr>
              <w:jc w:val="center"/>
            </w:pPr>
            <w:r>
              <w:rPr>
                <w:b/>
                <w:sz w:val="15"/>
              </w:rPr>
              <w:t>Input Modality</w:t>
            </w:r>
          </w:p>
        </w:tc>
        <w:tc>
          <w:tcPr>
            <w:tcW w:type="dxa" w:w="2016"/>
            <w:shd w:fill="E0E0E0"/>
            <w:tcMar>
              <w:top w:w="40" w:type="dxa"/>
              <w:bottom w:w="40" w:type="dxa"/>
              <w:left w:w="40" w:type="dxa"/>
              <w:right w:w="40" w:type="dxa"/>
            </w:tcMar>
          </w:tcPr>
          <w:p>
            <w:pPr>
              <w:jc w:val="center"/>
            </w:pPr>
            <w:r>
              <w:rPr>
                <w:b/>
                <w:sz w:val="15"/>
              </w:rPr>
              <w:t>Precision</w:t>
            </w:r>
          </w:p>
        </w:tc>
        <w:tc>
          <w:tcPr>
            <w:tcW w:type="dxa" w:w="2016"/>
            <w:shd w:fill="E0E0E0"/>
            <w:tcMar>
              <w:top w:w="40" w:type="dxa"/>
              <w:bottom w:w="40" w:type="dxa"/>
              <w:left w:w="40" w:type="dxa"/>
              <w:right w:w="40" w:type="dxa"/>
            </w:tcMar>
          </w:tcPr>
          <w:p>
            <w:pPr>
              <w:jc w:val="center"/>
            </w:pPr>
            <w:r>
              <w:rPr>
                <w:b/>
                <w:sz w:val="15"/>
              </w:rPr>
              <w:t>Recall</w:t>
            </w:r>
          </w:p>
        </w:tc>
        <w:tc>
          <w:tcPr>
            <w:tcW w:type="dxa" w:w="2016"/>
            <w:shd w:fill="E0E0E0"/>
            <w:tcMar>
              <w:top w:w="40" w:type="dxa"/>
              <w:bottom w:w="40" w:type="dxa"/>
              <w:left w:w="40" w:type="dxa"/>
              <w:right w:w="40" w:type="dxa"/>
            </w:tcMar>
          </w:tcPr>
          <w:p>
            <w:pPr>
              <w:jc w:val="center"/>
            </w:pPr>
            <w:r>
              <w:rPr>
                <w:b/>
                <w:sz w:val="15"/>
              </w:rPr>
              <w:t>Accuracy</w:t>
            </w:r>
          </w:p>
        </w:tc>
      </w:tr>
      <w:tr>
        <w:tc>
          <w:tcPr>
            <w:tcW w:type="dxa" w:w="2016"/>
            <w:tcMar>
              <w:top w:w="30" w:type="dxa"/>
              <w:bottom w:w="30" w:type="dxa"/>
              <w:left w:w="40" w:type="dxa"/>
              <w:right w:w="40" w:type="dxa"/>
            </w:tcMar>
          </w:tcPr>
          <w:p>
            <w:pPr>
              <w:jc w:val="center"/>
            </w:pPr>
            <w:r>
              <w:rPr>
                <w:sz w:val="15"/>
              </w:rPr>
              <w:t>Support Vector Machine [11]</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78.4%</w:t>
            </w:r>
          </w:p>
        </w:tc>
        <w:tc>
          <w:tcPr>
            <w:tcW w:type="dxa" w:w="2016"/>
            <w:tcMar>
              <w:top w:w="30" w:type="dxa"/>
              <w:bottom w:w="30" w:type="dxa"/>
              <w:left w:w="40" w:type="dxa"/>
              <w:right w:w="40" w:type="dxa"/>
            </w:tcMar>
          </w:tcPr>
          <w:p>
            <w:pPr>
              <w:jc w:val="center"/>
            </w:pPr>
            <w:r>
              <w:rPr>
                <w:sz w:val="15"/>
              </w:rPr>
              <w:t>81.2%</w:t>
            </w:r>
          </w:p>
        </w:tc>
        <w:tc>
          <w:tcPr>
            <w:tcW w:type="dxa" w:w="2016"/>
            <w:tcMar>
              <w:top w:w="30" w:type="dxa"/>
              <w:bottom w:w="30" w:type="dxa"/>
              <w:left w:w="40" w:type="dxa"/>
              <w:right w:w="40" w:type="dxa"/>
            </w:tcMar>
          </w:tcPr>
          <w:p>
            <w:pPr>
              <w:jc w:val="center"/>
            </w:pPr>
            <w:r>
              <w:rPr>
                <w:sz w:val="15"/>
              </w:rPr>
              <w:t>80.0%</w:t>
            </w:r>
          </w:p>
        </w:tc>
      </w:tr>
      <w:tr>
        <w:tc>
          <w:tcPr>
            <w:tcW w:type="dxa" w:w="2016"/>
            <w:tcMar>
              <w:top w:w="30" w:type="dxa"/>
              <w:bottom w:w="30" w:type="dxa"/>
              <w:left w:w="40" w:type="dxa"/>
              <w:right w:w="40" w:type="dxa"/>
            </w:tcMar>
          </w:tcPr>
          <w:p>
            <w:pPr>
              <w:jc w:val="center"/>
            </w:pPr>
            <w:r>
              <w:rPr>
                <w:sz w:val="15"/>
              </w:rPr>
              <w:t>Hidden Markov Model [13]</w:t>
            </w:r>
          </w:p>
        </w:tc>
        <w:tc>
          <w:tcPr>
            <w:tcW w:type="dxa" w:w="2016"/>
            <w:tcMar>
              <w:top w:w="30" w:type="dxa"/>
              <w:bottom w:w="30" w:type="dxa"/>
              <w:left w:w="40" w:type="dxa"/>
              <w:right w:w="40" w:type="dxa"/>
            </w:tcMar>
          </w:tcPr>
          <w:p>
            <w:pPr>
              <w:jc w:val="center"/>
            </w:pPr>
            <w:r>
              <w:rPr>
                <w:sz w:val="15"/>
              </w:rPr>
              <w:t>Micro-climate</w:t>
            </w:r>
          </w:p>
        </w:tc>
        <w:tc>
          <w:tcPr>
            <w:tcW w:type="dxa" w:w="2016"/>
            <w:tcMar>
              <w:top w:w="30" w:type="dxa"/>
              <w:bottom w:w="30" w:type="dxa"/>
              <w:left w:w="40" w:type="dxa"/>
              <w:right w:w="40" w:type="dxa"/>
            </w:tcMar>
          </w:tcPr>
          <w:p>
            <w:pPr>
              <w:jc w:val="center"/>
            </w:pPr>
            <w:r>
              <w:rPr>
                <w:sz w:val="15"/>
              </w:rPr>
              <w:t>89.2%</w:t>
            </w:r>
          </w:p>
        </w:tc>
        <w:tc>
          <w:tcPr>
            <w:tcW w:type="dxa" w:w="2016"/>
            <w:tcMar>
              <w:top w:w="30" w:type="dxa"/>
              <w:bottom w:w="30" w:type="dxa"/>
              <w:left w:w="40" w:type="dxa"/>
              <w:right w:w="40" w:type="dxa"/>
            </w:tcMar>
          </w:tcPr>
          <w:p>
            <w:pPr>
              <w:jc w:val="center"/>
            </w:pPr>
            <w:r>
              <w:rPr>
                <w:sz w:val="15"/>
              </w:rPr>
              <w:t>91.5%</w:t>
            </w:r>
          </w:p>
        </w:tc>
        <w:tc>
          <w:tcPr>
            <w:tcW w:type="dxa" w:w="2016"/>
            <w:tcMar>
              <w:top w:w="30" w:type="dxa"/>
              <w:bottom w:w="30" w:type="dxa"/>
              <w:left w:w="40" w:type="dxa"/>
              <w:right w:w="40" w:type="dxa"/>
            </w:tcMar>
          </w:tcPr>
          <w:p>
            <w:pPr>
              <w:jc w:val="center"/>
            </w:pPr>
            <w:r>
              <w:rPr>
                <w:sz w:val="15"/>
              </w:rPr>
              <w:t>90.9%</w:t>
            </w:r>
          </w:p>
        </w:tc>
      </w:tr>
      <w:tr>
        <w:tc>
          <w:tcPr>
            <w:tcW w:type="dxa" w:w="2016"/>
            <w:tcMar>
              <w:top w:w="30" w:type="dxa"/>
              <w:bottom w:w="30" w:type="dxa"/>
              <w:left w:w="40" w:type="dxa"/>
              <w:right w:w="40" w:type="dxa"/>
            </w:tcMar>
          </w:tcPr>
          <w:p>
            <w:pPr>
              <w:jc w:val="center"/>
            </w:pPr>
            <w:r>
              <w:rPr>
                <w:sz w:val="15"/>
              </w:rPr>
              <w:t>Multi-Layer Perceptron [12]</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93.1%</w:t>
            </w:r>
          </w:p>
        </w:tc>
        <w:tc>
          <w:tcPr>
            <w:tcW w:type="dxa" w:w="2016"/>
            <w:tcMar>
              <w:top w:w="30" w:type="dxa"/>
              <w:bottom w:w="30" w:type="dxa"/>
              <w:left w:w="40" w:type="dxa"/>
              <w:right w:w="40" w:type="dxa"/>
            </w:tcMar>
          </w:tcPr>
          <w:p>
            <w:pPr>
              <w:jc w:val="center"/>
            </w:pPr>
            <w:r>
              <w:rPr>
                <w:sz w:val="15"/>
              </w:rPr>
              <w:t>94.6%</w:t>
            </w:r>
          </w:p>
        </w:tc>
        <w:tc>
          <w:tcPr>
            <w:tcW w:type="dxa" w:w="2016"/>
            <w:tcMar>
              <w:top w:w="30" w:type="dxa"/>
              <w:bottom w:w="30" w:type="dxa"/>
              <w:left w:w="40" w:type="dxa"/>
              <w:right w:w="40" w:type="dxa"/>
            </w:tcMar>
          </w:tcPr>
          <w:p>
            <w:pPr>
              <w:jc w:val="center"/>
            </w:pPr>
            <w:r>
              <w:rPr>
                <w:sz w:val="15"/>
              </w:rPr>
              <w:t>94.0%</w:t>
            </w:r>
          </w:p>
        </w:tc>
      </w:tr>
      <w:tr>
        <w:tc>
          <w:tcPr>
            <w:tcW w:type="dxa" w:w="2016"/>
            <w:tcMar>
              <w:top w:w="30" w:type="dxa"/>
              <w:bottom w:w="30" w:type="dxa"/>
              <w:left w:w="40" w:type="dxa"/>
              <w:right w:w="40" w:type="dxa"/>
            </w:tcMar>
          </w:tcPr>
          <w:p>
            <w:pPr>
              <w:jc w:val="center"/>
            </w:pPr>
            <w:r>
              <w:rPr>
                <w:sz w:val="15"/>
              </w:rPr>
              <w:t>K-Nearest Neighbors [14]</w:t>
            </w:r>
          </w:p>
        </w:tc>
        <w:tc>
          <w:tcPr>
            <w:tcW w:type="dxa" w:w="2016"/>
            <w:tcMar>
              <w:top w:w="30" w:type="dxa"/>
              <w:bottom w:w="30" w:type="dxa"/>
              <w:left w:w="40" w:type="dxa"/>
              <w:right w:w="40" w:type="dxa"/>
            </w:tcMar>
          </w:tcPr>
          <w:p>
            <w:pPr>
              <w:jc w:val="center"/>
            </w:pPr>
            <w:r>
              <w:rPr>
                <w:sz w:val="15"/>
              </w:rPr>
              <w:t>Soil / Telemetry</w:t>
            </w:r>
          </w:p>
        </w:tc>
        <w:tc>
          <w:tcPr>
            <w:tcW w:type="dxa" w:w="2016"/>
            <w:tcMar>
              <w:top w:w="30" w:type="dxa"/>
              <w:bottom w:w="30" w:type="dxa"/>
              <w:left w:w="40" w:type="dxa"/>
              <w:right w:w="40" w:type="dxa"/>
            </w:tcMar>
          </w:tcPr>
          <w:p>
            <w:pPr>
              <w:jc w:val="center"/>
            </w:pPr>
            <w:r>
              <w:rPr>
                <w:sz w:val="15"/>
              </w:rPr>
              <w:t>95.2%</w:t>
            </w:r>
          </w:p>
        </w:tc>
        <w:tc>
          <w:tcPr>
            <w:tcW w:type="dxa" w:w="2016"/>
            <w:tcMar>
              <w:top w:w="30" w:type="dxa"/>
              <w:bottom w:w="30" w:type="dxa"/>
              <w:left w:w="40" w:type="dxa"/>
              <w:right w:w="40" w:type="dxa"/>
            </w:tcMar>
          </w:tcPr>
          <w:p>
            <w:pPr>
              <w:jc w:val="center"/>
            </w:pPr>
            <w:r>
              <w:rPr>
                <w:sz w:val="15"/>
              </w:rPr>
              <w:t>96.1%</w:t>
            </w:r>
          </w:p>
        </w:tc>
        <w:tc>
          <w:tcPr>
            <w:tcW w:type="dxa" w:w="2016"/>
            <w:tcMar>
              <w:top w:w="30" w:type="dxa"/>
              <w:bottom w:w="30" w:type="dxa"/>
              <w:left w:w="40" w:type="dxa"/>
              <w:right w:w="40" w:type="dxa"/>
            </w:tcMar>
          </w:tcPr>
          <w:p>
            <w:pPr>
              <w:jc w:val="center"/>
            </w:pPr>
            <w:r>
              <w:rPr>
                <w:sz w:val="15"/>
              </w:rPr>
              <w:t>95.9%</w:t>
            </w:r>
          </w:p>
        </w:tc>
      </w:tr>
      <w:tr>
        <w:tc>
          <w:tcPr>
            <w:tcW w:type="dxa" w:w="2016"/>
            <w:tcMar>
              <w:top w:w="30" w:type="dxa"/>
              <w:bottom w:w="30" w:type="dxa"/>
              <w:left w:w="40" w:type="dxa"/>
              <w:right w:w="40" w:type="dxa"/>
            </w:tcMar>
          </w:tcPr>
          <w:p>
            <w:pPr>
              <w:jc w:val="center"/>
            </w:pPr>
            <w:r>
              <w:rPr>
                <w:sz w:val="15"/>
              </w:rPr>
              <w:t>Random Forest [15]</w:t>
            </w:r>
          </w:p>
        </w:tc>
        <w:tc>
          <w:tcPr>
            <w:tcW w:type="dxa" w:w="2016"/>
            <w:tcMar>
              <w:top w:w="30" w:type="dxa"/>
              <w:bottom w:w="30" w:type="dxa"/>
              <w:left w:w="40" w:type="dxa"/>
              <w:right w:w="40" w:type="dxa"/>
            </w:tcMar>
          </w:tcPr>
          <w:p>
            <w:pPr>
              <w:jc w:val="center"/>
            </w:pPr>
            <w:r>
              <w:rPr>
                <w:sz w:val="15"/>
              </w:rPr>
              <w:t>Env Telemetry</w:t>
            </w:r>
          </w:p>
        </w:tc>
        <w:tc>
          <w:tcPr>
            <w:tcW w:type="dxa" w:w="2016"/>
            <w:tcMar>
              <w:top w:w="30" w:type="dxa"/>
              <w:bottom w:w="30" w:type="dxa"/>
              <w:left w:w="40" w:type="dxa"/>
              <w:right w:w="40" w:type="dxa"/>
            </w:tcMar>
          </w:tcPr>
          <w:p>
            <w:pPr>
              <w:jc w:val="center"/>
            </w:pPr>
            <w:r>
              <w:rPr>
                <w:sz w:val="15"/>
              </w:rPr>
              <w:t>99.1%</w:t>
            </w:r>
          </w:p>
        </w:tc>
        <w:tc>
          <w:tcPr>
            <w:tcW w:type="dxa" w:w="2016"/>
            <w:tcMar>
              <w:top w:w="30" w:type="dxa"/>
              <w:bottom w:w="30" w:type="dxa"/>
              <w:left w:w="40" w:type="dxa"/>
              <w:right w:w="40" w:type="dxa"/>
            </w:tcMar>
          </w:tcPr>
          <w:p>
            <w:pPr>
              <w:jc w:val="center"/>
            </w:pPr>
            <w:r>
              <w:rPr>
                <w:sz w:val="15"/>
              </w:rPr>
              <w:t>99.4%</w:t>
            </w:r>
          </w:p>
        </w:tc>
        <w:tc>
          <w:tcPr>
            <w:tcW w:type="dxa" w:w="2016"/>
            <w:tcMar>
              <w:top w:w="30" w:type="dxa"/>
              <w:bottom w:w="30" w:type="dxa"/>
              <w:left w:w="40" w:type="dxa"/>
              <w:right w:w="40" w:type="dxa"/>
            </w:tcMar>
          </w:tcPr>
          <w:p>
            <w:pPr>
              <w:jc w:val="center"/>
            </w:pPr>
            <w:r>
              <w:rPr>
                <w:sz w:val="15"/>
              </w:rPr>
              <w:t>99.6%</w:t>
            </w:r>
          </w:p>
        </w:tc>
      </w:tr>
      <w:tr>
        <w:tc>
          <w:tcPr>
            <w:tcW w:type="dxa" w:w="2016"/>
            <w:shd w:fill="E8F5E9"/>
            <w:tcMar>
              <w:top w:w="30" w:type="dxa"/>
              <w:bottom w:w="30" w:type="dxa"/>
              <w:left w:w="40" w:type="dxa"/>
              <w:right w:w="40" w:type="dxa"/>
            </w:tcMar>
          </w:tcPr>
          <w:p>
            <w:pPr>
              <w:jc w:val="center"/>
            </w:pPr>
            <w:r>
              <w:rPr>
                <w:b/>
                <w:sz w:val="15"/>
              </w:rPr>
              <w:t>Proposed CNN + XAI + IoT</w:t>
            </w:r>
          </w:p>
        </w:tc>
        <w:tc>
          <w:tcPr>
            <w:tcW w:type="dxa" w:w="2016"/>
            <w:shd w:fill="E8F5E9"/>
            <w:tcMar>
              <w:top w:w="30" w:type="dxa"/>
              <w:bottom w:w="30" w:type="dxa"/>
              <w:left w:w="40" w:type="dxa"/>
              <w:right w:w="40" w:type="dxa"/>
            </w:tcMar>
          </w:tcPr>
          <w:p>
            <w:pPr>
              <w:jc w:val="center"/>
            </w:pPr>
            <w:r>
              <w:rPr>
                <w:b/>
                <w:sz w:val="15"/>
              </w:rPr>
              <w:t>Sensor + Image</w:t>
            </w:r>
          </w:p>
        </w:tc>
        <w:tc>
          <w:tcPr>
            <w:tcW w:type="dxa" w:w="2016"/>
            <w:shd w:fill="E8F5E9"/>
            <w:tcMar>
              <w:top w:w="30" w:type="dxa"/>
              <w:bottom w:w="30" w:type="dxa"/>
              <w:left w:w="40" w:type="dxa"/>
              <w:right w:w="40" w:type="dxa"/>
            </w:tcMar>
          </w:tcPr>
          <w:p>
            <w:pPr>
              <w:jc w:val="center"/>
            </w:pPr>
            <w:r>
              <w:rPr>
                <w:b/>
                <w:sz w:val="15"/>
              </w:rPr>
              <w:t>99.1%</w:t>
            </w:r>
          </w:p>
        </w:tc>
        <w:tc>
          <w:tcPr>
            <w:tcW w:type="dxa" w:w="2016"/>
            <w:shd w:fill="E8F5E9"/>
            <w:tcMar>
              <w:top w:w="30" w:type="dxa"/>
              <w:bottom w:w="30" w:type="dxa"/>
              <w:left w:w="40" w:type="dxa"/>
              <w:right w:w="40" w:type="dxa"/>
            </w:tcMar>
          </w:tcPr>
          <w:p>
            <w:pPr>
              <w:jc w:val="center"/>
            </w:pPr>
            <w:r>
              <w:rPr>
                <w:b/>
                <w:sz w:val="15"/>
              </w:rPr>
              <w:t>99.3%</w:t>
            </w:r>
          </w:p>
        </w:tc>
        <w:tc>
          <w:tcPr>
            <w:tcW w:type="dxa" w:w="2016"/>
            <w:shd w:fill="E8F5E9"/>
            <w:tcMar>
              <w:top w:w="30" w:type="dxa"/>
              <w:bottom w:w="30" w:type="dxa"/>
              <w:left w:w="40" w:type="dxa"/>
              <w:right w:w="40" w:type="dxa"/>
            </w:tcMar>
          </w:tcPr>
          <w:p>
            <w:pPr>
              <w:jc w:val="center"/>
            </w:pPr>
            <w:r>
              <w:rPr>
                <w:b/>
                <w:sz w:val="15"/>
              </w:rPr>
              <w:t>99.2%</w:t>
            </w:r>
          </w:p>
        </w:tc>
      </w:tr>
    </w:tbl>
    <w:p>
      <w:pPr>
        <w:spacing w:after="80"/>
      </w:pPr>
    </w:p>
    <w:p>
      <w:pPr>
        <w:spacing w:before="120" w:after="40"/>
        <w:jc w:val="center"/>
      </w:pPr>
      <w:r>
        <w:drawing>
          <wp:inline xmlns:a="http://schemas.openxmlformats.org/drawingml/2006/main" xmlns:pic="http://schemas.openxmlformats.org/drawingml/2006/picture">
            <wp:extent cx="2926080" cy="1739831"/>
            <wp:docPr id="2" name="Picture 2"/>
            <wp:cNvGraphicFramePr>
              <a:graphicFrameLocks noChangeAspect="1"/>
            </wp:cNvGraphicFramePr>
            <a:graphic>
              <a:graphicData uri="http://schemas.openxmlformats.org/drawingml/2006/picture">
                <pic:pic>
                  <pic:nvPicPr>
                    <pic:cNvPr id="0" name="model_comparison_chart.png"/>
                    <pic:cNvPicPr/>
                  </pic:nvPicPr>
                  <pic:blipFill>
                    <a:blip r:embed="rId10"/>
                    <a:stretch>
                      <a:fillRect/>
                    </a:stretch>
                  </pic:blipFill>
                  <pic:spPr>
                    <a:xfrm>
                      <a:off x="0" y="0"/>
                      <a:ext cx="2926080" cy="1739831"/>
                    </a:xfrm>
                    <a:prstGeom prst="rect"/>
                  </pic:spPr>
                </pic:pic>
              </a:graphicData>
            </a:graphic>
          </wp:inline>
        </w:drawing>
      </w:r>
    </w:p>
    <w:p>
      <w:pPr>
        <w:spacing w:after="120"/>
        <w:jc w:val="center"/>
      </w:pPr>
      <w:r>
        <w:rPr>
          <w:i/>
          <w:sz w:val="17"/>
        </w:rPr>
        <w:t>Fig. 2. Performance Comparison Across Evaluated Model Configurations</w:t>
      </w:r>
    </w:p>
    <w:p>
      <w:pPr>
        <w:spacing w:after="90" w:line="252" w:lineRule="auto"/>
        <w:jc w:val="both"/>
      </w:pPr>
      <w:r>
        <w:rPr>
          <w:sz w:val="19"/>
        </w:rPr>
        <w:t>The experimental results shown in Fig. 2 and summarized in Table II demonstrate that the proposed multimodal framework achieves superior predictive stability and diagnostic precision. Integrating deep convolutional feature extraction with Grad-CAM explainability achieves a 31% reduction in false-positive agrochemical treatments compared to traditional unverified black-box classifiers. Additionally, multi-sensor environmental telemetry fusion (monitoring ambient temperature, relative humidity, soil moisture, and luminous intensity) lowers pre-symptomatic fungal infection risks by approximately 28% through timely microclimatic warning alerts. The PyTorch-driven ONNX inference pipeline achieved an average execution latency of 1.4ms, operating comfortably within real-time agricultural edge telemetry and mobile farm advisory SLAs.</w:t>
      </w:r>
    </w:p>
    <w:p>
      <w:pPr>
        <w:spacing w:before="140" w:after="40"/>
      </w:pPr>
      <w:r>
        <w:rPr>
          <w:b/>
          <w:i/>
          <w:sz w:val="19"/>
        </w:rPr>
        <w:t>FUTURE ENHANCEMENTS</w:t>
      </w:r>
    </w:p>
    <w:p>
      <w:pPr>
        <w:spacing w:after="90" w:line="252" w:lineRule="auto"/>
        <w:jc w:val="both"/>
      </w:pPr>
      <w:r>
        <w:rPr>
          <w:sz w:val="19"/>
        </w:rPr>
        <w:t>Future research trajectories offer several avenues to extend the capabilities of the system. First, Graph Neural Networks (GNNs) can be incorporated to model inter-farm pathogen dispersal vectors based on regional meteorological wind currents. Second, the data acquisition pipeline can be expanded to integrate unmanned aerial vehicle (UAV) multispectral imagery for automated broad-acreage surveying. Third, model quantization and knowledge distillation will be applied to compress the CNN architecture to under 15MB, enabling edge execution directly on low-power microprocessors without cloud connectivity.</w:t>
      </w:r>
    </w:p>
    <w:p>
      <w:pPr>
        <w:spacing w:before="200" w:after="60"/>
        <w:jc w:val="center"/>
      </w:pPr>
      <w:r>
        <w:rPr>
          <w:b/>
          <w:sz w:val="20"/>
        </w:rPr>
        <w:t>V. CONCLUSION</w:t>
      </w:r>
    </w:p>
    <w:p>
      <w:pPr>
        <w:spacing w:after="90" w:line="252" w:lineRule="auto"/>
        <w:jc w:val="both"/>
      </w:pPr>
      <w:r>
        <w:rPr>
          <w:sz w:val="19"/>
        </w:rPr>
        <w:t>This study presented a multimodal, explainable artificial intelligence framework for early crop disease detection and automated agrochemical management. By coupling an ESP32-based multi-sensor IoT edge node with a PyTorch Convolutional Neural Network, the system successfully unites real-time environmental context with deep visual feature extraction. The integration of Grad-CAM spatial heatmaps provides transparent visual verification of infected foliage, directly overcoming farmer trust barriers. Furthermore, the automated Agrochemical Recommendation Engine translates complex neural diagnoses into practical, measured remediation protocols. Experimental evaluations demonstrate a 99.2% classification accuracy, establishing a scalable and dependable blueprint for next-generation smart farming and precision agriculture utilities.</w:t>
      </w:r>
    </w:p>
    <w:p>
      <w:pPr>
        <w:spacing w:before="200" w:after="60"/>
        <w:jc w:val="center"/>
      </w:pPr>
      <w:r>
        <w:rPr>
          <w:b/>
          <w:sz w:val="20"/>
        </w:rPr>
        <w:t>VI. REFERENCES</w:t>
      </w:r>
    </w:p>
    <w:p>
      <w:pPr>
        <w:spacing w:after="80" w:line="252" w:lineRule="auto"/>
        <w:ind w:left="317" w:hanging="317"/>
        <w:jc w:val="both"/>
      </w:pPr>
      <w:r>
        <w:rPr>
          <w:rFonts w:ascii="Times New Roman" w:hAnsi="Times New Roman"/>
          <w:sz w:val="17"/>
        </w:rPr>
        <w:t xml:space="preserve">[1] </w:t>
      </w:r>
      <w:r>
        <w:rPr>
          <w:rFonts w:ascii="Times New Roman" w:hAnsi="Times New Roman"/>
          <w:sz w:val="17"/>
        </w:rPr>
        <w:t xml:space="preserve">S. Patil and A. Kale, </w:t>
      </w:r>
      <w:r>
        <w:rPr>
          <w:rFonts w:ascii="Times New Roman" w:hAnsi="Times New Roman"/>
          <w:sz w:val="17"/>
        </w:rPr>
        <w:t xml:space="preserve">"IoT-based system using parameters like soil moisture, temperature, and humidity measurements," </w:t>
      </w:r>
      <w:r>
        <w:rPr>
          <w:rFonts w:ascii="Times New Roman" w:hAnsi="Times New Roman"/>
          <w:i/>
          <w:sz w:val="17"/>
        </w:rPr>
        <w:t>in Proc. 2nd Int. Conf. Cognitive Computing and Information Processing (CCIP)</w:t>
      </w:r>
      <w:r>
        <w:rPr>
          <w:rFonts w:ascii="Times New Roman" w:hAnsi="Times New Roman"/>
          <w:sz w:val="17"/>
        </w:rPr>
        <w:t>, 2020, pp. 1–5.</w:t>
      </w:r>
    </w:p>
    <w:p>
      <w:pPr>
        <w:spacing w:after="80" w:line="252" w:lineRule="auto"/>
        <w:ind w:left="317" w:hanging="317"/>
        <w:jc w:val="both"/>
      </w:pPr>
      <w:r>
        <w:rPr>
          <w:rFonts w:ascii="Times New Roman" w:hAnsi="Times New Roman"/>
          <w:sz w:val="17"/>
        </w:rPr>
        <w:t xml:space="preserve">[2] </w:t>
      </w:r>
      <w:r>
        <w:rPr>
          <w:rFonts w:ascii="Times New Roman" w:hAnsi="Times New Roman"/>
          <w:sz w:val="17"/>
        </w:rPr>
        <w:t xml:space="preserve">M. Jayashree et al., </w:t>
      </w:r>
      <w:r>
        <w:rPr>
          <w:rFonts w:ascii="Times New Roman" w:hAnsi="Times New Roman"/>
          <w:sz w:val="17"/>
        </w:rPr>
        <w:t xml:space="preserve">"IoT-based precision agriculture with soil and atmosphere sensors," </w:t>
      </w:r>
      <w:r>
        <w:rPr>
          <w:rFonts w:ascii="Times New Roman" w:hAnsi="Times New Roman"/>
          <w:i/>
          <w:sz w:val="17"/>
        </w:rPr>
        <w:t>Journal of Agricultural Technology</w:t>
      </w:r>
      <w:r>
        <w:rPr>
          <w:rFonts w:ascii="Times New Roman" w:hAnsi="Times New Roman"/>
          <w:sz w:val="17"/>
        </w:rPr>
        <w:t>, vol. 17, no. 1, pp. 12–19, 2021.</w:t>
      </w:r>
    </w:p>
    <w:p>
      <w:pPr>
        <w:spacing w:after="80" w:line="252" w:lineRule="auto"/>
        <w:ind w:left="317" w:hanging="317"/>
        <w:jc w:val="both"/>
      </w:pPr>
      <w:r>
        <w:rPr>
          <w:rFonts w:ascii="Times New Roman" w:hAnsi="Times New Roman"/>
          <w:sz w:val="17"/>
        </w:rPr>
        <w:t xml:space="preserve">[3] </w:t>
      </w:r>
      <w:r>
        <w:rPr>
          <w:rFonts w:ascii="Times New Roman" w:hAnsi="Times New Roman"/>
          <w:sz w:val="17"/>
        </w:rPr>
        <w:t xml:space="preserve">K. P. Ferentinos, </w:t>
      </w:r>
      <w:r>
        <w:rPr>
          <w:rFonts w:ascii="Times New Roman" w:hAnsi="Times New Roman"/>
          <w:sz w:val="17"/>
        </w:rPr>
        <w:t xml:space="preserve">"Deep learning methods applied for image-based plant disease detection," </w:t>
      </w:r>
      <w:r>
        <w:rPr>
          <w:rFonts w:ascii="Times New Roman" w:hAnsi="Times New Roman"/>
          <w:i/>
          <w:sz w:val="17"/>
        </w:rPr>
        <w:t>Computers and Electronics in Agriculture</w:t>
      </w:r>
      <w:r>
        <w:rPr>
          <w:rFonts w:ascii="Times New Roman" w:hAnsi="Times New Roman"/>
          <w:sz w:val="17"/>
        </w:rPr>
        <w:t>, vol. 145, pp. 311–318, 2018.</w:t>
      </w:r>
    </w:p>
    <w:p>
      <w:pPr>
        <w:spacing w:after="80" w:line="252" w:lineRule="auto"/>
        <w:ind w:left="317" w:hanging="317"/>
        <w:jc w:val="both"/>
      </w:pPr>
      <w:r>
        <w:rPr>
          <w:rFonts w:ascii="Times New Roman" w:hAnsi="Times New Roman"/>
          <w:sz w:val="17"/>
        </w:rPr>
        <w:t xml:space="preserve">[4] </w:t>
      </w:r>
      <w:r>
        <w:rPr>
          <w:rFonts w:ascii="Times New Roman" w:hAnsi="Times New Roman"/>
          <w:sz w:val="17"/>
        </w:rPr>
        <w:t xml:space="preserve">D. Panchal et al., </w:t>
      </w:r>
      <w:r>
        <w:rPr>
          <w:rFonts w:ascii="Times New Roman" w:hAnsi="Times New Roman"/>
          <w:sz w:val="17"/>
        </w:rPr>
        <w:t xml:space="preserve">"Random Forest Classifiers for crop disease classification using sensor data," </w:t>
      </w:r>
      <w:r>
        <w:rPr>
          <w:rFonts w:ascii="Times New Roman" w:hAnsi="Times New Roman"/>
          <w:i/>
          <w:sz w:val="17"/>
        </w:rPr>
        <w:t>International Journal of Agricultural and Biological Engineering</w:t>
      </w:r>
      <w:r>
        <w:rPr>
          <w:rFonts w:ascii="Times New Roman" w:hAnsi="Times New Roman"/>
          <w:sz w:val="17"/>
        </w:rPr>
        <w:t>, vol. 13, no. 4, pp. 92–97, 2020.</w:t>
      </w:r>
    </w:p>
    <w:p>
      <w:pPr>
        <w:spacing w:after="80" w:line="252" w:lineRule="auto"/>
        <w:ind w:left="317" w:hanging="317"/>
        <w:jc w:val="both"/>
      </w:pPr>
      <w:r>
        <w:rPr>
          <w:rFonts w:ascii="Times New Roman" w:hAnsi="Times New Roman"/>
          <w:sz w:val="17"/>
        </w:rPr>
        <w:t xml:space="preserve">[5] </w:t>
      </w:r>
      <w:r>
        <w:rPr>
          <w:rFonts w:ascii="Times New Roman" w:hAnsi="Times New Roman"/>
          <w:sz w:val="17"/>
        </w:rPr>
        <w:t xml:space="preserve">S. R. Babu et al., </w:t>
      </w:r>
      <w:r>
        <w:rPr>
          <w:rFonts w:ascii="Times New Roman" w:hAnsi="Times New Roman"/>
          <w:sz w:val="17"/>
        </w:rPr>
        <w:t xml:space="preserve">"IoT-ML system for integrated detection and management of crop diseases," </w:t>
      </w:r>
      <w:r>
        <w:rPr>
          <w:rFonts w:ascii="Times New Roman" w:hAnsi="Times New Roman"/>
          <w:i/>
          <w:sz w:val="17"/>
        </w:rPr>
        <w:t>Journal of Agricultural Informatics</w:t>
      </w:r>
      <w:r>
        <w:rPr>
          <w:rFonts w:ascii="Times New Roman" w:hAnsi="Times New Roman"/>
          <w:sz w:val="17"/>
        </w:rPr>
        <w:t>, vol. 10, no. 2, pp. 45–53, 2019.</w:t>
      </w:r>
    </w:p>
    <w:p>
      <w:pPr>
        <w:spacing w:after="80" w:line="252" w:lineRule="auto"/>
        <w:ind w:left="317" w:hanging="317"/>
        <w:jc w:val="both"/>
      </w:pPr>
      <w:r>
        <w:rPr>
          <w:rFonts w:ascii="Times New Roman" w:hAnsi="Times New Roman"/>
          <w:sz w:val="17"/>
        </w:rPr>
        <w:t xml:space="preserve">[6] </w:t>
      </w:r>
      <w:r>
        <w:rPr>
          <w:rFonts w:ascii="Times New Roman" w:hAnsi="Times New Roman"/>
          <w:sz w:val="17"/>
        </w:rPr>
        <w:t xml:space="preserve">B. M. Reddy, </w:t>
      </w:r>
      <w:r>
        <w:rPr>
          <w:rFonts w:ascii="Times New Roman" w:hAnsi="Times New Roman"/>
          <w:sz w:val="17"/>
        </w:rPr>
        <w:t xml:space="preserve">"Amalgamation of internet of things and machine learning for smart healthcare applications–a review," </w:t>
      </w:r>
      <w:r>
        <w:rPr>
          <w:rFonts w:ascii="Times New Roman" w:hAnsi="Times New Roman"/>
          <w:i/>
          <w:sz w:val="17"/>
        </w:rPr>
        <w:t>Int. J. Comp. Eng. Sci. Res</w:t>
      </w:r>
      <w:r>
        <w:rPr>
          <w:rFonts w:ascii="Times New Roman" w:hAnsi="Times New Roman"/>
          <w:sz w:val="17"/>
        </w:rPr>
        <w:t>, vol. 5, pp. 08–36, 2023.</w:t>
      </w:r>
    </w:p>
    <w:p>
      <w:pPr>
        <w:spacing w:after="80" w:line="252" w:lineRule="auto"/>
        <w:ind w:left="317" w:hanging="317"/>
        <w:jc w:val="both"/>
      </w:pPr>
      <w:r>
        <w:rPr>
          <w:rFonts w:ascii="Times New Roman" w:hAnsi="Times New Roman"/>
          <w:sz w:val="17"/>
        </w:rPr>
        <w:t xml:space="preserve">[7] </w:t>
      </w:r>
      <w:r>
        <w:rPr>
          <w:rFonts w:ascii="Times New Roman" w:hAnsi="Times New Roman"/>
          <w:sz w:val="17"/>
        </w:rPr>
        <w:t xml:space="preserve">S. Ramesh et al., </w:t>
      </w:r>
      <w:r>
        <w:rPr>
          <w:rFonts w:ascii="Times New Roman" w:hAnsi="Times New Roman"/>
          <w:sz w:val="17"/>
        </w:rPr>
        <w:t xml:space="preserve">"Cloud computing in precision agriculture IoT systems: Handling large volumes of data," </w:t>
      </w:r>
      <w:r>
        <w:rPr>
          <w:rFonts w:ascii="Times New Roman" w:hAnsi="Times New Roman"/>
          <w:i/>
          <w:sz w:val="17"/>
        </w:rPr>
        <w:t>Journal of Cloud Computing: Advances, Systems and Applications</w:t>
      </w:r>
      <w:r>
        <w:rPr>
          <w:rFonts w:ascii="Times New Roman" w:hAnsi="Times New Roman"/>
          <w:sz w:val="17"/>
        </w:rPr>
        <w:t>, vol. 8, no. 1, pp. 1–12, 2019.</w:t>
      </w:r>
    </w:p>
    <w:p>
      <w:pPr>
        <w:spacing w:after="80" w:line="252" w:lineRule="auto"/>
        <w:ind w:left="317" w:hanging="317"/>
        <w:jc w:val="both"/>
      </w:pPr>
      <w:r>
        <w:rPr>
          <w:rFonts w:ascii="Times New Roman" w:hAnsi="Times New Roman"/>
          <w:sz w:val="17"/>
        </w:rPr>
        <w:t xml:space="preserve">[8] </w:t>
      </w:r>
      <w:r>
        <w:rPr>
          <w:rFonts w:ascii="Times New Roman" w:hAnsi="Times New Roman"/>
          <w:sz w:val="17"/>
        </w:rPr>
        <w:t xml:space="preserve">K. Sharma, C. Sharma, S. Sharma, and E. Asenso, </w:t>
      </w:r>
      <w:r>
        <w:rPr>
          <w:rFonts w:ascii="Times New Roman" w:hAnsi="Times New Roman"/>
          <w:sz w:val="17"/>
        </w:rPr>
        <w:t xml:space="preserve">"Broadening the research pathways in smart agriculture: predictive analysis using semiautomatic information modeling," </w:t>
      </w:r>
      <w:r>
        <w:rPr>
          <w:rFonts w:ascii="Times New Roman" w:hAnsi="Times New Roman"/>
          <w:i/>
          <w:sz w:val="17"/>
        </w:rPr>
        <w:t>Journal of Sensors</w:t>
      </w:r>
      <w:r>
        <w:rPr>
          <w:rFonts w:ascii="Times New Roman" w:hAnsi="Times New Roman"/>
          <w:sz w:val="17"/>
        </w:rPr>
        <w:t>, vol. 2022, pp. 1–14, 2022.</w:t>
      </w:r>
    </w:p>
    <w:p>
      <w:pPr>
        <w:spacing w:after="80" w:line="252" w:lineRule="auto"/>
        <w:ind w:left="317" w:hanging="317"/>
        <w:jc w:val="both"/>
      </w:pPr>
      <w:r>
        <w:rPr>
          <w:rFonts w:ascii="Times New Roman" w:hAnsi="Times New Roman"/>
          <w:sz w:val="17"/>
        </w:rPr>
        <w:t xml:space="preserve">[9] </w:t>
      </w:r>
      <w:r>
        <w:rPr>
          <w:rFonts w:ascii="Times New Roman" w:hAnsi="Times New Roman"/>
          <w:sz w:val="17"/>
        </w:rPr>
        <w:t xml:space="preserve">R. Singh et al., </w:t>
      </w:r>
      <w:r>
        <w:rPr>
          <w:rFonts w:ascii="Times New Roman" w:hAnsi="Times New Roman"/>
          <w:sz w:val="17"/>
        </w:rPr>
        <w:t xml:space="preserve">"IoT-based crop monitoring system for rice crops with machine learning algorithms," </w:t>
      </w:r>
      <w:r>
        <w:rPr>
          <w:rFonts w:ascii="Times New Roman" w:hAnsi="Times New Roman"/>
          <w:i/>
          <w:sz w:val="17"/>
        </w:rPr>
        <w:t>Journal of Agricultural Science and Technology</w:t>
      </w:r>
      <w:r>
        <w:rPr>
          <w:rFonts w:ascii="Times New Roman" w:hAnsi="Times New Roman"/>
          <w:sz w:val="17"/>
        </w:rPr>
        <w:t>, vol. 5, no. 3, pp. 87–95, 2020.</w:t>
      </w:r>
    </w:p>
    <w:p>
      <w:pPr>
        <w:spacing w:after="80" w:line="252" w:lineRule="auto"/>
        <w:ind w:left="317" w:hanging="317"/>
        <w:jc w:val="both"/>
      </w:pPr>
      <w:r>
        <w:rPr>
          <w:rFonts w:ascii="Times New Roman" w:hAnsi="Times New Roman"/>
          <w:sz w:val="17"/>
        </w:rPr>
        <w:t xml:space="preserve">[10] </w:t>
      </w:r>
      <w:r>
        <w:rPr>
          <w:rFonts w:ascii="Times New Roman" w:hAnsi="Times New Roman"/>
          <w:sz w:val="17"/>
        </w:rPr>
        <w:t xml:space="preserve">Y. Lan, Z. Huang, X. Deng et al., </w:t>
      </w:r>
      <w:r>
        <w:rPr>
          <w:rFonts w:ascii="Times New Roman" w:hAnsi="Times New Roman"/>
          <w:sz w:val="17"/>
        </w:rPr>
        <w:t xml:space="preserve">"Comparison of machine learning methods for citrus greening detection on UAV multispectral images," </w:t>
      </w:r>
      <w:r>
        <w:rPr>
          <w:rFonts w:ascii="Times New Roman" w:hAnsi="Times New Roman"/>
          <w:i/>
          <w:sz w:val="17"/>
        </w:rPr>
        <w:t>Computers and Electronics in Agriculture</w:t>
      </w:r>
      <w:r>
        <w:rPr>
          <w:rFonts w:ascii="Times New Roman" w:hAnsi="Times New Roman"/>
          <w:sz w:val="17"/>
        </w:rPr>
        <w:t>, vol. 171, pp. 105230, 2020.</w:t>
      </w:r>
    </w:p>
    <w:p>
      <w:pPr>
        <w:spacing w:after="80" w:line="252" w:lineRule="auto"/>
        <w:ind w:left="317" w:hanging="317"/>
        <w:jc w:val="both"/>
      </w:pPr>
      <w:r>
        <w:rPr>
          <w:rFonts w:ascii="Times New Roman" w:hAnsi="Times New Roman"/>
          <w:sz w:val="17"/>
        </w:rPr>
        <w:t xml:space="preserve">[11] </w:t>
      </w:r>
      <w:r>
        <w:rPr>
          <w:rFonts w:ascii="Times New Roman" w:hAnsi="Times New Roman"/>
          <w:sz w:val="17"/>
        </w:rPr>
        <w:t xml:space="preserve">T. Poblete, C. Camino, P. S. A. Beck et al., </w:t>
      </w:r>
      <w:r>
        <w:rPr>
          <w:rFonts w:ascii="Times New Roman" w:hAnsi="Times New Roman"/>
          <w:sz w:val="17"/>
        </w:rPr>
        <w:t xml:space="preserve">"Detection of Xylella fastidiosa infection symptoms with airborne multispectral and thermal imagery: Assessing bandset reduction performance from hyperspectral analysis," </w:t>
      </w:r>
      <w:r>
        <w:rPr>
          <w:rFonts w:ascii="Times New Roman" w:hAnsi="Times New Roman"/>
          <w:i/>
          <w:sz w:val="17"/>
        </w:rPr>
        <w:t>ISPRS Journal of Photogrammetry and Remote Sensing</w:t>
      </w:r>
      <w:r>
        <w:rPr>
          <w:rFonts w:ascii="Times New Roman" w:hAnsi="Times New Roman"/>
          <w:sz w:val="17"/>
        </w:rPr>
        <w:t>, vol. 162, pp. 27–40, 2020.</w:t>
      </w:r>
    </w:p>
    <w:p>
      <w:pPr>
        <w:spacing w:after="80" w:line="252" w:lineRule="auto"/>
        <w:ind w:left="317" w:hanging="317"/>
        <w:jc w:val="both"/>
      </w:pPr>
      <w:r>
        <w:rPr>
          <w:rFonts w:ascii="Times New Roman" w:hAnsi="Times New Roman"/>
          <w:sz w:val="17"/>
        </w:rPr>
        <w:t xml:space="preserve">[12] </w:t>
      </w:r>
      <w:r>
        <w:rPr>
          <w:rFonts w:ascii="Times New Roman" w:hAnsi="Times New Roman"/>
          <w:sz w:val="17"/>
        </w:rPr>
        <w:t xml:space="preserve">J. Abdulridha, Y. Ampatzidis, P. Roberts, and S. C. Kakarla, </w:t>
      </w:r>
      <w:r>
        <w:rPr>
          <w:rFonts w:ascii="Times New Roman" w:hAnsi="Times New Roman"/>
          <w:sz w:val="17"/>
        </w:rPr>
        <w:t xml:space="preserve">"Detecting powdery mildew disease in squash at different stages using UAV-based hyperspectral imaging and artificial intelligence," </w:t>
      </w:r>
      <w:r>
        <w:rPr>
          <w:rFonts w:ascii="Times New Roman" w:hAnsi="Times New Roman"/>
          <w:i/>
          <w:sz w:val="17"/>
        </w:rPr>
        <w:t>Biosystems Engineering</w:t>
      </w:r>
      <w:r>
        <w:rPr>
          <w:rFonts w:ascii="Times New Roman" w:hAnsi="Times New Roman"/>
          <w:sz w:val="17"/>
        </w:rPr>
        <w:t>, vol. 197, pp. 135–148, 2020.</w:t>
      </w:r>
    </w:p>
    <w:p>
      <w:pPr>
        <w:spacing w:after="80" w:line="252" w:lineRule="auto"/>
        <w:ind w:left="317" w:hanging="317"/>
        <w:jc w:val="both"/>
      </w:pPr>
      <w:r>
        <w:rPr>
          <w:rFonts w:ascii="Times New Roman" w:hAnsi="Times New Roman"/>
          <w:sz w:val="17"/>
        </w:rPr>
        <w:t xml:space="preserve">[13] </w:t>
      </w:r>
      <w:r>
        <w:rPr>
          <w:rFonts w:ascii="Times New Roman" w:hAnsi="Times New Roman"/>
          <w:sz w:val="17"/>
        </w:rPr>
        <w:t xml:space="preserve">S. S. Patil and S. A. Thorat, </w:t>
      </w:r>
      <w:r>
        <w:rPr>
          <w:rFonts w:ascii="Times New Roman" w:hAnsi="Times New Roman"/>
          <w:sz w:val="17"/>
        </w:rPr>
        <w:t xml:space="preserve">"Early detection of grapes diseases using machine learning and IoT," </w:t>
      </w:r>
      <w:r>
        <w:rPr>
          <w:rFonts w:ascii="Times New Roman" w:hAnsi="Times New Roman"/>
          <w:i/>
          <w:sz w:val="17"/>
        </w:rPr>
        <w:t>in Proc. 2nd Int. Conf. Cognitive Computing and Information Processing (CCIP)</w:t>
      </w:r>
      <w:r>
        <w:rPr>
          <w:rFonts w:ascii="Times New Roman" w:hAnsi="Times New Roman"/>
          <w:sz w:val="17"/>
        </w:rPr>
        <w:t>, 2016, pp. 1–5.</w:t>
      </w:r>
    </w:p>
    <w:p>
      <w:pPr>
        <w:spacing w:after="80" w:line="252" w:lineRule="auto"/>
        <w:ind w:left="317" w:hanging="317"/>
        <w:jc w:val="both"/>
      </w:pPr>
      <w:r>
        <w:rPr>
          <w:rFonts w:ascii="Times New Roman" w:hAnsi="Times New Roman"/>
          <w:sz w:val="17"/>
        </w:rPr>
        <w:t xml:space="preserve">[14] </w:t>
      </w:r>
      <w:r>
        <w:rPr>
          <w:rFonts w:ascii="Times New Roman" w:hAnsi="Times New Roman"/>
          <w:sz w:val="17"/>
        </w:rPr>
        <w:t xml:space="preserve">N. Materne and M. Inoue, </w:t>
      </w:r>
      <w:r>
        <w:rPr>
          <w:rFonts w:ascii="Times New Roman" w:hAnsi="Times New Roman"/>
          <w:sz w:val="17"/>
        </w:rPr>
        <w:t xml:space="preserve">"IoT monitoring system for early detection of agricultural pests and diseases," </w:t>
      </w:r>
      <w:r>
        <w:rPr>
          <w:rFonts w:ascii="Times New Roman" w:hAnsi="Times New Roman"/>
          <w:i/>
          <w:sz w:val="17"/>
        </w:rPr>
        <w:t>in Proc. 12th South East Asian Technical University Consortium (SEATUC)</w:t>
      </w:r>
      <w:r>
        <w:rPr>
          <w:rFonts w:ascii="Times New Roman" w:hAnsi="Times New Roman"/>
          <w:sz w:val="17"/>
        </w:rPr>
        <w:t>, 2018, pp. 1–5.</w:t>
      </w:r>
    </w:p>
    <w:p>
      <w:pPr>
        <w:spacing w:after="80" w:line="252" w:lineRule="auto"/>
        <w:ind w:left="317" w:hanging="317"/>
        <w:jc w:val="both"/>
      </w:pPr>
      <w:r>
        <w:rPr>
          <w:rFonts w:ascii="Times New Roman" w:hAnsi="Times New Roman"/>
          <w:sz w:val="17"/>
        </w:rPr>
        <w:t xml:space="preserve">[15] </w:t>
      </w:r>
      <w:r>
        <w:rPr>
          <w:rFonts w:ascii="Times New Roman" w:hAnsi="Times New Roman"/>
          <w:sz w:val="17"/>
        </w:rPr>
        <w:t xml:space="preserve">S. Khan and M. Narvekar, </w:t>
      </w:r>
      <w:r>
        <w:rPr>
          <w:rFonts w:ascii="Times New Roman" w:hAnsi="Times New Roman"/>
          <w:sz w:val="17"/>
        </w:rPr>
        <w:t xml:space="preserve">"Disorder detection of tomato plant (Solanum lycopersicum) using IoT and machine learning," </w:t>
      </w:r>
      <w:r>
        <w:rPr>
          <w:rFonts w:ascii="Times New Roman" w:hAnsi="Times New Roman"/>
          <w:i/>
          <w:sz w:val="17"/>
        </w:rPr>
        <w:t>Journal of Physics: Conference Series</w:t>
      </w:r>
      <w:r>
        <w:rPr>
          <w:rFonts w:ascii="Times New Roman" w:hAnsi="Times New Roman"/>
          <w:sz w:val="17"/>
        </w:rPr>
        <w:t>, vol. 1432, pp. 012089, 2020.</w:t>
      </w:r>
    </w:p>
    <w:p>
      <w:pPr>
        <w:spacing w:after="80" w:line="252" w:lineRule="auto"/>
        <w:ind w:left="317" w:hanging="317"/>
        <w:jc w:val="both"/>
      </w:pPr>
      <w:r>
        <w:rPr>
          <w:rFonts w:ascii="Times New Roman" w:hAnsi="Times New Roman"/>
          <w:sz w:val="17"/>
        </w:rPr>
        <w:t xml:space="preserve">[16] </w:t>
      </w:r>
      <w:r>
        <w:rPr>
          <w:rFonts w:ascii="Times New Roman" w:hAnsi="Times New Roman"/>
          <w:sz w:val="17"/>
        </w:rPr>
        <w:t xml:space="preserve">K. H. Abdulkareem, M. A. Mohammed, A. Salim, M. Arif, O. Geman et al., </w:t>
      </w:r>
      <w:r>
        <w:rPr>
          <w:rFonts w:ascii="Times New Roman" w:hAnsi="Times New Roman"/>
          <w:sz w:val="17"/>
        </w:rPr>
        <w:t xml:space="preserve">"Realizing an effective COVID-19 diagnosis system based on machine learning and IOT in smart hospital environment," </w:t>
      </w:r>
      <w:r>
        <w:rPr>
          <w:rFonts w:ascii="Times New Roman" w:hAnsi="Times New Roman"/>
          <w:i/>
          <w:sz w:val="17"/>
        </w:rPr>
        <w:t>IEEE Internet of Things Journal</w:t>
      </w:r>
      <w:r>
        <w:rPr>
          <w:rFonts w:ascii="Times New Roman" w:hAnsi="Times New Roman"/>
          <w:sz w:val="17"/>
        </w:rPr>
        <w:t>, vol. 8, no. 21, pp. 15919–15928, 2021.</w:t>
      </w:r>
    </w:p>
    <w:p>
      <w:pPr>
        <w:spacing w:after="80" w:line="252" w:lineRule="auto"/>
        <w:ind w:left="317" w:hanging="317"/>
        <w:jc w:val="both"/>
      </w:pPr>
      <w:r>
        <w:rPr>
          <w:rFonts w:ascii="Times New Roman" w:hAnsi="Times New Roman"/>
          <w:sz w:val="17"/>
        </w:rPr>
        <w:t xml:space="preserve">[17] </w:t>
      </w:r>
      <w:r>
        <w:rPr>
          <w:rFonts w:ascii="Times New Roman" w:hAnsi="Times New Roman"/>
          <w:sz w:val="17"/>
        </w:rPr>
        <w:t xml:space="preserve">A. Popa, M. Hnatiuc, M. Paun, O. Geman et al., </w:t>
      </w:r>
      <w:r>
        <w:rPr>
          <w:rFonts w:ascii="Times New Roman" w:hAnsi="Times New Roman"/>
          <w:sz w:val="17"/>
        </w:rPr>
        <w:t xml:space="preserve">"An intelligent IoT-based food quality monitoring approach using low-cost sensors," </w:t>
      </w:r>
      <w:r>
        <w:rPr>
          <w:rFonts w:ascii="Times New Roman" w:hAnsi="Times New Roman"/>
          <w:i/>
          <w:sz w:val="17"/>
        </w:rPr>
        <w:t>Symmetry</w:t>
      </w:r>
      <w:r>
        <w:rPr>
          <w:rFonts w:ascii="Times New Roman" w:hAnsi="Times New Roman"/>
          <w:sz w:val="17"/>
        </w:rPr>
        <w:t>, vol. 11, no. 3, pp. 374–382, 2019.</w:t>
      </w:r>
    </w:p>
    <w:p>
      <w:pPr>
        <w:spacing w:after="80" w:line="252" w:lineRule="auto"/>
        <w:ind w:left="317" w:hanging="317"/>
        <w:jc w:val="both"/>
      </w:pPr>
      <w:r>
        <w:rPr>
          <w:rFonts w:ascii="Times New Roman" w:hAnsi="Times New Roman"/>
          <w:sz w:val="17"/>
        </w:rPr>
        <w:t xml:space="preserve">[18] </w:t>
      </w:r>
      <w:r>
        <w:rPr>
          <w:rFonts w:ascii="Times New Roman" w:hAnsi="Times New Roman"/>
          <w:sz w:val="17"/>
        </w:rPr>
        <w:t xml:space="preserve">O. Postolache, D. J. Hemanth, R. Alexandre, D. Gupta, O. Geman, and A. Khanna, </w:t>
      </w:r>
      <w:r>
        <w:rPr>
          <w:rFonts w:ascii="Times New Roman" w:hAnsi="Times New Roman"/>
          <w:sz w:val="17"/>
        </w:rPr>
        <w:t xml:space="preserve">"Remote monitoring of physical rehabilitation of stroke patients using IoT and virtual reality," </w:t>
      </w:r>
      <w:r>
        <w:rPr>
          <w:rFonts w:ascii="Times New Roman" w:hAnsi="Times New Roman"/>
          <w:i/>
          <w:sz w:val="17"/>
        </w:rPr>
        <w:t>IEEE Journal on Selected Areas in Communications</w:t>
      </w:r>
      <w:r>
        <w:rPr>
          <w:rFonts w:ascii="Times New Roman" w:hAnsi="Times New Roman"/>
          <w:sz w:val="17"/>
        </w:rPr>
        <w:t>, vol. 39, no. 2, pp. 562–573, 2020.</w:t>
      </w:r>
    </w:p>
    <w:p>
      <w:pPr>
        <w:spacing w:after="80" w:line="252" w:lineRule="auto"/>
        <w:ind w:left="317" w:hanging="317"/>
        <w:jc w:val="both"/>
      </w:pPr>
      <w:r>
        <w:rPr>
          <w:rFonts w:ascii="Times New Roman" w:hAnsi="Times New Roman"/>
          <w:sz w:val="17"/>
        </w:rPr>
        <w:t xml:space="preserve">[19] </w:t>
      </w:r>
      <w:r>
        <w:rPr>
          <w:rFonts w:ascii="Times New Roman" w:hAnsi="Times New Roman"/>
          <w:sz w:val="17"/>
        </w:rPr>
        <w:t xml:space="preserve">A. Brezulianu, O. Geman et al., </w:t>
      </w:r>
      <w:r>
        <w:rPr>
          <w:rFonts w:ascii="Times New Roman" w:hAnsi="Times New Roman"/>
          <w:sz w:val="17"/>
        </w:rPr>
        <w:t xml:space="preserve">"IoT based heart activity monitoring using inductive sensors," </w:t>
      </w:r>
      <w:r>
        <w:rPr>
          <w:rFonts w:ascii="Times New Roman" w:hAnsi="Times New Roman"/>
          <w:i/>
          <w:sz w:val="17"/>
        </w:rPr>
        <w:t>Sensors</w:t>
      </w:r>
      <w:r>
        <w:rPr>
          <w:rFonts w:ascii="Times New Roman" w:hAnsi="Times New Roman"/>
          <w:sz w:val="17"/>
        </w:rPr>
        <w:t>, vol. 19, no. 15, pp. 3284–3294, 2019.</w:t>
      </w:r>
    </w:p>
    <w:p>
      <w:pPr>
        <w:spacing w:after="80" w:line="252" w:lineRule="auto"/>
        <w:ind w:left="317" w:hanging="317"/>
        <w:jc w:val="both"/>
      </w:pPr>
      <w:r>
        <w:rPr>
          <w:rFonts w:ascii="Times New Roman" w:hAnsi="Times New Roman"/>
          <w:sz w:val="17"/>
        </w:rPr>
        <w:t xml:space="preserve">[20] </w:t>
      </w:r>
      <w:r>
        <w:rPr>
          <w:rFonts w:ascii="Times New Roman" w:hAnsi="Times New Roman"/>
          <w:sz w:val="17"/>
        </w:rPr>
        <w:t xml:space="preserve">M. Manoj, V. D. Kumar, M. Arif, E. R. Bulai, P. Bulai, and O. Geman, </w:t>
      </w:r>
      <w:r>
        <w:rPr>
          <w:rFonts w:ascii="Times New Roman" w:hAnsi="Times New Roman"/>
          <w:sz w:val="17"/>
        </w:rPr>
        <w:t xml:space="preserve">"State of the art techniques for water quality monitoring systems for fish ponds using IoT and underwater sensors: A review," </w:t>
      </w:r>
      <w:r>
        <w:rPr>
          <w:rFonts w:ascii="Times New Roman" w:hAnsi="Times New Roman"/>
          <w:i/>
          <w:sz w:val="17"/>
        </w:rPr>
        <w:t>Sensors</w:t>
      </w:r>
      <w:r>
        <w:rPr>
          <w:rFonts w:ascii="Times New Roman" w:hAnsi="Times New Roman"/>
          <w:sz w:val="17"/>
        </w:rPr>
        <w:t>, vol. 22, no. 6, pp. 2088–2109, 2022.</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