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Ind w:w="-5" w:type="dxa"/>
        <w:tblLayout w:type="fixed"/>
        <w:tblCellMar>
          <w:left w:w="14" w:type="dxa"/>
          <w:right w:w="14" w:type="dxa"/>
        </w:tblCellMar>
        <w:tblLook w:val="04A0" w:firstRow="1" w:lastRow="0" w:firstColumn="1" w:lastColumn="0" w:noHBand="0" w:noVBand="1"/>
      </w:tblPr>
      <w:tblGrid>
        <w:gridCol w:w="2791"/>
        <w:gridCol w:w="8009"/>
      </w:tblGrid>
      <w:tr w:rsidR="007A7A32" w:rsidRPr="00ED67B3" w14:paraId="6D02E2DD" w14:textId="77777777" w:rsidTr="008417FB">
        <w:trPr>
          <w:trHeight w:val="20"/>
        </w:trPr>
        <w:tc>
          <w:tcPr>
            <w:tcW w:w="10800" w:type="dxa"/>
            <w:gridSpan w:val="2"/>
            <w:shd w:val="clear" w:color="auto" w:fill="000000" w:themeFill="text1"/>
          </w:tcPr>
          <w:p w14:paraId="1443182B" w14:textId="77777777" w:rsidR="007A7A32" w:rsidRPr="00ED67B3" w:rsidRDefault="007A7A32" w:rsidP="008417FB">
            <w:pPr>
              <w:pStyle w:val="NoSpacing"/>
              <w:rPr>
                <w:rFonts w:ascii="Arial Narrow" w:hAnsi="Arial Narrow" w:cs="Times New Roman"/>
                <w:b/>
                <w:w w:val="95"/>
              </w:rPr>
            </w:pPr>
            <w:r w:rsidRPr="00ED67B3">
              <w:rPr>
                <w:rFonts w:ascii="Arial Narrow" w:hAnsi="Arial Narrow" w:cs="Times New Roman"/>
                <w:b/>
                <w:w w:val="95"/>
              </w:rPr>
              <w:t>Interest Rates and Interest Charges</w:t>
            </w:r>
          </w:p>
        </w:tc>
      </w:tr>
      <w:tr w:rsidR="007A7A32" w:rsidRPr="00ED67B3" w14:paraId="19891493" w14:textId="77777777" w:rsidTr="008417FB">
        <w:trPr>
          <w:trHeight w:val="20"/>
        </w:trPr>
        <w:tc>
          <w:tcPr>
            <w:tcW w:w="2791" w:type="dxa"/>
            <w:vAlign w:val="center"/>
          </w:tcPr>
          <w:p w14:paraId="22C62FCC"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Annual Percentage Rate (APR) for Purchases</w:t>
            </w:r>
          </w:p>
        </w:tc>
        <w:tc>
          <w:tcPr>
            <w:tcW w:w="8009" w:type="dxa"/>
            <w:vAlign w:val="center"/>
          </w:tcPr>
          <w:p w14:paraId="28247429" w14:textId="77777777" w:rsidR="007A7A32" w:rsidRPr="00ED67B3" w:rsidRDefault="007A7A32" w:rsidP="008417FB">
            <w:pPr>
              <w:spacing w:after="0" w:line="240" w:lineRule="auto"/>
              <w:ind w:right="144"/>
              <w:rPr>
                <w:rFonts w:ascii="Arial Narrow" w:hAnsi="Arial Narrow" w:cs="Times New Roman"/>
                <w:w w:val="95"/>
                <w:sz w:val="20"/>
                <w:szCs w:val="20"/>
              </w:rPr>
            </w:pPr>
            <w:r w:rsidRPr="00FA7488">
              <w:rPr>
                <w:rFonts w:ascii="Arial Narrow" w:hAnsi="Arial Narrow" w:cs="Times New Roman"/>
                <w:w w:val="95"/>
                <w:sz w:val="20"/>
                <w:szCs w:val="20"/>
              </w:rPr>
              <w:t xml:space="preserve">Varies by State, from </w:t>
            </w:r>
            <w:r w:rsidRPr="00FA7488">
              <w:rPr>
                <w:rFonts w:ascii="Arial Narrow" w:hAnsi="Arial Narrow" w:cs="Times New Roman"/>
                <w:b/>
                <w:w w:val="95"/>
                <w:sz w:val="32"/>
                <w:szCs w:val="32"/>
              </w:rPr>
              <w:t>17%</w:t>
            </w:r>
            <w:r w:rsidRPr="00FA7488">
              <w:rPr>
                <w:rFonts w:ascii="Arial Narrow" w:hAnsi="Arial Narrow" w:cs="Times New Roman"/>
                <w:w w:val="95"/>
                <w:sz w:val="20"/>
                <w:szCs w:val="20"/>
              </w:rPr>
              <w:t xml:space="preserve"> to </w:t>
            </w:r>
            <w:r>
              <w:rPr>
                <w:rFonts w:ascii="Arial Narrow" w:hAnsi="Arial Narrow" w:cs="Times New Roman"/>
                <w:b/>
                <w:w w:val="95"/>
                <w:sz w:val="32"/>
                <w:szCs w:val="32"/>
              </w:rPr>
              <w:t>17</w:t>
            </w:r>
            <w:r w:rsidRPr="00FA7488">
              <w:rPr>
                <w:rFonts w:ascii="Arial Narrow" w:hAnsi="Arial Narrow" w:cs="Times New Roman"/>
                <w:b/>
                <w:w w:val="95"/>
                <w:sz w:val="32"/>
                <w:szCs w:val="32"/>
              </w:rPr>
              <w:t>.99%.</w:t>
            </w:r>
            <w:r w:rsidRPr="00FA7488">
              <w:rPr>
                <w:rFonts w:ascii="Arial Narrow" w:hAnsi="Arial Narrow" w:cs="Times New Roman"/>
                <w:w w:val="95"/>
                <w:sz w:val="20"/>
                <w:szCs w:val="20"/>
              </w:rPr>
              <w:t xml:space="preserve">  See your account agreement for more details.</w:t>
            </w:r>
          </w:p>
        </w:tc>
      </w:tr>
      <w:tr w:rsidR="007A7A32" w:rsidRPr="00ED67B3" w14:paraId="7A9A92F2" w14:textId="77777777" w:rsidTr="008417FB">
        <w:trPr>
          <w:trHeight w:val="20"/>
        </w:trPr>
        <w:tc>
          <w:tcPr>
            <w:tcW w:w="2791" w:type="dxa"/>
            <w:vAlign w:val="center"/>
          </w:tcPr>
          <w:p w14:paraId="3AE71069"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How to Avoid Paying Interest</w:t>
            </w:r>
          </w:p>
        </w:tc>
        <w:tc>
          <w:tcPr>
            <w:tcW w:w="8009" w:type="dxa"/>
            <w:vAlign w:val="center"/>
          </w:tcPr>
          <w:p w14:paraId="4D6D7126" w14:textId="77777777" w:rsidR="007A7A32" w:rsidRPr="00ED67B3" w:rsidRDefault="007A7A32" w:rsidP="008417FB">
            <w:pPr>
              <w:spacing w:after="0" w:line="240" w:lineRule="auto"/>
              <w:ind w:right="144"/>
              <w:rPr>
                <w:rFonts w:ascii="Arial Narrow" w:hAnsi="Arial Narrow" w:cs="Times New Roman"/>
                <w:w w:val="95"/>
                <w:sz w:val="20"/>
                <w:szCs w:val="20"/>
              </w:rPr>
            </w:pPr>
            <w:r w:rsidRPr="00FA7488">
              <w:rPr>
                <w:rFonts w:ascii="Arial Narrow" w:hAnsi="Arial Narrow" w:cs="Times New Roman"/>
                <w:w w:val="95"/>
                <w:sz w:val="20"/>
                <w:szCs w:val="20"/>
              </w:rPr>
              <w:t>Your due date is at least 25 days after the close of each billing cycle.  We will not charge you any interest on purchases if you pay your entire balance by the due date each month or such time as Applicable Law allows. See your account agreement for more details.</w:t>
            </w:r>
          </w:p>
        </w:tc>
      </w:tr>
      <w:tr w:rsidR="007A7A32" w:rsidRPr="00ED67B3" w14:paraId="13D00F28" w14:textId="77777777" w:rsidTr="008417FB">
        <w:trPr>
          <w:trHeight w:val="20"/>
        </w:trPr>
        <w:tc>
          <w:tcPr>
            <w:tcW w:w="2791" w:type="dxa"/>
            <w:vAlign w:val="center"/>
          </w:tcPr>
          <w:p w14:paraId="17044D72"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Minimum Interest Charge</w:t>
            </w:r>
          </w:p>
        </w:tc>
        <w:tc>
          <w:tcPr>
            <w:tcW w:w="8009" w:type="dxa"/>
            <w:vAlign w:val="center"/>
          </w:tcPr>
          <w:p w14:paraId="1B1BC7E3" w14:textId="77777777" w:rsidR="007A7A32" w:rsidRPr="00ED67B3" w:rsidRDefault="007A7A32" w:rsidP="008417FB">
            <w:pPr>
              <w:spacing w:after="0" w:line="240" w:lineRule="auto"/>
              <w:ind w:right="144"/>
              <w:rPr>
                <w:rFonts w:ascii="Arial Narrow" w:hAnsi="Arial Narrow" w:cs="Times New Roman"/>
                <w:w w:val="95"/>
                <w:sz w:val="20"/>
                <w:szCs w:val="20"/>
              </w:rPr>
            </w:pPr>
            <w:r w:rsidRPr="00FA7488">
              <w:rPr>
                <w:rFonts w:ascii="Arial Narrow" w:hAnsi="Arial Narrow" w:cs="Times New Roman"/>
                <w:w w:val="95"/>
                <w:sz w:val="20"/>
                <w:szCs w:val="20"/>
              </w:rPr>
              <w:t>If you are charged interest the charge will be no less than an amount that varies by State between $0.00 and $4.76. See your account agreement for more details.</w:t>
            </w:r>
          </w:p>
        </w:tc>
      </w:tr>
      <w:tr w:rsidR="007A7A32" w:rsidRPr="00ED67B3" w14:paraId="0DC3A35D" w14:textId="77777777" w:rsidTr="008417FB">
        <w:trPr>
          <w:trHeight w:val="20"/>
        </w:trPr>
        <w:tc>
          <w:tcPr>
            <w:tcW w:w="2791" w:type="dxa"/>
            <w:vAlign w:val="center"/>
          </w:tcPr>
          <w:p w14:paraId="2FE23425"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For Credit Card Tips from the Consumer Financial Protection Bureau</w:t>
            </w:r>
          </w:p>
        </w:tc>
        <w:tc>
          <w:tcPr>
            <w:tcW w:w="8009" w:type="dxa"/>
            <w:vAlign w:val="center"/>
          </w:tcPr>
          <w:p w14:paraId="13F73547"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To learn more about factors to consider when applying for or using a credit card, visit the website of the Consumer Financial Protection Bureau at http://www.consumerfinance.gov/learnmore.</w:t>
            </w:r>
          </w:p>
        </w:tc>
      </w:tr>
      <w:tr w:rsidR="007A7A32" w:rsidRPr="00ED67B3" w14:paraId="410243DE" w14:textId="77777777" w:rsidTr="008417FB">
        <w:trPr>
          <w:trHeight w:val="20"/>
        </w:trPr>
        <w:tc>
          <w:tcPr>
            <w:tcW w:w="10800" w:type="dxa"/>
            <w:gridSpan w:val="2"/>
            <w:shd w:val="clear" w:color="auto" w:fill="000000" w:themeFill="text1"/>
          </w:tcPr>
          <w:p w14:paraId="255ECD9A" w14:textId="77777777" w:rsidR="007A7A32" w:rsidRPr="00ED67B3" w:rsidRDefault="007A7A32" w:rsidP="008417FB">
            <w:pPr>
              <w:spacing w:after="0" w:line="240" w:lineRule="auto"/>
              <w:rPr>
                <w:rFonts w:ascii="Arial Narrow" w:hAnsi="Arial Narrow" w:cs="Times New Roman"/>
                <w:b/>
                <w:w w:val="95"/>
              </w:rPr>
            </w:pPr>
            <w:r w:rsidRPr="00ED67B3">
              <w:rPr>
                <w:rFonts w:ascii="Arial Narrow" w:hAnsi="Arial Narrow" w:cs="Times New Roman"/>
                <w:b/>
                <w:w w:val="95"/>
              </w:rPr>
              <w:t>Fees</w:t>
            </w:r>
          </w:p>
        </w:tc>
      </w:tr>
      <w:tr w:rsidR="007A7A32" w:rsidRPr="00ED67B3" w14:paraId="1E47470A" w14:textId="77777777" w:rsidTr="008417FB">
        <w:trPr>
          <w:trHeight w:val="20"/>
        </w:trPr>
        <w:tc>
          <w:tcPr>
            <w:tcW w:w="2791" w:type="dxa"/>
            <w:tcBorders>
              <w:bottom w:val="single" w:sz="4" w:space="0" w:color="auto"/>
            </w:tcBorders>
          </w:tcPr>
          <w:p w14:paraId="0EF27AF6"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Transaction Fees</w:t>
            </w:r>
          </w:p>
        </w:tc>
        <w:tc>
          <w:tcPr>
            <w:tcW w:w="8009" w:type="dxa"/>
            <w:tcBorders>
              <w:bottom w:val="single" w:sz="4" w:space="0" w:color="auto"/>
            </w:tcBorders>
          </w:tcPr>
          <w:p w14:paraId="0763E4A5" w14:textId="77777777" w:rsidR="007A7A32" w:rsidRPr="00ED67B3"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None.</w:t>
            </w:r>
          </w:p>
        </w:tc>
      </w:tr>
      <w:tr w:rsidR="007A7A32" w:rsidRPr="00ED67B3" w14:paraId="7F3999E5" w14:textId="77777777" w:rsidTr="008417FB">
        <w:trPr>
          <w:trHeight w:val="20"/>
        </w:trPr>
        <w:tc>
          <w:tcPr>
            <w:tcW w:w="2791" w:type="dxa"/>
            <w:tcBorders>
              <w:bottom w:val="nil"/>
            </w:tcBorders>
          </w:tcPr>
          <w:p w14:paraId="2F7D0DD8" w14:textId="77777777" w:rsidR="007A7A32" w:rsidRPr="00563537" w:rsidRDefault="007A7A32" w:rsidP="008417FB">
            <w:pPr>
              <w:spacing w:after="0" w:line="240" w:lineRule="auto"/>
              <w:ind w:right="144"/>
              <w:rPr>
                <w:rFonts w:ascii="Arial Narrow" w:hAnsi="Arial Narrow" w:cs="Times New Roman"/>
                <w:b/>
                <w:w w:val="95"/>
                <w:sz w:val="20"/>
                <w:szCs w:val="20"/>
              </w:rPr>
            </w:pPr>
            <w:r w:rsidRPr="00ED67B3">
              <w:rPr>
                <w:rFonts w:ascii="Arial Narrow" w:hAnsi="Arial Narrow" w:cs="Times New Roman"/>
                <w:b/>
                <w:w w:val="95"/>
                <w:sz w:val="20"/>
                <w:szCs w:val="20"/>
              </w:rPr>
              <w:t>Penalty Fees</w:t>
            </w:r>
          </w:p>
        </w:tc>
        <w:tc>
          <w:tcPr>
            <w:tcW w:w="8009" w:type="dxa"/>
            <w:tcBorders>
              <w:bottom w:val="nil"/>
            </w:tcBorders>
          </w:tcPr>
          <w:p w14:paraId="6B88EEAF" w14:textId="77777777" w:rsidR="007A7A32" w:rsidRPr="00ED67B3" w:rsidRDefault="007A7A32" w:rsidP="008417FB">
            <w:pPr>
              <w:spacing w:after="0" w:line="240" w:lineRule="auto"/>
              <w:ind w:right="144"/>
              <w:rPr>
                <w:rFonts w:ascii="Arial Narrow" w:hAnsi="Arial Narrow" w:cs="Times New Roman"/>
                <w:w w:val="95"/>
                <w:sz w:val="20"/>
                <w:szCs w:val="20"/>
              </w:rPr>
            </w:pPr>
          </w:p>
        </w:tc>
      </w:tr>
      <w:tr w:rsidR="007A7A32" w:rsidRPr="00ED67B3" w14:paraId="43E3F10A" w14:textId="77777777" w:rsidTr="008417FB">
        <w:trPr>
          <w:trHeight w:val="20"/>
        </w:trPr>
        <w:tc>
          <w:tcPr>
            <w:tcW w:w="2791" w:type="dxa"/>
            <w:tcBorders>
              <w:top w:val="nil"/>
              <w:bottom w:val="nil"/>
            </w:tcBorders>
          </w:tcPr>
          <w:p w14:paraId="5FD1DCCD" w14:textId="77777777" w:rsidR="007A7A32" w:rsidRPr="00563537" w:rsidRDefault="007A7A32" w:rsidP="008417FB">
            <w:pPr>
              <w:pStyle w:val="ListParagraph"/>
              <w:numPr>
                <w:ilvl w:val="0"/>
                <w:numId w:val="1"/>
              </w:numPr>
              <w:spacing w:after="0" w:line="240" w:lineRule="auto"/>
              <w:ind w:right="144"/>
              <w:rPr>
                <w:rFonts w:ascii="Arial Narrow" w:hAnsi="Arial Narrow" w:cs="Times New Roman"/>
                <w:b/>
                <w:w w:val="95"/>
                <w:sz w:val="20"/>
                <w:szCs w:val="20"/>
              </w:rPr>
            </w:pPr>
            <w:r w:rsidRPr="00563537">
              <w:rPr>
                <w:rFonts w:ascii="Arial Narrow" w:hAnsi="Arial Narrow" w:cs="Times New Roman"/>
                <w:w w:val="95"/>
                <w:sz w:val="20"/>
                <w:szCs w:val="20"/>
              </w:rPr>
              <w:t>Late Payment</w:t>
            </w:r>
          </w:p>
        </w:tc>
        <w:tc>
          <w:tcPr>
            <w:tcW w:w="8009" w:type="dxa"/>
            <w:tcBorders>
              <w:top w:val="nil"/>
              <w:bottom w:val="nil"/>
            </w:tcBorders>
          </w:tcPr>
          <w:p w14:paraId="111092FF" w14:textId="77777777" w:rsidR="007A7A32" w:rsidRPr="00ED67B3" w:rsidRDefault="007A7A32" w:rsidP="008417FB">
            <w:pPr>
              <w:spacing w:after="0" w:line="240" w:lineRule="auto"/>
              <w:ind w:right="144"/>
              <w:rPr>
                <w:rFonts w:ascii="Arial Narrow" w:hAnsi="Arial Narrow" w:cs="Times New Roman"/>
                <w:b/>
                <w:w w:val="95"/>
                <w:sz w:val="20"/>
                <w:szCs w:val="20"/>
              </w:rPr>
            </w:pPr>
            <w:r w:rsidRPr="00FA7488">
              <w:rPr>
                <w:rFonts w:ascii="Arial Narrow" w:hAnsi="Arial Narrow" w:cs="Times New Roman"/>
                <w:w w:val="95"/>
                <w:sz w:val="20"/>
                <w:szCs w:val="20"/>
              </w:rPr>
              <w:t xml:space="preserve">Varies by State, from (a) </w:t>
            </w:r>
            <w:r w:rsidRPr="00FA7488">
              <w:rPr>
                <w:rFonts w:ascii="Arial Narrow" w:hAnsi="Arial Narrow" w:cs="Times New Roman"/>
                <w:b/>
                <w:w w:val="95"/>
                <w:sz w:val="20"/>
                <w:szCs w:val="20"/>
              </w:rPr>
              <w:t>$0</w:t>
            </w:r>
            <w:r w:rsidRPr="00FA7488">
              <w:rPr>
                <w:rFonts w:ascii="Arial Narrow" w:hAnsi="Arial Narrow" w:cs="Times New Roman"/>
                <w:w w:val="95"/>
                <w:sz w:val="20"/>
                <w:szCs w:val="20"/>
              </w:rPr>
              <w:t xml:space="preserve"> to (b) up to </w:t>
            </w:r>
            <w:r w:rsidRPr="00FA7488">
              <w:rPr>
                <w:rFonts w:ascii="Arial Narrow" w:hAnsi="Arial Narrow" w:cs="Times New Roman"/>
                <w:b/>
                <w:w w:val="95"/>
                <w:sz w:val="20"/>
                <w:szCs w:val="20"/>
              </w:rPr>
              <w:t>$</w:t>
            </w:r>
            <w:r>
              <w:rPr>
                <w:rFonts w:ascii="Arial Narrow" w:hAnsi="Arial Narrow" w:cs="Times New Roman"/>
                <w:b/>
                <w:w w:val="95"/>
                <w:sz w:val="20"/>
                <w:szCs w:val="20"/>
              </w:rPr>
              <w:t>1</w:t>
            </w:r>
            <w:r w:rsidRPr="00FA7488">
              <w:rPr>
                <w:rFonts w:ascii="Arial Narrow" w:hAnsi="Arial Narrow" w:cs="Times New Roman"/>
                <w:b/>
                <w:w w:val="95"/>
                <w:sz w:val="20"/>
                <w:szCs w:val="20"/>
              </w:rPr>
              <w:t>5</w:t>
            </w:r>
            <w:r w:rsidRPr="00FA7488">
              <w:rPr>
                <w:rFonts w:ascii="Arial Narrow" w:hAnsi="Arial Narrow" w:cs="Times New Roman"/>
                <w:w w:val="95"/>
                <w:sz w:val="20"/>
                <w:szCs w:val="20"/>
              </w:rPr>
              <w:t>.  See your account agreement for more details</w:t>
            </w:r>
          </w:p>
        </w:tc>
      </w:tr>
      <w:tr w:rsidR="007A7A32" w:rsidRPr="00ED67B3" w14:paraId="4905CFDA" w14:textId="77777777" w:rsidTr="008417FB">
        <w:trPr>
          <w:trHeight w:val="20"/>
        </w:trPr>
        <w:tc>
          <w:tcPr>
            <w:tcW w:w="2791" w:type="dxa"/>
            <w:tcBorders>
              <w:top w:val="nil"/>
            </w:tcBorders>
          </w:tcPr>
          <w:p w14:paraId="1AA2F383" w14:textId="77777777" w:rsidR="007A7A32" w:rsidRPr="00C43E81" w:rsidRDefault="007A7A32" w:rsidP="008417FB">
            <w:pPr>
              <w:pStyle w:val="ListParagraph"/>
              <w:numPr>
                <w:ilvl w:val="0"/>
                <w:numId w:val="1"/>
              </w:numPr>
              <w:spacing w:after="0" w:line="240" w:lineRule="auto"/>
              <w:ind w:right="144"/>
              <w:rPr>
                <w:rFonts w:ascii="Arial Narrow" w:hAnsi="Arial Narrow" w:cs="Times New Roman"/>
                <w:b/>
                <w:w w:val="95"/>
                <w:sz w:val="20"/>
                <w:szCs w:val="20"/>
              </w:rPr>
            </w:pPr>
            <w:r w:rsidRPr="00C43E81">
              <w:rPr>
                <w:rFonts w:ascii="Arial Narrow" w:hAnsi="Arial Narrow" w:cs="Times New Roman"/>
                <w:w w:val="95"/>
                <w:sz w:val="20"/>
                <w:szCs w:val="20"/>
              </w:rPr>
              <w:t>Return Payment</w:t>
            </w:r>
          </w:p>
        </w:tc>
        <w:tc>
          <w:tcPr>
            <w:tcW w:w="8009" w:type="dxa"/>
            <w:tcBorders>
              <w:top w:val="nil"/>
            </w:tcBorders>
          </w:tcPr>
          <w:p w14:paraId="7864AB20" w14:textId="77777777" w:rsidR="007A7A32" w:rsidRPr="00ED67B3" w:rsidRDefault="007A7A32" w:rsidP="008417FB">
            <w:pPr>
              <w:spacing w:after="0" w:line="240" w:lineRule="auto"/>
              <w:ind w:right="144"/>
              <w:rPr>
                <w:rFonts w:ascii="Arial Narrow" w:hAnsi="Arial Narrow" w:cs="Times New Roman"/>
                <w:b/>
                <w:w w:val="95"/>
                <w:sz w:val="20"/>
                <w:szCs w:val="20"/>
              </w:rPr>
            </w:pPr>
            <w:commentRangeStart w:id="0"/>
            <w:r w:rsidRPr="00FA7488">
              <w:rPr>
                <w:rFonts w:ascii="Arial Narrow" w:hAnsi="Arial Narrow" w:cs="Times New Roman"/>
                <w:w w:val="95"/>
                <w:sz w:val="20"/>
                <w:szCs w:val="20"/>
              </w:rPr>
              <w:t xml:space="preserve">Varies by State, from (a) </w:t>
            </w:r>
            <w:r w:rsidRPr="00FA7488">
              <w:rPr>
                <w:rFonts w:ascii="Arial Narrow" w:hAnsi="Arial Narrow" w:cs="Times New Roman"/>
                <w:b/>
                <w:w w:val="95"/>
                <w:sz w:val="20"/>
                <w:szCs w:val="20"/>
              </w:rPr>
              <w:t>$0</w:t>
            </w:r>
            <w:r w:rsidRPr="00FA7488">
              <w:rPr>
                <w:rFonts w:ascii="Arial Narrow" w:hAnsi="Arial Narrow" w:cs="Times New Roman"/>
                <w:w w:val="95"/>
                <w:sz w:val="20"/>
                <w:szCs w:val="20"/>
              </w:rPr>
              <w:t xml:space="preserve"> to (b) up to </w:t>
            </w:r>
            <w:r w:rsidRPr="00FA7488">
              <w:rPr>
                <w:rFonts w:ascii="Arial Narrow" w:hAnsi="Arial Narrow" w:cs="Times New Roman"/>
                <w:b/>
                <w:w w:val="95"/>
                <w:sz w:val="20"/>
                <w:szCs w:val="20"/>
              </w:rPr>
              <w:t>$</w:t>
            </w:r>
            <w:r>
              <w:rPr>
                <w:rFonts w:ascii="Arial Narrow" w:hAnsi="Arial Narrow" w:cs="Times New Roman"/>
                <w:b/>
                <w:w w:val="95"/>
                <w:sz w:val="20"/>
                <w:szCs w:val="20"/>
              </w:rPr>
              <w:t>2</w:t>
            </w:r>
            <w:r w:rsidRPr="00FA7488">
              <w:rPr>
                <w:rFonts w:ascii="Arial Narrow" w:hAnsi="Arial Narrow" w:cs="Times New Roman"/>
                <w:b/>
                <w:w w:val="95"/>
                <w:sz w:val="20"/>
                <w:szCs w:val="20"/>
              </w:rPr>
              <w:t>5</w:t>
            </w:r>
            <w:r w:rsidRPr="00FA7488">
              <w:rPr>
                <w:rFonts w:ascii="Arial Narrow" w:hAnsi="Arial Narrow" w:cs="Times New Roman"/>
                <w:w w:val="95"/>
                <w:sz w:val="20"/>
                <w:szCs w:val="20"/>
              </w:rPr>
              <w:t>.  See your account agreement for more details.</w:t>
            </w:r>
            <w:commentRangeEnd w:id="0"/>
            <w:r>
              <w:rPr>
                <w:rStyle w:val="CommentReference"/>
              </w:rPr>
              <w:commentReference w:id="0"/>
            </w:r>
          </w:p>
        </w:tc>
      </w:tr>
      <w:tr w:rsidR="007A7A32" w:rsidRPr="002E4F17" w14:paraId="2A7212C9" w14:textId="77777777" w:rsidTr="008417FB">
        <w:trPr>
          <w:trHeight w:val="20"/>
        </w:trPr>
        <w:tc>
          <w:tcPr>
            <w:tcW w:w="10800" w:type="dxa"/>
            <w:gridSpan w:val="2"/>
            <w:tcBorders>
              <w:left w:val="nil"/>
              <w:bottom w:val="nil"/>
              <w:right w:val="nil"/>
            </w:tcBorders>
            <w:vAlign w:val="center"/>
          </w:tcPr>
          <w:p w14:paraId="7F03C751" w14:textId="77777777" w:rsidR="007A7A32" w:rsidRPr="00FA7488" w:rsidRDefault="007A7A32" w:rsidP="008417FB">
            <w:pPr>
              <w:pStyle w:val="NoSpacing"/>
              <w:rPr>
                <w:rFonts w:ascii="Arial Narrow" w:hAnsi="Arial Narrow" w:cs="Times New Roman"/>
                <w:w w:val="95"/>
                <w:sz w:val="20"/>
                <w:szCs w:val="20"/>
              </w:rPr>
            </w:pPr>
            <w:r w:rsidRPr="00FA7488">
              <w:rPr>
                <w:rFonts w:ascii="Arial Narrow" w:hAnsi="Arial Narrow" w:cs="Times New Roman"/>
                <w:b/>
                <w:w w:val="95"/>
                <w:sz w:val="20"/>
                <w:szCs w:val="20"/>
              </w:rPr>
              <w:t xml:space="preserve">How We Will Calculate Your Balance:  </w:t>
            </w:r>
            <w:r w:rsidRPr="00FA7488">
              <w:rPr>
                <w:rFonts w:ascii="Arial Narrow" w:hAnsi="Arial Narrow" w:cs="Times New Roman"/>
                <w:w w:val="95"/>
                <w:sz w:val="20"/>
                <w:szCs w:val="20"/>
              </w:rPr>
              <w:t>We use a method called “average daily balance (including new purchases)” unless Applicable Law does not prohibit a method called the “daily balance method.”  See your account agreement for more details.</w:t>
            </w:r>
          </w:p>
          <w:p w14:paraId="4F02688F" w14:textId="77777777" w:rsidR="007A7A32" w:rsidRPr="002E4F17" w:rsidRDefault="007A7A32" w:rsidP="008417FB">
            <w:pPr>
              <w:pStyle w:val="NoSpacing"/>
              <w:rPr>
                <w:rFonts w:ascii="Arial Narrow" w:hAnsi="Arial Narrow"/>
                <w:spacing w:val="-2"/>
                <w:w w:val="95"/>
              </w:rPr>
            </w:pPr>
            <w:r w:rsidRPr="00FA7488">
              <w:rPr>
                <w:rFonts w:ascii="Arial Narrow" w:hAnsi="Arial Narrow" w:cs="Times New Roman"/>
                <w:b/>
                <w:w w:val="95"/>
                <w:sz w:val="20"/>
                <w:szCs w:val="20"/>
              </w:rPr>
              <w:t xml:space="preserve">Billing Rights:  </w:t>
            </w:r>
            <w:r w:rsidRPr="00FA7488">
              <w:rPr>
                <w:rFonts w:ascii="Arial Narrow" w:hAnsi="Arial Narrow" w:cs="Times New Roman"/>
                <w:w w:val="95"/>
                <w:sz w:val="20"/>
                <w:szCs w:val="20"/>
              </w:rPr>
              <w:t>Information on your rights to dispute transactions and how to exercise those rights is provided in your account agreement.</w:t>
            </w:r>
          </w:p>
        </w:tc>
      </w:tr>
    </w:tbl>
    <w:p w14:paraId="4659ACF6" w14:textId="77777777" w:rsidR="004C1F50" w:rsidRDefault="004C1F50"/>
    <w:sectPr w:rsidR="004C1F50" w:rsidSect="007A7A3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hn Olmscheid" w:date="2024-12-09T10:14:00Z" w:initials="JO">
    <w:p w14:paraId="754784E1" w14:textId="77777777" w:rsidR="007A7A32" w:rsidRDefault="007A7A32" w:rsidP="007A7A32">
      <w:pPr>
        <w:pStyle w:val="CommentText"/>
      </w:pPr>
      <w:r>
        <w:rPr>
          <w:rStyle w:val="CommentReference"/>
        </w:rPr>
        <w:annotationRef/>
      </w:r>
      <w:r>
        <w:t>Updated to reflect change in fee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4784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14194" w16cex:dateUtc="2024-12-09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4784E1" w16cid:durableId="2B014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F5BE9"/>
    <w:multiLevelType w:val="hybridMultilevel"/>
    <w:tmpl w:val="430E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462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Olmscheid">
    <w15:presenceInfo w15:providerId="AD" w15:userId="S::jkol@preferredcredit.com::0dcb3b00-a71c-470d-9dd4-f9cd42ae2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R_DATA" w:val="&lt;25.1.0.85:119&gt;eJzNjDEOgzAMAPsUy3tCqYTEkIS3EHDaSMSpbEA8H5j6hd58d244ygI7iebKHlv7RCCe6pz57XFbk+lxCC7SKD/r1dlLtH2HsI9ieCuR5IoRhJKQfozSVHlWj6bF4L5SU15IoQmuuVfh8S+cKgUl4Q=="/>
    <w:docVar w:name="WR_METADATA_KEY" w:val="c6619b63-61c1-47d5-8862-e1ba767f5c81"/>
    <w:docVar w:name="WR_TAGPROCESSOR" w:val="2"/>
  </w:docVars>
  <w:rsids>
    <w:rsidRoot w:val="004C1F50"/>
    <w:rsid w:val="000E59B1"/>
    <w:rsid w:val="004C1F50"/>
    <w:rsid w:val="005A2B9B"/>
    <w:rsid w:val="007A7A32"/>
    <w:rsid w:val="008417FB"/>
    <w:rsid w:val="00A52667"/>
    <w:rsid w:val="00F4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2C99F-2F2E-4A4B-B7C6-87459626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32"/>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4C1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50"/>
    <w:rPr>
      <w:rFonts w:eastAsiaTheme="majorEastAsia" w:cstheme="majorBidi"/>
      <w:color w:val="272727" w:themeColor="text1" w:themeTint="D8"/>
    </w:rPr>
  </w:style>
  <w:style w:type="paragraph" w:styleId="Title">
    <w:name w:val="Title"/>
    <w:basedOn w:val="Normal"/>
    <w:next w:val="Normal"/>
    <w:link w:val="TitleChar"/>
    <w:uiPriority w:val="10"/>
    <w:qFormat/>
    <w:rsid w:val="004C1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50"/>
    <w:pPr>
      <w:spacing w:before="160"/>
      <w:jc w:val="center"/>
    </w:pPr>
    <w:rPr>
      <w:i/>
      <w:iCs/>
      <w:color w:val="404040" w:themeColor="text1" w:themeTint="BF"/>
    </w:rPr>
  </w:style>
  <w:style w:type="character" w:customStyle="1" w:styleId="QuoteChar">
    <w:name w:val="Quote Char"/>
    <w:basedOn w:val="DefaultParagraphFont"/>
    <w:link w:val="Quote"/>
    <w:uiPriority w:val="29"/>
    <w:rsid w:val="004C1F50"/>
    <w:rPr>
      <w:i/>
      <w:iCs/>
      <w:color w:val="404040" w:themeColor="text1" w:themeTint="BF"/>
    </w:rPr>
  </w:style>
  <w:style w:type="paragraph" w:styleId="ListParagraph">
    <w:name w:val="List Paragraph"/>
    <w:basedOn w:val="Normal"/>
    <w:uiPriority w:val="34"/>
    <w:qFormat/>
    <w:rsid w:val="004C1F50"/>
    <w:pPr>
      <w:ind w:left="720"/>
      <w:contextualSpacing/>
    </w:pPr>
  </w:style>
  <w:style w:type="character" w:styleId="IntenseEmphasis">
    <w:name w:val="Intense Emphasis"/>
    <w:basedOn w:val="DefaultParagraphFont"/>
    <w:uiPriority w:val="21"/>
    <w:qFormat/>
    <w:rsid w:val="004C1F50"/>
    <w:rPr>
      <w:i/>
      <w:iCs/>
      <w:color w:val="0F4761" w:themeColor="accent1" w:themeShade="BF"/>
    </w:rPr>
  </w:style>
  <w:style w:type="paragraph" w:styleId="IntenseQuote">
    <w:name w:val="Intense Quote"/>
    <w:basedOn w:val="Normal"/>
    <w:next w:val="Normal"/>
    <w:link w:val="IntenseQuoteChar"/>
    <w:uiPriority w:val="30"/>
    <w:qFormat/>
    <w:rsid w:val="004C1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50"/>
    <w:rPr>
      <w:i/>
      <w:iCs/>
      <w:color w:val="0F4761" w:themeColor="accent1" w:themeShade="BF"/>
    </w:rPr>
  </w:style>
  <w:style w:type="character" w:styleId="IntenseReference">
    <w:name w:val="Intense Reference"/>
    <w:basedOn w:val="DefaultParagraphFont"/>
    <w:uiPriority w:val="32"/>
    <w:qFormat/>
    <w:rsid w:val="004C1F50"/>
    <w:rPr>
      <w:b/>
      <w:bCs/>
      <w:smallCaps/>
      <w:color w:val="0F4761" w:themeColor="accent1" w:themeShade="BF"/>
      <w:spacing w:val="5"/>
    </w:rPr>
  </w:style>
  <w:style w:type="table" w:styleId="TableGrid">
    <w:name w:val="Table Grid"/>
    <w:basedOn w:val="TableNormal"/>
    <w:uiPriority w:val="59"/>
    <w:rsid w:val="007A7A3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7A32"/>
    <w:pPr>
      <w:spacing w:after="0" w:line="240" w:lineRule="auto"/>
    </w:pPr>
    <w:rPr>
      <w:kern w:val="0"/>
      <w:sz w:val="22"/>
      <w:szCs w:val="22"/>
      <w14:ligatures w14:val="none"/>
    </w:rPr>
  </w:style>
  <w:style w:type="character" w:styleId="CommentReference">
    <w:name w:val="annotation reference"/>
    <w:basedOn w:val="DefaultParagraphFont"/>
    <w:uiPriority w:val="99"/>
    <w:semiHidden/>
    <w:unhideWhenUsed/>
    <w:rsid w:val="007A7A32"/>
    <w:rPr>
      <w:sz w:val="16"/>
      <w:szCs w:val="16"/>
    </w:rPr>
  </w:style>
  <w:style w:type="paragraph" w:styleId="CommentText">
    <w:name w:val="annotation text"/>
    <w:basedOn w:val="Normal"/>
    <w:link w:val="CommentTextChar"/>
    <w:uiPriority w:val="99"/>
    <w:unhideWhenUsed/>
    <w:rsid w:val="007A7A32"/>
    <w:pPr>
      <w:spacing w:line="240" w:lineRule="auto"/>
    </w:pPr>
    <w:rPr>
      <w:sz w:val="20"/>
      <w:szCs w:val="20"/>
    </w:rPr>
  </w:style>
  <w:style w:type="character" w:customStyle="1" w:styleId="CommentTextChar">
    <w:name w:val="Comment Text Char"/>
    <w:basedOn w:val="DefaultParagraphFont"/>
    <w:link w:val="CommentText"/>
    <w:uiPriority w:val="99"/>
    <w:rsid w:val="007A7A32"/>
    <w:rPr>
      <w:kern w:val="0"/>
      <w:sz w:val="20"/>
      <w:szCs w:val="20"/>
      <w14:ligatures w14:val="none"/>
    </w:rPr>
  </w:style>
  <w:style w:type="character" w:customStyle="1" w:styleId="NoSpacingChar">
    <w:name w:val="No Spacing Char"/>
    <w:basedOn w:val="DefaultParagraphFont"/>
    <w:link w:val="NoSpacing"/>
    <w:uiPriority w:val="1"/>
    <w:rsid w:val="007A7A32"/>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Jackson</dc:creator>
  <cp:keywords/>
  <dc:description/>
  <cp:lastModifiedBy>Thom Jackson</cp:lastModifiedBy>
  <cp:revision>4</cp:revision>
  <dcterms:created xsi:type="dcterms:W3CDTF">2025-06-03T14:49:00Z</dcterms:created>
  <dcterms:modified xsi:type="dcterms:W3CDTF">2025-06-03T14:51:00Z</dcterms:modified>
</cp:coreProperties>
</file>