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C7942B"/>
          <w:sz w:val="68"/>
        </w:rPr>
        <w:t>M1</w:t>
      </w:r>
    </w:p>
    <w:p>
      <w:pPr>
        <w:pStyle w:val="Title"/>
        <w:jc w:val="center"/>
      </w:pPr>
      <w:r>
        <w:t>ORTAOKUL 1</w:t>
      </w:r>
    </w:p>
    <w:p>
      <w:pPr>
        <w:jc w:val="center"/>
      </w:pPr>
      <w:r>
        <w:rPr>
          <w:rFonts w:ascii="Aptos Display" w:hAnsi="Aptos Display"/>
          <w:b/>
          <w:color w:val="17365D"/>
          <w:sz w:val="36"/>
        </w:rPr>
        <w:t>36 Haftalık Risale-i Nur ve Pırlanta Yıllık Planı</w:t>
      </w:r>
    </w:p>
    <w:p>
      <w:pPr>
        <w:pStyle w:val="SubtitleSmall"/>
        <w:jc w:val="center"/>
      </w:pPr>
      <w:r>
        <w:t>Yılın ana basamağı: MERAK VE MUHABBET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8787"/>
            <w:shd w:fill="EAF0F7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6"/>
              </w:rPr>
              <w:t>“Merak ediyorum, dinliyorum, tanımak ve okumak istiyorum.”</w:t>
            </w:r>
          </w:p>
        </w:tc>
      </w:tr>
    </w:tbl>
    <w:p/>
    <w:p>
      <w:pPr>
        <w:jc w:val="center"/>
      </w:pPr>
      <w:r>
        <w:rPr>
          <w:color w:val="666666"/>
          <w:sz w:val="21"/>
        </w:rPr>
        <w:t>Ana kaynak: Risale-i Nur Külliyatı</w:t>
        <w:br/>
        <w:t>Tamamlayıcı kaynak: Hocaefendi / Pırlanta eser ve sohbetleri</w:t>
      </w:r>
    </w:p>
    <w:p>
      <w:r>
        <w:br w:type="page"/>
      </w:r>
    </w:p>
    <w:p>
      <w:pPr>
        <w:pStyle w:val="Heading1"/>
      </w:pPr>
      <w:r>
        <w:t>Yılın Temel Hedefi</w:t>
      </w:r>
    </w:p>
    <w:p>
      <w:pPr>
        <w:pStyle w:val="ListBullet"/>
      </w:pPr>
      <w:r>
        <w:t>Risale-i Nur’u tanıması ve metne karşı yabancılık hissinin azalması.</w:t>
      </w:r>
    </w:p>
    <w:p>
      <w:pPr>
        <w:pStyle w:val="ListBullet"/>
      </w:pPr>
      <w:r>
        <w:t>Bediüzzaman ve Hocaefendi ile güvenilir kaynaklar üzerinden sıcak bir ilk bağ kurması.</w:t>
      </w:r>
    </w:p>
    <w:p>
      <w:pPr>
        <w:pStyle w:val="ListBullet"/>
      </w:pPr>
      <w:r>
        <w:t>Kısa Risale metinlerini dinleyip okumaya başlaması; temsillerin ana fikrini kavraması.</w:t>
      </w:r>
    </w:p>
    <w:p>
      <w:pPr>
        <w:pStyle w:val="ListBullet"/>
      </w:pPr>
      <w:r>
        <w:t>İman, kulluk, zaman, emanet, tevekkül, tefekkür, dua, şükür, uhuvvet, ihlâs, gençlik ve ümit gibi temel değerlerle Risale üzerinden tanışması.</w:t>
      </w:r>
    </w:p>
    <w:p>
      <w:pPr>
        <w:pStyle w:val="ListBullet"/>
      </w:pPr>
      <w:r>
        <w:t>Yıl sonunda kendisine verilen kısa bir bölümü gönüllü biçimde açıp okumaya istek duyması.</w:t>
      </w:r>
    </w:p>
    <w:p>
      <w:pPr>
        <w:pStyle w:val="Heading2"/>
      </w:pPr>
      <w:r>
        <w:t>Yıl Boyunca Kullanılacak Okuma Yöntemi</w:t>
      </w:r>
    </w:p>
    <w:p>
      <w:pPr>
        <w:pStyle w:val="Callout"/>
        <w:jc w:val="center"/>
      </w:pPr>
      <w:r>
        <w:t>MERAK ET  →  OKU  →  SOR  →  ANLA  →  HAYATINLA İLİŞKİLENDİR</w:t>
      </w:r>
    </w:p>
    <w:p>
      <w:pPr>
        <w:pStyle w:val="Heading2"/>
      </w:pPr>
      <w:r>
        <w:t>Kaynak Kullanım İlkesi</w:t>
      </w:r>
    </w:p>
    <w:p>
      <w:r>
        <w:rPr>
          <w:b/>
        </w:rPr>
        <w:t xml:space="preserve">Risale-i Nur </w:t>
      </w:r>
      <w:r>
        <w:t xml:space="preserve">haftanın ana kaynağıdır. </w:t>
      </w:r>
      <w:r>
        <w:rPr>
          <w:b/>
        </w:rPr>
        <w:t xml:space="preserve">Hocaefendi / Pırlanta </w:t>
      </w:r>
      <w:r>
        <w:t>aynı konuyu destekleyen ikinci kaynak olarak kullanılır. İlk dört haftada merak uyandırmak amacıyla güvenilir dış değerlendirmelerden kısa kesitler de kullanılabilir. Haftalık ayrıntılı ders dosyalarında kullanılacak pasajlar hazır olarak yer alacak; asıl metin, kelime açıklamaları ve sadeleştirilmiş anlam birbirinden açık biçimde ayrılacaktır.</w:t>
      </w:r>
    </w:p>
    <w:p>
      <w:r>
        <w:rPr>
          <w:b/>
        </w:rPr>
        <w:t xml:space="preserve">Not: </w:t>
      </w:r>
      <w:r>
        <w:t>Sayfa numaraları baskıya göre değişebildiği için yıllık planda eser ve bölüm adı esas alınmıştır. Ayrıntılı haftalık dosyalarda kullanılacak baskı sabitlenerek sayfa numarası da eklenecektir.</w:t>
      </w:r>
    </w:p>
    <w:p>
      <w:pPr>
        <w:pStyle w:val="Heading1"/>
      </w:pPr>
      <w:r>
        <w:t>1. ÜNİTE — TANIŞMA VE MERAK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Bu eser neden hâlâ okunuyor?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 kadar farklı insanın yıllardır okuduğu, çoğalttığı ve araştırdığı bir eserde ne var?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Risale-i Nur’a giriş; Birinci Söz’den ilk temas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Bediüzzaman kimdir?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Bu eserlerin arkasında nasıl bir hayat ve ilim yolculuğu var?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Tarihçe-i Hayat — İlk Hayatı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Hocaefendi ve Risale-i Nur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insan bir eseri niçin hayatı boyunca tekrar tekrar okur?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Hocaefendi’nin Risale ile tanışma ve okuma bahisleri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Biz bu eserleri nasıl okuyacağız?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metni anlamadığımızda ne yapacağız?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Birinci Söz + okuma usulüne dair Pırlanta metinleri</w:t>
            </w:r>
          </w:p>
        </w:tc>
      </w:tr>
    </w:tbl>
    <w:p/>
    <w:p>
      <w:r>
        <w:br w:type="page"/>
      </w:r>
    </w:p>
    <w:p>
      <w:pPr>
        <w:pStyle w:val="Heading1"/>
      </w:pPr>
      <w:r>
        <w:t>2. ÜNİTE — BESMELE, İMAN VE KULLUK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1. Söz: Bismillah her hayrın başıdır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Bismillah yalnız söylenen bir kelime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Birinci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1. Söz: Allah namına hareket etmek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işi Allah namına yapmak davranışımızı değiştirir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Birinci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2. Söz: İman insanın bakışını değiştirir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Aynı dünyaya bakan iki insan neden tamamen farklı şeyler görebilir?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İkinci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3. Söz: İbadetin insana kazandırdığı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Allah’ın bizim ibadetimize ihtiyacı yoksa bizim ibadete niçin ihtiyacımız var?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Üçüncü Söz</w:t>
            </w:r>
          </w:p>
        </w:tc>
      </w:tr>
    </w:tbl>
    <w:p/>
    <w:p>
      <w:r>
        <w:br w:type="page"/>
      </w:r>
    </w:p>
    <w:p>
      <w:pPr>
        <w:pStyle w:val="Heading1"/>
      </w:pPr>
      <w:r>
        <w:t>3. ÜNİTE — ZAMAN, ÇALIŞMA VE EMANET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4. Söz: 24 saatlik sermaye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günümüz bize verilmiş bir sermaye olabilir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Dördüncü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5. Söz: Vazife ve çalışma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Dünyevî işlerimiz ile kulluk hayatımız birbirinin rakibi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Beşinci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6. Söz: Hayat bize mi ait?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Bedenimiz, zamanımız ve sahip olduklarımız tamamen bizim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Altıncı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6. Söz: Kabiliyetlerimizi ne için kullanıyoruz?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kabiliyetin kıymetini onu ne için kullandığımız belirler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Altıncı Söz</w:t>
            </w:r>
          </w:p>
        </w:tc>
      </w:tr>
    </w:tbl>
    <w:p/>
    <w:p>
      <w:r>
        <w:br w:type="page"/>
      </w:r>
    </w:p>
    <w:p>
      <w:pPr>
        <w:pStyle w:val="Heading1"/>
      </w:pPr>
      <w:r>
        <w:t>4. ÜNİTE — GÜVEN, ACZİYET VE DÜNYAYA BAKIŞ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7. Söz: İnsan her şeye yetişebilir mi?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Her şeye gücümüzün yetmemesi yalnızca bir eksiklik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Yedinci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7. Söz: Tevekkül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Tevekkül çalışmayı bırakıp beklemek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Yedinci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8. Söz: Aynı dünya, iki farklı bakış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Yaşadığımız olay değişmeden, ona bakışımız değişebilir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Sekizinci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Tefekkür: Bakmak ile görmek aynı şey mi?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Her gün gördüğümüz şeyleri gerçekten görüyor muyuz?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On Birinci Söz; Pırlanta’da tefekkür bahisleri</w:t>
            </w:r>
          </w:p>
        </w:tc>
      </w:tr>
    </w:tbl>
    <w:p/>
    <w:p>
      <w:r>
        <w:br w:type="page"/>
      </w:r>
    </w:p>
    <w:p>
      <w:pPr>
        <w:pStyle w:val="Heading1"/>
      </w:pPr>
      <w:r>
        <w:t>5. ÜNİTE — KÂİNAT, İNSAN VE İMANIN DEĞERİ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17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11. Söz: Kâinat bir saray gibi okunabilir mi?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sanat eseri bize sanatçısı hakkında bir şey söyler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 Birinci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11. Söz: İnsan bu dünyada niçin var?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yalnızca yemek, eğlenmek, çalışmak ve yaşlanmak için mi yaratılmıştır?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On Birinci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23. Söz: İman insana ne kazandırır?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İnsanın gerçek kıymeti nereden gelir?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Yirmi Üçüncü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23. Söz: Kendime nasıl bakıyorum?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Kendimi yalnızca notum, görünüşüm veya insanların düşünceleriyle değerlendirirsem ne olur?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Yirmi Üçüncü Söz</w:t>
            </w:r>
          </w:p>
        </w:tc>
      </w:tr>
    </w:tbl>
    <w:p/>
    <w:p>
      <w:r>
        <w:br w:type="page"/>
      </w:r>
    </w:p>
    <w:p>
      <w:pPr>
        <w:pStyle w:val="Heading1"/>
      </w:pPr>
      <w:r>
        <w:t>6. ÜNİTE — DUA, ŞÜKÜR VE İBADETİN MANASI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21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Acziyet: İhtiyaçlarımız bize ne öğretir?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İhtiyaçlarımız olmasaydı Allah’a yönelmeyi öğrenebilir miydik?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Yedinci Söz; Yirmi Üçüncü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Dua: İnsan niçin dua eder?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Dua ettiğimiz her şeyin aynen gerçekleşmesi mi duanın kabulüdür?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Risale-i Nur’daki dua bahisleri; Yirmi Üçüncü Söz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23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Şükür: Nimeti görmek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nimete sahip olmakla onun kıymetini fark etmek aynı şey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Mektubat — Şükür Risalesi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24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9. Söz: Namazın manası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Namaz yalnızca yapılması gereken bir görev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Dokuzuncu Söz</w:t>
            </w:r>
          </w:p>
        </w:tc>
      </w:tr>
    </w:tbl>
    <w:p/>
    <w:p>
      <w:r>
        <w:br w:type="page"/>
      </w:r>
    </w:p>
    <w:p>
      <w:pPr>
        <w:pStyle w:val="Heading1"/>
      </w:pPr>
      <w:r>
        <w:t>7. ÜNİTE — UHUvVET VE ARKADAŞLIK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25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Anne-Baba Hakkı: Beni Büyüten İnsanlara Nasıl Karşılık Veririm?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Anne-babamın emeğine karşı sadece “teşekkür ederim” demek yeterli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Otuz İkinci Söz; Lem’alar — Yirmi Dördüncü Lem’a; Hocaefendi — “Anne-baba hakkı” vaazı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8"/>
              </w:rPr>
              <w:t>26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Kusur Bütün İyilikleri Siler mi? — Gemi Temsili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arkadaşımızın tek bir kötü davranışı onun bütün güzel yönlerini yok eder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Mektubat — Yirmi İkinci Mektup / Uhuvvet Risalesi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Gıybet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Söylediğimiz şey doğruysa yine de gıybet olabilir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İkinci Mektup — Hâtime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Affetmek ve kardeşliği korumak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Affetmek yapılan yanlışın doğru olduğunu kabul etmek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Mektubat — Yirmi İkinci Mektup</w:t>
            </w:r>
          </w:p>
        </w:tc>
      </w:tr>
    </w:tbl>
    <w:p/>
    <w:p>
      <w:r>
        <w:br w:type="page"/>
      </w:r>
    </w:p>
    <w:p>
      <w:pPr>
        <w:pStyle w:val="Heading1"/>
      </w:pPr>
      <w:r>
        <w:t>8. ÜNİTE — İHLÂS, NİYET VE GENÇLİK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İhlâs: Bir işi kimin için yapıyorum?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Kimse beni görmese aynı iyiliği yapar mıydım?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Birinci Lem’a / İhlâs Risalesi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Beğenilme ve görünme isteği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İnsanların beni beğenmesi yaptığım iyiliğin sebebi hâline gelirse ne değişir?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Lem’alar — Yirmi Birinci Lem’a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Rekabet, kıskançlık ve haset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Başkasının başarılı olması benim başarısız olduğum anlamına gelir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Birinci Lem’a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32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Gençlik Rehberi: Helal dairesi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Özgür olmak istediğimiz her şeyi yapmak mıdır?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</w:tbl>
    <w:p/>
    <w:p>
      <w:r>
        <w:br w:type="page"/>
      </w:r>
    </w:p>
    <w:p>
      <w:pPr>
        <w:pStyle w:val="Heading1"/>
      </w:pPr>
      <w:r>
        <w:t>9. ÜNİTE — GENÇLİK, ÜMİT VE KENDİ BAŞINA OKUMA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2891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Ders Konusu</w:t>
            </w:r>
          </w:p>
        </w:tc>
        <w:tc>
          <w:tcPr>
            <w:tcW w:type="dxa" w:w="3855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Soru</w:t>
            </w:r>
          </w:p>
        </w:tc>
        <w:tc>
          <w:tcPr>
            <w:tcW w:type="dxa" w:w="2268"/>
            <w:shd w:fill="17365D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 Kaynak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33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Gençlik bir sermayedir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neden bir sermaye olarak görülebilir?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34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Ümitsizlik ve ümit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Ümit yalnız “her şey iyi olacak” diye düşünmek midir?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Hutbe-i Şamiye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35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 kendim bir Risale konusu seçiyorum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Ben gerçekten hangi konuyu biraz daha okumak istiyorum?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Yıl boyunca işlenen ilgili Risale bölümleri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36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 artık nasıl okuyacağım?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Bu dersler bittiğinde bu kitaplarla ilişkim de bitecek mi?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Öğrencinin seçtiği Risale metni + okuma usulü Pırlanta bahisleri</w:t>
            </w:r>
          </w:p>
        </w:tc>
      </w:tr>
    </w:tbl>
    <w:p/>
    <w:p>
      <w:r>
        <w:br w:type="page"/>
      </w:r>
    </w:p>
    <w:p>
      <w:pPr>
        <w:pStyle w:val="Heading1"/>
      </w:pPr>
      <w:r>
        <w:t>Yıllık Gelişim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Dönem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Gelişim Basamağı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1–4.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TANIYORUM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Risale-i Nur, Bediüzzaman ve Hocaefendi ile ilk bağ.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5–12.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TEMEL KAVRAMLARLA TANIŞIYORUM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Besmele, iman, ibadet, zaman, vazife ve emanet.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13–20.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DÜNYAYA VE KENDİME FARKLI BAKIYORUM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Tevekkül, tefekkür, kâinat, insan ve imanın değeri.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21–28.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DUYGULARIM VE İLİŞKİLERİMLE BAĞ KURUYORUM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Dua, şükür, ibadet, uhuvvet, gıybet ve affetmek.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29–34.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İÇ DÜNYAMI FARK EDİYORUM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Niyet, ihlâs, beğenilme isteği, gençlik ve ümit.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35–36.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KENDİM OKUMAYA İLK ADIMI ATIYORUM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Konu seçimi ve kişisel okuma hedefi.</w:t>
            </w:r>
          </w:p>
        </w:tc>
      </w:tr>
    </w:tbl>
    <w:p/>
    <w:p>
      <w:pPr>
        <w:pStyle w:val="Heading2"/>
      </w:pPr>
      <w:r>
        <w:t>Yıl Sonu Başarı Cümlesi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“Risale-i Nur bana yabancı gelmiyor. Bazı temsilleri ve konuları biliyorum. Merak ettiğimde kısa bir bölümü açıp okumak istiyorum.”</w:t>
            </w:r>
          </w:p>
        </w:tc>
      </w:tr>
    </w:tbl>
    <w:p>
      <w:pPr>
        <w:pStyle w:val="Heading1"/>
      </w:pPr>
      <w:r>
        <w:t>Haftalık Ders Dosyaları Hazırlanırken</w:t>
      </w:r>
    </w:p>
    <w:p>
      <w:pPr>
        <w:pStyle w:val="ListNumber"/>
      </w:pPr>
      <w:r>
        <w:t>Merak uyandıran giriş</w:t>
      </w:r>
    </w:p>
    <w:p>
      <w:pPr>
        <w:pStyle w:val="ListNumber"/>
      </w:pPr>
      <w:r>
        <w:t>15–20 dakikalık hazır abi/abla anlatımı</w:t>
      </w:r>
    </w:p>
    <w:p>
      <w:pPr>
        <w:pStyle w:val="ListNumber"/>
      </w:pPr>
      <w:r>
        <w:t>Risale-i Nur’dan seçilmiş aslî metin — dosyanın içinde hazır</w:t>
      </w:r>
    </w:p>
    <w:p>
      <w:pPr>
        <w:pStyle w:val="ListNumber"/>
      </w:pPr>
      <w:r>
        <w:t>Zor kelimeler ve kavramlar</w:t>
      </w:r>
    </w:p>
    <w:p>
      <w:pPr>
        <w:pStyle w:val="ListNumber"/>
      </w:pPr>
      <w:r>
        <w:t>Sadeleştirilmiş anlam</w:t>
      </w:r>
    </w:p>
    <w:p>
      <w:pPr>
        <w:pStyle w:val="ListNumber"/>
      </w:pPr>
      <w:r>
        <w:t>Metnin ana fikirleri</w:t>
      </w:r>
    </w:p>
    <w:p>
      <w:pPr>
        <w:pStyle w:val="ListNumber"/>
      </w:pPr>
      <w:r>
        <w:t>Hocaefendi/Pırlanta’dan seçilmiş aslî metin — dosyanın içinde hazır</w:t>
      </w:r>
    </w:p>
    <w:p>
      <w:pPr>
        <w:pStyle w:val="ListNumber"/>
      </w:pPr>
      <w:r>
        <w:t>Gerekirse sadeleştirilmiş açıklama</w:t>
      </w:r>
    </w:p>
    <w:p>
      <w:pPr>
        <w:pStyle w:val="ListNumber"/>
      </w:pPr>
      <w:r>
        <w:t>Varsa hazır ses/video kesiti ve dakika bilgisi</w:t>
      </w:r>
    </w:p>
    <w:p>
      <w:pPr>
        <w:pStyle w:val="ListNumber"/>
      </w:pPr>
      <w:r>
        <w:t>Müzakere soruları</w:t>
      </w:r>
    </w:p>
    <w:p>
      <w:pPr>
        <w:pStyle w:val="ListNumber"/>
      </w:pPr>
      <w:r>
        <w:t>Abi/abla için yönlendirme ve kısa cevap anahtarı</w:t>
      </w:r>
    </w:p>
    <w:p>
      <w:pPr>
        <w:pStyle w:val="ListNumber"/>
      </w:pPr>
      <w:r>
        <w:t>Haftalık küçük uygulama</w:t>
      </w:r>
    </w:p>
    <w:p>
      <w:pPr>
        <w:pStyle w:val="ListNumber"/>
      </w:pPr>
      <w:r>
        <w:t>Bir sonraki haftaya köprü</w:t>
      </w:r>
    </w:p>
    <w:p>
      <w:pPr>
        <w:pStyle w:val="ListNumber"/>
      </w:pPr>
      <w:r>
        <w:t>Tam kaynakça: eser, bölüm, baskı ve mümkünse sayfa</w:t>
      </w:r>
    </w:p>
    <w:p>
      <w:pPr>
        <w:pStyle w:val="Heading2"/>
      </w:pPr>
      <w:r>
        <w:t>Kaynak Metin İlkesi</w:t>
      </w:r>
    </w:p>
    <w:p>
      <w:r>
        <w:rPr>
          <w:b/>
        </w:rPr>
        <w:t xml:space="preserve">ASLÎ METİN </w:t>
      </w:r>
      <w:r>
        <w:t xml:space="preserve">ile </w:t>
      </w:r>
      <w:r>
        <w:rPr>
          <w:b/>
        </w:rPr>
        <w:t xml:space="preserve">SADELEŞTİRİLMİŞ ANLAM </w:t>
      </w:r>
      <w:r>
        <w:t>kesinlikle birbirine karıştırılmayacaktır. Haftalık dosyada her ikisi ayrı başlık altında gösterilecek; abi/abla kaynak araştırmak zorunda kalmadan dersi işleyebilecek, isteyen kişi kaynakçadan asıl eserin daha geniş bölümüne ulaşabilecektir.</w:t>
      </w:r>
    </w:p>
    <w:p>
      <w:r>
        <w:br w:type="page"/>
      </w:r>
    </w:p>
    <w:p>
      <w:pPr>
        <w:pStyle w:val="Heading1"/>
      </w:pPr>
      <w:r>
        <w:t>Anne-Baba ve Büyüklere Hürmet Gelişim Hattı</w:t>
      </w:r>
    </w:p>
    <w:p>
      <w:r>
        <w:rPr>
          <w:b/>
        </w:rPr>
        <w:t xml:space="preserve">Bu konu tek bir ahlâk haftası olarak bırakılmayacaktır. </w:t>
      </w:r>
      <w:r>
        <w:t>Her kademede yaşa göre derinleşecek; ayrıca uygun başka derslerde kısa hatırlatmalarla yeniden temas edilecektir.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t>Boyut</w:t>
            </w:r>
          </w:p>
        </w:tc>
        <w:tc>
          <w:tcPr>
            <w:tcW w:type="dxa" w:w="5156"/>
            <w:shd w:fill="17365D"/>
          </w:tcPr>
          <w:p>
            <w:r>
              <w:t>İçerik</w:t>
            </w:r>
          </w:p>
        </w:tc>
      </w:tr>
      <w:tr>
        <w:tc>
          <w:tcPr>
            <w:tcW w:type="dxa" w:w="5156"/>
          </w:tcPr>
          <w:p>
            <w:r>
              <w:t>M1 odağı</w:t>
            </w:r>
          </w:p>
        </w:tc>
        <w:tc>
          <w:tcPr>
            <w:tcW w:type="dxa" w:w="5156"/>
          </w:tcPr>
          <w:p>
            <w:r>
              <w:t>Şükür, emek farkındalığı, güzel konuşmak, “öf” dememek, anne-babaya küçük hizmetler.</w:t>
            </w:r>
          </w:p>
        </w:tc>
      </w:tr>
      <w:tr>
        <w:tc>
          <w:tcPr>
            <w:tcW w:type="dxa" w:w="5156"/>
          </w:tcPr>
          <w:p>
            <w:r>
              <w:t>Ana soru</w:t>
            </w:r>
          </w:p>
        </w:tc>
        <w:tc>
          <w:tcPr>
            <w:tcW w:type="dxa" w:w="5156"/>
          </w:tcPr>
          <w:p>
            <w:r>
              <w:t>“Beni büyüten insanların emeğine karşı günlük hayatımda nasıl teşekkür ederim?”</w:t>
            </w:r>
          </w:p>
        </w:tc>
      </w:tr>
      <w:tr>
        <w:tc>
          <w:tcPr>
            <w:tcW w:type="dxa" w:w="5156"/>
          </w:tcPr>
          <w:p>
            <w:r>
              <w:t>Risale damarı</w:t>
            </w:r>
          </w:p>
        </w:tc>
        <w:tc>
          <w:tcPr>
            <w:tcW w:type="dxa" w:w="5156"/>
          </w:tcPr>
          <w:p>
            <w:r>
              <w:t>Otuz İkinci Söz: anne-babaya hürmet ve muhabbet; Yirmi Dördüncü Lem’a: annenin şefkati ve terbiyesi.</w:t>
            </w:r>
          </w:p>
        </w:tc>
      </w:tr>
      <w:tr>
        <w:tc>
          <w:tcPr>
            <w:tcW w:type="dxa" w:w="5156"/>
          </w:tcPr>
          <w:p>
            <w:r>
              <w:t>Hocaefendi damarı</w:t>
            </w:r>
          </w:p>
        </w:tc>
        <w:tc>
          <w:tcPr>
            <w:tcW w:type="dxa" w:w="5156"/>
          </w:tcPr>
          <w:p>
            <w:r>
              <w:t>“Anne-baba hakkı” Hisar Camii vaazı: anne-babayı sevindirme, hizmet etme, haklarını küçümsememe.</w:t>
            </w:r>
          </w:p>
        </w:tc>
      </w:tr>
    </w:tbl>
    <w:p>
      <w:r>
        <w:t>Kaynak omurgası:</w:t>
      </w:r>
    </w:p>
    <w:p>
      <w:pPr>
        <w:pStyle w:val="ListBullet"/>
      </w:pPr>
      <w:r>
        <w:t>Bediüzzaman Said Nursî, Lem’alar, Yirmi Dördüncü Lem’a, çevrim içi s. 202 — annenin ilk ve tesirli muallim oluşu.</w:t>
      </w:r>
    </w:p>
    <w:p>
      <w:pPr>
        <w:pStyle w:val="ListBullet"/>
      </w:pPr>
      <w:r>
        <w:t>Bediüzzaman Said Nursî, Sözler, Otuz İkinci Söz, çevrim içi s. 583 — anne-babaya hürmet ve ihtiyarlıkta daha fazla şefkat.</w:t>
      </w:r>
    </w:p>
    <w:p>
      <w:pPr>
        <w:pStyle w:val="ListBullet"/>
      </w:pPr>
      <w:r>
        <w:t>Fethullah Gülen, “Anne-baba hakkı”, Hisar Camii vaazı, 26 Mayıs 1991.</w:t>
      </w:r>
    </w:p>
    <w:p>
      <w:pPr>
        <w:pStyle w:val="ListBullet"/>
      </w:pPr>
      <w:r>
        <w:t>Fethullah Gülen, Bahar Neşidesi, “Anne-Baba Hakkı ve Hizmet”.</w:t>
      </w:r>
    </w:p>
    <w:p>
      <w:pPr>
        <w:pStyle w:val="Heading1"/>
      </w:pPr>
      <w:r>
        <w:t>Hazır Görsel ve Kısa Video İlkesi</w:t>
      </w:r>
    </w:p>
    <w:p>
      <w:r>
        <w:rPr>
          <w:b/>
        </w:rPr>
        <w:t xml:space="preserve">Bundan sonraki her ayrıntılı haftalık dosyada öğretmenin ayrıca arama yapmasına gerek kalmayacak şekilde </w:t>
      </w:r>
      <w:r>
        <w:t>en az bir hazır açılış görseli, mümkünse bir kısa özgün ses/video kesiti ve bir gerçek belge/arsiv bağlantısı verilecektir.</w:t>
      </w:r>
    </w:p>
    <w:p>
      <w:pPr>
        <w:pStyle w:val="ListBullet"/>
      </w:pPr>
      <w:r>
        <w:t>Açılış görseli 30–60 saniye sessiz gösterilir; tek bir merak sorusu sorulur.</w:t>
      </w:r>
    </w:p>
    <w:p>
      <w:pPr>
        <w:pStyle w:val="ListBullet"/>
      </w:pPr>
      <w:r>
        <w:t>Video kesiti genel olarak 1–6 dakika tutulur; dersin ana metninin yerini almaz.</w:t>
      </w:r>
    </w:p>
    <w:p>
      <w:pPr>
        <w:pStyle w:val="ListBullet"/>
      </w:pPr>
      <w:r>
        <w:t>Kesit mümkünse asıl eserin/vaazın devamını merak ettirecek yerde kesilir.</w:t>
      </w:r>
    </w:p>
    <w:p>
      <w:pPr>
        <w:pStyle w:val="ListBullet"/>
      </w:pPr>
      <w:r>
        <w:t>Film ve animasyonlar “dramatizasyon/temsili anlatım” diye etiketlenir; tarihî belge yerine kullanılmaz.</w:t>
      </w:r>
    </w:p>
    <w:p>
      <w:pPr>
        <w:pStyle w:val="ListBullet"/>
      </w:pPr>
      <w:r>
        <w:t>Yapay zekâ ile hazırlanmış görseller “temsili görsel — tarihî fotoğraf değildir” diye açıkça belirtilir.</w:t>
      </w:r>
    </w:p>
    <w:p>
      <w:pPr>
        <w:pStyle w:val="ListBullet"/>
      </w:pPr>
      <w:r>
        <w:t>Gerçek arşiv belgesi varsa dosyada doğrudan erişim bağlantısı verilir.</w:t>
      </w:r>
    </w:p>
    <w:p>
      <w:pPr>
        <w:pStyle w:val="Heading2"/>
      </w:pPr>
      <w:r>
        <w:t>Altı Yıllık Anne-Baba Hakkı Derinleşme Çizgisi</w:t>
      </w:r>
    </w:p>
    <w:p>
      <w:pPr>
        <w:pStyle w:val="ListBullet"/>
      </w:pPr>
      <w:r>
        <w:t>M1: Teşekkür, sevgi, güzel söz, küçük hizmet.</w:t>
      </w:r>
    </w:p>
    <w:p>
      <w:pPr>
        <w:pStyle w:val="ListBullet"/>
      </w:pPr>
      <w:r>
        <w:t>M2: Görünmeyen emek, kırmamak, vefa ve büyüklere hürmet.</w:t>
      </w:r>
    </w:p>
    <w:p>
      <w:pPr>
        <w:pStyle w:val="ListBullet"/>
      </w:pPr>
      <w:r>
        <w:t>M3: Fikir ayrılığı ve bağımsızlaşma içinde saygıyı korumak.</w:t>
      </w:r>
    </w:p>
    <w:p>
      <w:pPr>
        <w:pStyle w:val="ListBullet"/>
      </w:pPr>
      <w:r>
        <w:t>Lise 1: İtaatin sınırı, yanlış talep karşısında nezaket, “ma‘ruf ile muamele”.</w:t>
      </w:r>
    </w:p>
    <w:p>
      <w:pPr>
        <w:pStyle w:val="ListBullet"/>
      </w:pPr>
      <w:r>
        <w:t>Lise 2: Yaşlanan ebeveyne bakım, vefa, dua ve fedakârlık.</w:t>
      </w:r>
    </w:p>
    <w:p>
      <w:pPr>
        <w:pStyle w:val="ListBullet"/>
      </w:pPr>
      <w:r>
        <w:t>Lise 3: Evden bağımsızlaşırken bağı sürdürmek; gelecekte aile ve ebeveynlik sorumluluğu.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M1 — Ortaokul 1 | Risale-i Nur ve Pırlanta Yıllık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73"/>
        <w:sz w:val="16"/>
      </w:rPr>
      <w:t>M1 • Yıllık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Small"/>
    <w:pPr>
      <w:spacing w:after="160"/>
    </w:pPr>
    <w:rPr>
      <w:rFonts w:ascii="Aptos" w:hAnsi="Aptos"/>
      <w:color w:val="666666"/>
      <w:sz w:val="24"/>
    </w:rPr>
  </w:style>
  <w:style w:type="paragraph" w:customStyle="1" w:styleId="Callout">
    <w:name w:val="Callout"/>
    <w:pPr>
      <w:spacing w:after="120"/>
    </w:pPr>
    <w:rPr>
      <w:rFonts w:ascii="Aptos" w:hAnsi="Aptos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