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rFonts w:ascii="Aptos Display" w:hAnsi="Aptos Display"/>
          <w:b/>
          <w:color w:val="B8862E"/>
          <w:sz w:val="68"/>
        </w:rPr>
        <w:t>M4</w:t>
      </w:r>
    </w:p>
    <w:p>
      <w:pPr>
        <w:pStyle w:val="Title"/>
        <w:jc w:val="center"/>
      </w:pPr>
      <w:r>
        <w:t>LİSE 1</w:t>
      </w:r>
    </w:p>
    <w:p>
      <w:pPr>
        <w:jc w:val="center"/>
      </w:pPr>
      <w:r>
        <w:rPr>
          <w:rFonts w:ascii="Aptos Display" w:hAnsi="Aptos Display"/>
          <w:b/>
          <w:color w:val="17365D"/>
          <w:sz w:val="36"/>
        </w:rPr>
        <w:t>36 Haftalık Risale-i Nur ve Pırlanta Yıllık Planı</w:t>
      </w:r>
    </w:p>
    <w:p>
      <w:pPr>
        <w:pStyle w:val="SubtitleSmall"/>
        <w:jc w:val="center"/>
      </w:pPr>
      <w:r>
        <w:t>Yılın ana basamağı: İHTİYAÇ HİSSETME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3F8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3"/>
              </w:rPr>
              <w:t>“Sorularım ve ihtiyaçlarım için bu kaynaklara kendim başvuruyorum.”</w:t>
            </w:r>
          </w:p>
        </w:tc>
      </w:tr>
    </w:tbl>
    <w:p/>
    <w:p>
      <w:pPr>
        <w:jc w:val="center"/>
      </w:pPr>
      <w:r>
        <w:rPr>
          <w:color w:val="666666"/>
          <w:sz w:val="21"/>
        </w:rPr>
        <w:t>Ana kaynak: Risale-i Nur Külliyatı</w:t>
        <w:br/>
        <w:t>Tamamlayıcı kaynak: Hocaefendi / Pırlanta eser ve sohbetleri</w:t>
      </w:r>
    </w:p>
    <w:p>
      <w:r>
        <w:br w:type="page"/>
      </w:r>
    </w:p>
    <w:p>
      <w:pPr>
        <w:pStyle w:val="Heading1"/>
      </w:pPr>
      <w:r>
        <w:t>Yılın Temel Hedefi</w:t>
      </w:r>
    </w:p>
    <w:p>
      <w:pPr>
        <w:pStyle w:val="ListBullet"/>
      </w:pPr>
      <w:r>
        <w:t>Öğrencinin Risale-i Nur ve Hocaefendi/Pırlanta kaynaklarını yalnız ders materyali değil, kendi imanî ve ahlâkî sorularında başvurabileceği kaynaklar olarak görmeye başlaması.</w:t>
      </w:r>
    </w:p>
    <w:p>
      <w:pPr>
        <w:pStyle w:val="ListBullet"/>
      </w:pPr>
      <w:r>
        <w:t>Daha önce M1–M3 programlarından geçmiş olma şartı aranmadan, ilk dört haftada ortak bir tanışma ve kaynak kullanma zemini oluşturulması.</w:t>
      </w:r>
    </w:p>
    <w:p>
      <w:pPr>
        <w:pStyle w:val="ListBullet"/>
      </w:pPr>
      <w:r>
        <w:t>Bir soruyu anahtar kavramlara ayırabilmesi ve uygun eser/bölüm aramaya başlaması.</w:t>
      </w:r>
    </w:p>
    <w:p>
      <w:pPr>
        <w:pStyle w:val="ListBullet"/>
      </w:pPr>
      <w:r>
        <w:t>Bulduğu metni bağlamından koparmadan okuyup ana fikrini kendi cümleleriyle açıklayabilmesi.</w:t>
      </w:r>
    </w:p>
    <w:p>
      <w:pPr>
        <w:pStyle w:val="ListBullet"/>
      </w:pPr>
      <w:r>
        <w:t>Tevhid, tabiat ve sebepler, ahiret, kader-irade, ene/benlik, dua-şükür, anne-baba hakkı, uhuvvet ve ihlâs gibi başlıklarda kaynak merkezli düşünmesi.</w:t>
      </w:r>
    </w:p>
    <w:p>
      <w:pPr>
        <w:pStyle w:val="ListBullet"/>
      </w:pPr>
      <w:r>
        <w:t>Hocaefendi’nin metin ve sohbetlerini aynı konunun ikinci okuma penceresi olarak kullanabilmesi.</w:t>
      </w:r>
    </w:p>
    <w:p>
      <w:pPr>
        <w:pStyle w:val="ListBullet"/>
      </w:pPr>
      <w:r>
        <w:t>Yıl sonunda gerçek bir sorusu için Risale ve Pırlanta’dan kaynak bulup, iki kaynağın söylediğini karşılaştırarak kısa bir değerlendirme yapabilmesi.</w:t>
      </w:r>
    </w:p>
    <w:p>
      <w:pPr>
        <w:pStyle w:val="Heading2"/>
      </w:pPr>
      <w:r>
        <w:t>Başlangıç İlkesi</w:t>
      </w:r>
    </w:p>
    <w:p>
      <w:r>
        <w:rPr>
          <w:b/>
        </w:rPr>
        <w:t xml:space="preserve">M4 öğrencisinin daha önce M1–M3 müfredatını gördüğü varsayılmayacaktır. </w:t>
      </w:r>
      <w:r>
        <w:t>İlk dört hafta, lise seviyesine uygun biçimde Risale-i Nur’un hangi tür sorulara cevap aradığı, Bediüzzaman’ın çağının iman meselelerine yaklaşımı, Hocaefendi’nin kaynakla kurduğu ilişki ve öğrencinin kendi sorusundan kaynağa nasıl gideceği üzerinde durur.</w:t>
      </w:r>
    </w:p>
    <w:p>
      <w:pPr>
        <w:pStyle w:val="Heading2"/>
      </w:pPr>
      <w:r>
        <w:t>Bu Yılın Kaynak Kullanma Yöntemi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4F4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3"/>
              </w:rPr>
              <w:t>SORU → ANAHTAR KAVRAM → ESER / BÖLÜM → ASLÎ METİN → BAĞLAM → KENDİ CÜMLENLE ÖZET → İKİNCİ KAYNAKLA KARŞILAŞTIR</w:t>
            </w:r>
          </w:p>
        </w:tc>
      </w:tr>
    </w:tbl>
    <w:p>
      <w:r>
        <w:rPr>
          <w:b/>
        </w:rPr>
        <w:t xml:space="preserve">Haftalık temel soru: </w:t>
      </w:r>
      <w:r>
        <w:t>“Bu mesele için hangi kaynağa başvurabilirim ve bulduğum metin gerçekten ne söylüyor?”</w:t>
      </w:r>
    </w:p>
    <w:p>
      <w:pPr>
        <w:pStyle w:val="Heading1"/>
      </w:pPr>
      <w:r>
        <w:t>1. ÜNİTE — KAYNAKLA TANIŞMA VE İHTİYAÇ HİSSETME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Bir Kitap Ne Zaman 'Kaynak' Olur?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 kitabı sadece okumakla, bir sorumuz olduğunda ona başvurmak arasında ne fark vardır?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Risale-i Nur’dan seçilmiş giriş metinleri; Pırlanta’da okuma ve kaynakla ilişki bahisleri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Bediüzzaman: Çağın İman Sorularına Neden Yöneldi?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Bir düşünür kendi döneminin hangi sorularını merkeze alır ve neden?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Tarihçe-i Hayat; Risale-i Nur’un iman hizmetine dair bahisler; uygun dış/akademik tanıtım kaynakları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Hocaefendi: Bir Kaynakla Yıllarca Nasıl Yaşanır?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 eser insanın düşünce ve hayat dünyasında nasıl sürekli başvurulan bir kaynağa dönüşür?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Hocaefendi’nin Risale-i Nur’la ilişkisi; Pırlanta’da okuma ve tekrar okuma bahisleri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Sorudan Kaynağa: Aradığımı Nasıl Bulurum?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Aklımdaki bir soruyu Risale veya Pırlanta’da aramak için hangi adımları izlemeliyim?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Dijital külliyat / indeks kullanımı; kısa uygulamalı kaynak arama</w:t>
            </w:r>
          </w:p>
        </w:tc>
      </w:tr>
    </w:tbl>
    <w:p>
      <w:r>
        <w:br w:type="page"/>
      </w:r>
    </w:p>
    <w:p>
      <w:pPr>
        <w:pStyle w:val="Heading1"/>
      </w:pPr>
      <w:r>
        <w:t>2. ÜNİTE — TEVHİD: DAĞINIK GÖRÜNEN ÂLEMDE BİRLİK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Tevhid Neden Sadece 'Allah Birdir' Demek Değildir?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Tevhid bir cümleden dünya görüşüne nasıl dönüşür?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Risale-i Nur’da tevhid bahisleri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Kâinatı Bir Kitap Gibi Okumak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Varlıklar bize yalnız kendilerini mi gösterir, yoksa daha büyük bir manaya işaret eder mi?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Otuz Üçüncü Söz ve ilgili tefekkür bahisleri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7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Allah’a İntisap ve İç Hürriyet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İnsan kime ait olduğunu bildiğinde korku ve bağımlılıkları nasıl değişebilir?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Yirmi Üçüncü Söz ve intisap bahisleri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Korkular, İhtiyaçlar ve Güven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İnsan her şeye yetemediğini fark ettiğinde neye dayanır?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Yedinci Söz; dua ve tevekkül bahisleri</w:t>
            </w:r>
          </w:p>
        </w:tc>
      </w:tr>
    </w:tbl>
    <w:p>
      <w:r>
        <w:br w:type="page"/>
      </w:r>
    </w:p>
    <w:p>
      <w:pPr>
        <w:pStyle w:val="Heading1"/>
      </w:pPr>
      <w:r>
        <w:t>3. ÜNİTE — TABİAT, KANUNLAR VE SEBEPLER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9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“Tabiat Yapıyor” Demek Ne Demektir?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 olayın nasıl gerçekleştiğini söylemek, onu kimin yaptığı sorusunu cevaplar mı?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Lem’alar — Yirmi Üçüncü Lem’a / Tabiat Risalesi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10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Kanun ile Kanun Koyucu Aynı Şey mi?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Bir tabiat kanunu açıklama mıdır, yoksa düzenin adını mı verir?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Tabiat Risalesi; ilgili tevhid bahisleri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11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Sebeplerin Gücü ve Sınırı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 sebep sonuç üzerinde ne kadar gerçek bir güce sahiptir?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Tabiat Risalesi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12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Tesadüf Gerçek Bir Açıklama mı?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Düzen, ölçü ve uygunluk gördüğümüzde 'tesadüf' ne kadar açıklayıcıdır?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Tabiat Risalesi ve tefekkür bahisleri</w:t>
            </w:r>
          </w:p>
        </w:tc>
      </w:tr>
    </w:tbl>
    <w:p>
      <w:r>
        <w:br w:type="page"/>
      </w:r>
    </w:p>
    <w:p>
      <w:pPr>
        <w:pStyle w:val="Heading1"/>
      </w:pPr>
      <w:r>
        <w:t>4. ÜNİTE — AHİRET: İMKÂN, ADALET VE RAHMET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13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Ahiret Mümkün mü?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 şeyin bize olağanüstü gelmesi onun imkânsız olduğu anlamına gelir mi?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Onuncu Söz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14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Adalet Yarım Kalır mı?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Bu dünyada karşılığı tamamlanmayan iyilik ve kötülükler ne olacak?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Onuncu Söz — adalet bahisleri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15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Hikmet ve Rahmet Ahireti Gerektirir mi?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Hayatta gördüğümüz hikmet ve merhamet, ölümden sonrası hakkında bize ne düşündürür?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Onuncu Söz — hikmet ve rahmet bahisleri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16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Yeniden Yaratılmak Neden Zor Olsun?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İlk yaratılışı gördüğümüz hâlde yeniden yaratılışı neden uzak görüyoruz?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Onuncu Söz — bahar ve haşir temsilleri</w:t>
            </w:r>
          </w:p>
        </w:tc>
      </w:tr>
    </w:tbl>
    <w:p>
      <w:r>
        <w:br w:type="page"/>
      </w:r>
    </w:p>
    <w:p>
      <w:pPr>
        <w:pStyle w:val="Heading1"/>
      </w:pPr>
      <w:r>
        <w:t>5. ÜNİTE — KADER, İRADE VE SORUMLULUK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17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İnsan Ne Kadar Özgür?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Seçimlerimizin ne kadarı bize aittir ve sorumluluk nerede başlar?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/ Mektubat — kader ve cüz’î irade bahisleri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18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Seçmek ve Sonucuna Sahip Çıkmak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Bir davranışı seçmek ile sonucundan sorumlu olmak arasında nasıl bir bağ vardır?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Kader ve irade bahisleri; Pırlanta’da irade-sorumluluk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19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Kader Bir Mazeret Olabilir mi?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Yanlış bir davranıştan sonra 'kaderimde varmış' demek doğru mudur?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Kader Risalesi / ilgili bahisler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20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Tevekkül ile Pasiflik Arasındaki Fark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Allah’a güvenmek çalışmayı azaltır mı, yoksa doğru çalışmanın çerçevesini mi kurar?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Tevekkül bahisleri; Pırlanta’da tevekkül</w:t>
            </w:r>
          </w:p>
        </w:tc>
      </w:tr>
    </w:tbl>
    <w:p>
      <w:r>
        <w:br w:type="page"/>
      </w:r>
    </w:p>
    <w:p>
      <w:pPr>
        <w:pStyle w:val="Heading1"/>
      </w:pPr>
      <w:r>
        <w:t>6. ÜNİTE — 'BEN', SAHİPLİK VE KULLUK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21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Ene: 'Ben' Duygusu Neden Verilmiş?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İnsan kendisine 'ben' diyebilme özelliğini ne için kullanır?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Otuzuncu Söz / Ene bahsi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22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Gerçekten Neye Sahibim?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“Benim bedenim, benim zekâm, benim zamanım” derken neyi kastediyoruz?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Altıncı Söz; Ene bahsi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23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Acz ve Fakr Bir Eksiklik mi?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Güçsüzlük ve ihtiyaçlarımız insanı küçültür mü, yoksa Allah’a açılan bir pencere olabilir mi?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Yedinci Söz; Yirmi Üçüncü Söz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24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Kendini Tanımak Kulluğa Nasıl Götürür?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İnsan kendi sınırlarını ve imkânlarını tanıdıkça Rabbini tanımaya nasıl yaklaşır?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Ene, acz-fakr ve ubudiyet bahisleri</w:t>
            </w:r>
          </w:p>
        </w:tc>
      </w:tr>
    </w:tbl>
    <w:p>
      <w:r>
        <w:br w:type="page"/>
      </w:r>
    </w:p>
    <w:p>
      <w:pPr>
        <w:pStyle w:val="Heading1"/>
      </w:pPr>
      <w:r>
        <w:t>7. ÜNİTE — DUA, ŞÜKÜR VE VEFA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25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Dua Sadece İstemek mi?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Dua bir istek listesi mi, yoksa insanın kulluk hâli mi?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Risale-i Nur’da dua bahisleri; Pırlanta — Dua Ufku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26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Duanın Kabulü Ne Demektir?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Bir duanın aynen gerçekleşmemesi, cevapsız kaldığı anlamına gelir mi?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Dua bahisleri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27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Şükür: Nimeti Görmek ve Yerinde Kullanmak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Şükür yalnız teşekkür cümlesi mi, yoksa nimete karşı bir tavır mı?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Mektubat — Şükür Risalesi; Pırlanta — Şükür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28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Büyürken Anne-Baba Hakkı Azalır mı?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Bağımsızlaşmak ile anne-babaya hürmet, vefa ve hizmet arasında nasıl bir denge kurulabilir?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Lem’alar — Yirmi Dördüncü Lem’a / valide bahsi; Hocaefendi — “Anne-Baba Hakkı” vaazı</w:t>
            </w:r>
          </w:p>
        </w:tc>
      </w:tr>
    </w:tbl>
    <w:p>
      <w:r>
        <w:br w:type="page"/>
      </w:r>
    </w:p>
    <w:p>
      <w:pPr>
        <w:pStyle w:val="Heading1"/>
      </w:pPr>
      <w:r>
        <w:t>8. ÜNİTE — UHUvVET, ADALET VE İHLÂS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29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Kardeşlik ve Adalet Aynı Anda Mümkün mü?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Birini sevmek, onun her davranışını doğru bulmak anlamına gelir mi?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Mektubat — Yirmi İkinci Mektup / Uhuvvet Risalesi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30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Eleştiri, Farklılık ve Gıybet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Bir yanlış hakkında konuşmak ile kişiyi yıpratmak arasındaki sınır nerede?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Yirmi İkinci Mektup — Hâtime; Pırlanta’da gıybet ve kardeşlik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31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İhlâs ve Birlikte Çalışma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Ortak bir işte 'ben' duygusu ne zaman faydayı bozar?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Lem’alar — Yirmi Birinci Lem’a / İhlâs Risalesi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32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Rekabet ve Ego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Başkasının başarısı niçin bizi rahatsız eder ve bunu nasıl yönetebiliriz?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İhlâs Risalesi; Pırlanta’da haset ve rekabet</w:t>
            </w:r>
          </w:p>
        </w:tc>
      </w:tr>
    </w:tbl>
    <w:p>
      <w:r>
        <w:br w:type="page"/>
      </w:r>
    </w:p>
    <w:p>
      <w:pPr>
        <w:pStyle w:val="Heading1"/>
      </w:pPr>
      <w:r>
        <w:t>9. ÜNİTE — KENDİ SORUM İÇİN KAYNAĞA BAŞVURUYORUM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33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Benim Gerçek Sorum Ne?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Şu anda iman, hayat veya ilişkilerim hakkında gerçekten hangi soruyu araştırmak istiyorum?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Öğrencinin seçtiği konu; kaynak haritası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34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Risale’de Kaynağı Kendim Buluyorum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Soruma uygun Risale bölümünü nasıl bulur, bağlamıyla nasıl okurum?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İlgili Risale bölümü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35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Pırlanta’da Aynı Meseleyi Arıyorum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Aynı soruya Hocaefendi’nin eser veya sohbetlerinde nasıl bir yaklaşım bulunuyor?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İlgili Pırlanta metni / sohbeti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36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İki Kaynaktan Kendi Cümleme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Bulduğum iki kaynağın ana fikrini doğru biçimde kendi cümlemle açıklayabilir miyim?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Öğrencinin seçtiği Risale + Pırlanta kaynakları</w:t>
            </w:r>
          </w:p>
        </w:tc>
      </w:tr>
    </w:tbl>
    <w:p>
      <w:r>
        <w:br w:type="page"/>
      </w:r>
    </w:p>
    <w:p>
      <w:pPr>
        <w:pStyle w:val="Heading1"/>
      </w:pPr>
      <w:r>
        <w:t>M4 — Yıllık Gelişim Haritası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2F6F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Dönem</w:t>
            </w:r>
          </w:p>
        </w:tc>
        <w:tc>
          <w:tcPr>
            <w:tcW w:type="dxa" w:w="3437"/>
            <w:shd w:fill="2F6F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Gelişim Basamağı</w:t>
            </w:r>
          </w:p>
        </w:tc>
        <w:tc>
          <w:tcPr>
            <w:tcW w:type="dxa" w:w="3437"/>
            <w:shd w:fill="2F6F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1–4.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KAYNAĞI TANIYOR VE NASIL BAŞVURACAĞIMI ÖĞRENİYORUM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Risale ve Pırlanta’nın hangi tür sorulara cevap aradığını tanıma; soru-kavram-kaynak yöntemi.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5–12.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İNANÇ SORULARINI KAYNAKTAN ARAŞTIRIYORUM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Tevhid, tabiat, kanunlar, sebepler ve tesadüf.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13–20.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BÜYÜK İMAN MESELELERİNDE DELİL VE BAĞLAM ARIYORUM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Ahiret, adalet, rahmet, kader, irade ve tevekkül.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21–28.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KENDİMİ, KULLUĞUMU VE VEFA SORUMLULUĞUMU OKUYORUM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Ene, sahiplik, acz-fakr, dua, şükür ve anne-baba hakkı.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29–32.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SOSYAL İLİŞKİLERİMDE KAYNAĞA BAŞVURUYORUM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Uhuvvet, adalet, eleştiri, gıybet, ihlâs ve ego.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33–36.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KENDİ SORUM İÇİN BAĞIMSIZ KAYNAK ARIYORUM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Gerçek soru, Risale’de arama, Pırlanta’da arama ve iki kaynaktan kendi değerlendirmesini kurma.</w:t>
            </w:r>
          </w:p>
        </w:tc>
      </w:tr>
    </w:tbl>
    <w:p/>
    <w:p>
      <w:pPr>
        <w:pStyle w:val="Heading2"/>
      </w:pPr>
      <w:r>
        <w:t>Yıl Sonu Başarı Cümlesi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4F4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3"/>
              </w:rPr>
              <w:t>“Bir imanî veya ahlâkî sorum olduğunda uygun anahtar kavramlarla Risale ve Pırlanta’da kaynak arayabiliyor, bulduğum metni bağlamıyla okuyup ana fikrini kendi cümlemle açıklayabiliyorum.”</w:t>
            </w:r>
          </w:p>
        </w:tc>
      </w:tr>
    </w:tbl>
    <w:p>
      <w:pPr>
        <w:pStyle w:val="Heading1"/>
      </w:pPr>
      <w:r>
        <w:t>Haftalık Ders Dosyası Standardı</w:t>
      </w:r>
    </w:p>
    <w:p>
      <w:pPr>
        <w:pStyle w:val="ListNumber"/>
      </w:pPr>
      <w:r>
        <w:t>Lise seviyesine uygun güçlü bir soru, gerçek olay veya düşünce deneyiyle giriş</w:t>
      </w:r>
    </w:p>
    <w:p>
      <w:pPr>
        <w:pStyle w:val="ListNumber"/>
      </w:pPr>
      <w:r>
        <w:t>En az 15–20 dakikalık hazır ve doyurucu ana metin</w:t>
      </w:r>
    </w:p>
    <w:p>
      <w:pPr>
        <w:pStyle w:val="ListNumber"/>
      </w:pPr>
      <w:r>
        <w:t>Risale-i Nur’dan seçilmiş aslî pasaj — dosyanın içinde hazır</w:t>
      </w:r>
    </w:p>
    <w:p>
      <w:pPr>
        <w:pStyle w:val="ListNumber"/>
      </w:pPr>
      <w:r>
        <w:t>Zor kelimeler, kavramlar ve metnin bağlamı</w:t>
      </w:r>
    </w:p>
    <w:p>
      <w:pPr>
        <w:pStyle w:val="ListNumber"/>
      </w:pPr>
      <w:r>
        <w:t>Sadeleştirilmiş anlam ve ana fikir</w:t>
      </w:r>
    </w:p>
    <w:p>
      <w:pPr>
        <w:pStyle w:val="ListNumber"/>
      </w:pPr>
      <w:r>
        <w:t>Hocaefendi/Pırlanta’dan seçilmiş aslî pasaj — dosyanın içinde hazır</w:t>
      </w:r>
    </w:p>
    <w:p>
      <w:pPr>
        <w:pStyle w:val="ListNumber"/>
      </w:pPr>
      <w:r>
        <w:t>Gerekli olduğunda güvenilir dış/akademik bakış; özellikle ilk tanışma haftalarında</w:t>
      </w:r>
    </w:p>
    <w:p>
      <w:pPr>
        <w:pStyle w:val="ListNumber"/>
      </w:pPr>
      <w:r>
        <w:t>Gerçek arşiv görseli veya uygun temsili görsel</w:t>
      </w:r>
    </w:p>
    <w:p>
      <w:pPr>
        <w:pStyle w:val="ListNumber"/>
      </w:pPr>
      <w:r>
        <w:t>Kısa video/ses kesiti, kesin dakika aralığı ve izleme öncesi soru</w:t>
      </w:r>
    </w:p>
    <w:p>
      <w:pPr>
        <w:pStyle w:val="ListNumber"/>
      </w:pPr>
      <w:r>
        <w:t>Kesitin devamına / tam vaaza / tam metne merak uyandıran köprü</w:t>
      </w:r>
    </w:p>
    <w:p>
      <w:pPr>
        <w:pStyle w:val="ListNumber"/>
      </w:pPr>
      <w:r>
        <w:t>Müzakere soruları ve kaynak temelli kısa değerlendirme</w:t>
      </w:r>
    </w:p>
    <w:p>
      <w:pPr>
        <w:pStyle w:val="ListNumber"/>
      </w:pPr>
      <w:r>
        <w:t>Öğrencinin kendi başına yapacağı küçük kaynak arama görevi</w:t>
      </w:r>
    </w:p>
    <w:p>
      <w:pPr>
        <w:pStyle w:val="ListNumber"/>
      </w:pPr>
      <w:r>
        <w:t>Tam kaynakça: eser, bölüm, baskı/sayfa ve erişim noktası</w:t>
      </w:r>
    </w:p>
    <w:p>
      <w:pPr>
        <w:pStyle w:val="Heading2"/>
      </w:pPr>
      <w:r>
        <w:t>Görsel / Video Kullanım İlkesi</w:t>
      </w:r>
    </w:p>
    <w:p>
      <w:r>
        <w:rPr>
          <w:b/>
        </w:rPr>
        <w:t xml:space="preserve">M4’te görsel malzeme “süs” değildir. </w:t>
      </w:r>
      <w:r>
        <w:t>Her uygun haftada bir gerçek arşiv belgesi/fotoğrafı veya tarihî bağlama uygun temsili görsel; bir kısa video ya da özgün ses kesiti kullanılacaktır. Lise öğrencisine çocukça gelecek animasyonlar yalnız konuya gerçekten hizmet ettiği durumda kullanılacak; mümkün olduğunda birincil belge, özgün ses ve tarihî görüntü tercih edilecektir.</w:t>
      </w:r>
    </w:p>
    <w:p>
      <w:r>
        <w:rPr>
          <w:b/>
        </w:rPr>
        <w:t xml:space="preserve">Anne-baba hattı: </w:t>
      </w:r>
      <w:r>
        <w:t>M4’te konu bağımsızlaşma ve vefa dengesi üzerinden ele alınacaktır. Temel Risale kaynağı Yirmi Dördüncü Lem’a’daki valide bahsi; temel Hocaefendi kaynağı ise 26 Mayıs 1991 tarihli “Anne-Baba Hakkı” vaazıdır. Haftalık dosyada vaazdan kısa ve çarpıcı bir kesit seçilip tam vaaza merak uyandıracak şekilde kullanılacaktır.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M4 — Lise 1 | Risale-i Nur ve Pırlanta Yıllık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F6F73"/>
        <w:sz w:val="16"/>
      </w:rPr>
      <w:t>M4 • Yıllık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F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Small">
    <w:name w:val="SubtitleSmall"/>
    <w:pPr>
      <w:spacing w:after="160"/>
    </w:pPr>
    <w:rPr>
      <w:rFonts w:ascii="Aptos" w:hAnsi="Aptos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