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M5 • 2. HAFTA</w:t>
      </w:r>
    </w:p>
    <w:p>
      <w:pPr>
        <w:spacing w:after="40"/>
      </w:pPr>
      <w:r>
        <w:rPr>
          <w:rFonts w:ascii="Arial" w:hAnsi="Arial"/>
          <w:b/>
          <w:sz w:val="32"/>
        </w:rPr>
        <w:t>SORUDAN KAÇMAYAN BİR ÂLİM: BEDİÜZZAMAN</w:t>
      </w:r>
    </w:p>
    <w:p>
      <w:pPr>
        <w:spacing w:after="200"/>
      </w:pPr>
      <w:r>
        <w:rPr>
          <w:rFonts w:ascii="Arial" w:hAnsi="Arial"/>
          <w:i/>
          <w:sz w:val="20"/>
        </w:rPr>
        <w:t>Hayatı, merakı ve iman hakikatlerini anlatma biçimi</w:t>
      </w:r>
    </w:p>
    <w:p>
      <w:pPr>
        <w:spacing w:after="100"/>
      </w:pPr>
      <w:r>
        <w:rPr>
          <w:rFonts w:ascii="Arial" w:hAnsi="Arial"/>
          <w:sz w:val="18"/>
        </w:rPr>
        <w:t>Bazı insanlar bir soruya cevap bulunca rahatlar.</w:t>
      </w:r>
    </w:p>
    <w:p>
      <w:pPr>
        <w:spacing w:after="100"/>
      </w:pPr>
      <w:r>
        <w:rPr>
          <w:rFonts w:ascii="Arial" w:hAnsi="Arial"/>
          <w:sz w:val="18"/>
        </w:rPr>
        <w:t>Bazıları ise cevabın neden doğru olduğunu da anlamak ister.</w:t>
      </w:r>
    </w:p>
    <w:p>
      <w:pPr>
        <w:spacing w:after="100"/>
      </w:pPr>
      <w:r>
        <w:rPr>
          <w:rFonts w:ascii="Arial" w:hAnsi="Arial"/>
          <w:sz w:val="18"/>
        </w:rPr>
        <w:t>Bediüzzaman Said Nursî’yi tanırken onun hayatında ve eserlerinde bu ikinci yönün güçlü olduğunu görürüz.</w:t>
      </w:r>
    </w:p>
    <w:p>
      <w:pPr>
        <w:spacing w:before="120" w:after="80"/>
      </w:pPr>
      <w:r>
        <w:rPr>
          <w:rFonts w:ascii="Arial" w:hAnsi="Arial"/>
          <w:b/>
          <w:sz w:val="18"/>
        </w:rPr>
        <w:t>KİMDİ BU İNSAN?</w:t>
      </w:r>
    </w:p>
    <w:p>
      <w:pPr>
        <w:spacing w:after="100"/>
      </w:pPr>
      <w:r>
        <w:rPr>
          <w:rFonts w:ascii="Arial" w:hAnsi="Arial"/>
          <w:sz w:val="18"/>
        </w:rPr>
        <w:t>Said Nursî, Bitlis’in Hizan tarafındaki Nurs köyünde dünyaya geldi. Genç yaşlarda medrese eğitiminde dikkat çekti; farklı hocalarla çalıştı ve ilim arayışını sürdürdü.</w:t>
      </w:r>
    </w:p>
    <w:p>
      <w:pPr>
        <w:spacing w:after="100"/>
      </w:pPr>
      <w:r>
        <w:rPr>
          <w:rFonts w:ascii="Arial" w:hAnsi="Arial"/>
          <w:sz w:val="18"/>
        </w:rPr>
        <w:t>Van ve İstanbul yıllarında eğitim ve toplum meseleleriyle ilgilendi.</w:t>
      </w:r>
    </w:p>
    <w:p>
      <w:pPr>
        <w:spacing w:after="100"/>
      </w:pPr>
      <w:r>
        <w:rPr>
          <w:rFonts w:ascii="Arial" w:hAnsi="Arial"/>
          <w:sz w:val="18"/>
        </w:rPr>
        <w:t>Savaş ve esaret yaşadı.</w:t>
      </w:r>
    </w:p>
    <w:p>
      <w:pPr>
        <w:spacing w:after="100"/>
      </w:pPr>
      <w:r>
        <w:rPr>
          <w:rFonts w:ascii="Arial" w:hAnsi="Arial"/>
          <w:sz w:val="18"/>
        </w:rPr>
        <w:t>Daha sonraki dönemlerde sürgün, zorunlu ikamet ve hapislerle karşılaştı.</w:t>
      </w:r>
    </w:p>
    <w:p>
      <w:pPr>
        <w:spacing w:after="100"/>
      </w:pPr>
      <w:r>
        <w:rPr>
          <w:rFonts w:ascii="Arial" w:hAnsi="Arial"/>
          <w:sz w:val="18"/>
        </w:rPr>
        <w:t>Barla başta olmak üzere farklı yerlerde Risale-i Nur’un önemli bölümlerini kaleme aldı.</w:t>
      </w:r>
    </w:p>
    <w:p>
      <w:pPr>
        <w:spacing w:after="100"/>
      </w:pPr>
      <w:r>
        <w:rPr>
          <w:rFonts w:ascii="Arial" w:hAnsi="Arial"/>
          <w:sz w:val="18"/>
        </w:rPr>
        <w:t>Bütün bu dönemlerin ortak çizgilerinden biri, iman meseleleri üzerine düşünme ve yazma faaliyetinin devam etmesidir.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ONU SADECE “ÇOK ZEKİ BİRİ” DİYE TANIMAK YETMEZ</w:t>
      </w:r>
    </w:p>
    <w:p>
      <w:pPr>
        <w:spacing w:after="100"/>
      </w:pPr>
      <w:r>
        <w:rPr>
          <w:rFonts w:ascii="Arial" w:hAnsi="Arial"/>
          <w:sz w:val="18"/>
        </w:rPr>
        <w:t>Biyografi kaynaklarında güçlü hafızası ve hızlı öğrenmesi anlatılır.</w:t>
      </w:r>
    </w:p>
    <w:p>
      <w:pPr>
        <w:spacing w:after="100"/>
      </w:pPr>
      <w:r>
        <w:rPr>
          <w:rFonts w:ascii="Arial" w:hAnsi="Arial"/>
          <w:sz w:val="18"/>
        </w:rPr>
        <w:t>Fakat bir insanın zihinsel kabiliyeti, tek başına onun hayatını açıklamaz.</w:t>
      </w:r>
    </w:p>
    <w:p>
      <w:pPr>
        <w:spacing w:after="100"/>
      </w:pPr>
      <w:r>
        <w:rPr>
          <w:rFonts w:ascii="Arial" w:hAnsi="Arial"/>
          <w:sz w:val="18"/>
        </w:rPr>
        <w:t>Bediüzzaman için daha önemli soru şudur:</w:t>
      </w:r>
    </w:p>
    <w:p>
      <w:pPr>
        <w:spacing w:after="100"/>
      </w:pPr>
      <w:r>
        <w:rPr>
          <w:rFonts w:ascii="Arial" w:hAnsi="Arial"/>
          <w:sz w:val="18"/>
        </w:rPr>
        <w:t>Bu kabiliyetini hangi meseleye verdi?</w:t>
      </w:r>
    </w:p>
    <w:p>
      <w:pPr>
        <w:spacing w:after="100"/>
      </w:pPr>
      <w:r>
        <w:rPr>
          <w:rFonts w:ascii="Arial" w:hAnsi="Arial"/>
          <w:sz w:val="18"/>
        </w:rPr>
        <w:t>Cevap, eserlerinde açıkça görülür: İman hakikatlerini açıklamak, insanların şüphe ve sorularına cevap aramak ve Kur’ân’ın bu konulardaki mesajını anlaşılır kılmak.</w:t>
      </w:r>
    </w:p>
    <w:p>
      <w:pPr>
        <w:spacing w:before="120" w:after="80"/>
      </w:pPr>
      <w:r>
        <w:rPr>
          <w:rFonts w:ascii="Arial" w:hAnsi="Arial"/>
          <w:b/>
          <w:sz w:val="18"/>
        </w:rPr>
        <w:t>NEDEN DELİL?</w:t>
      </w:r>
    </w:p>
    <w:p>
      <w:pPr>
        <w:spacing w:after="100"/>
      </w:pPr>
      <w:r>
        <w:rPr>
          <w:rFonts w:ascii="Arial" w:hAnsi="Arial"/>
          <w:sz w:val="18"/>
        </w:rPr>
        <w:t>Bir arkadaşın sana “Bu böyledir.” dediğinde ona güvenebilirsin.</w:t>
      </w:r>
    </w:p>
    <w:p>
      <w:pPr>
        <w:spacing w:after="100"/>
      </w:pPr>
      <w:r>
        <w:rPr>
          <w:rFonts w:ascii="Arial" w:hAnsi="Arial"/>
          <w:sz w:val="18"/>
        </w:rPr>
        <w:t>Ama büyüdükçe bazen ikinci bir soru gelir:</w:t>
      </w:r>
    </w:p>
    <w:p>
      <w:pPr>
        <w:spacing w:after="100"/>
      </w:pPr>
      <w:r>
        <w:rPr>
          <w:rFonts w:ascii="Arial" w:hAnsi="Arial"/>
          <w:sz w:val="18"/>
        </w:rPr>
        <w:t>“Neye dayanarak?”</w:t>
      </w:r>
    </w:p>
    <w:p>
      <w:pPr>
        <w:spacing w:after="100"/>
      </w:pPr>
      <w:r>
        <w:rPr>
          <w:rFonts w:ascii="Arial" w:hAnsi="Arial"/>
          <w:sz w:val="18"/>
        </w:rPr>
        <w:t>Bediüzzaman’ın eserlerinde bu soruya önem verilir.</w:t>
      </w:r>
    </w:p>
    <w:p>
      <w:pPr>
        <w:spacing w:after="100"/>
      </w:pPr>
      <w:r>
        <w:rPr>
          <w:rFonts w:ascii="Arial" w:hAnsi="Arial"/>
          <w:sz w:val="18"/>
        </w:rPr>
        <w:t xml:space="preserve">Risale-i Nur’un yöntemini anlatırken iman hakikatlerini kuvvetli delillerle açıklama ve isbat etme hedefinden söz eder. Bu tür güçlü deliller için metinlerde </w:t>
      </w:r>
      <w:r>
        <w:rPr>
          <w:rFonts w:ascii="Arial" w:hAnsi="Arial"/>
          <w:sz w:val="18"/>
          <w:u w:val="single"/>
        </w:rPr>
        <w:t>hüccet</w:t>
      </w:r>
      <w:r>
        <w:rPr>
          <w:rFonts w:ascii="Arial" w:hAnsi="Arial"/>
          <w:sz w:val="18"/>
        </w:rPr>
        <w:t xml:space="preserve"> ve </w:t>
      </w:r>
      <w:r>
        <w:rPr>
          <w:rFonts w:ascii="Arial" w:hAnsi="Arial"/>
          <w:sz w:val="18"/>
          <w:u w:val="single"/>
        </w:rPr>
        <w:t>burhan</w:t>
      </w:r>
      <w:r>
        <w:rPr>
          <w:rFonts w:ascii="Arial" w:hAnsi="Arial"/>
          <w:sz w:val="18"/>
        </w:rPr>
        <w:t xml:space="preserve"> gibi kelimelerle de karşılaşırız. Böyle bir meseleyi delilleriyle araştırıp bilinçli biçimde anlamaya çalışma çabasına </w:t>
      </w:r>
      <w:r>
        <w:rPr>
          <w:rFonts w:ascii="Arial" w:hAnsi="Arial"/>
          <w:sz w:val="18"/>
          <w:u w:val="single"/>
        </w:rPr>
        <w:t>tahkik</w:t>
      </w:r>
      <w:r>
        <w:rPr>
          <w:rFonts w:ascii="Arial" w:hAnsi="Arial"/>
          <w:sz w:val="18"/>
        </w:rPr>
        <w:t xml:space="preserve"> diyebiliriz.</w:t>
      </w:r>
    </w:p>
    <w:p>
      <w:pPr>
        <w:spacing w:after="100"/>
      </w:pPr>
      <w:r>
        <w:rPr>
          <w:rFonts w:ascii="Arial" w:hAnsi="Arial"/>
          <w:sz w:val="18"/>
        </w:rPr>
        <w:t>Bu yüzden eserlerde kâinattan gözlemler, günlük hayattan benzetmeler, mantıkî bağlantılar ve Kur’ânî kavramlar yan yana gelebilir.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AKIL MI, KALP Mİ?</w:t>
      </w:r>
    </w:p>
    <w:p>
      <w:pPr>
        <w:spacing w:after="100"/>
      </w:pPr>
      <w:r>
        <w:rPr>
          <w:rFonts w:ascii="Arial" w:hAnsi="Arial"/>
          <w:sz w:val="18"/>
        </w:rPr>
        <w:t>Bediüzzaman’ın yaklaşımı yalnız akıl yürütmekten ibaret değildir.</w:t>
      </w:r>
    </w:p>
    <w:p>
      <w:pPr>
        <w:spacing w:after="100"/>
      </w:pPr>
      <w:r>
        <w:rPr>
          <w:rFonts w:ascii="Arial" w:hAnsi="Arial"/>
          <w:sz w:val="18"/>
        </w:rPr>
        <w:t>Kaynaklarda Risale-i Nur’un yalnız akla veya yalnız kalbe seslenmediği; akıl ve kalbin birlikte işlemesine önem verdiği vurgulanır.</w:t>
      </w:r>
    </w:p>
    <w:p>
      <w:pPr>
        <w:spacing w:after="100"/>
      </w:pPr>
      <w:r>
        <w:rPr>
          <w:rFonts w:ascii="Arial" w:hAnsi="Arial"/>
          <w:sz w:val="18"/>
        </w:rPr>
        <w:t>Bu önemli bir denge kurar.</w:t>
      </w:r>
    </w:p>
    <w:p>
      <w:pPr>
        <w:spacing w:after="100"/>
      </w:pPr>
      <w:r>
        <w:rPr>
          <w:rFonts w:ascii="Arial" w:hAnsi="Arial"/>
          <w:sz w:val="18"/>
        </w:rPr>
        <w:t>İnsan bir iman meselesi üzerinde düşünürken gerekçe arayabilir.</w:t>
      </w:r>
    </w:p>
    <w:p>
      <w:pPr>
        <w:spacing w:after="100"/>
      </w:pPr>
      <w:r>
        <w:rPr>
          <w:rFonts w:ascii="Arial" w:hAnsi="Arial"/>
          <w:sz w:val="18"/>
        </w:rPr>
        <w:t>Aynı zamanda o hakikatin korkularına, ümitlerine, sorumluluklarına ve hayatına ne söylediğini de fark edebilir.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TEMSİLLERİ NEDEN BU KADAR ÇOK?</w:t>
      </w:r>
    </w:p>
    <w:p>
      <w:pPr>
        <w:spacing w:after="100"/>
      </w:pPr>
      <w:r>
        <w:rPr>
          <w:rFonts w:ascii="Arial" w:hAnsi="Arial"/>
          <w:sz w:val="18"/>
        </w:rPr>
        <w:t>Zor bir fikri bazen bir benzetme görünür hâle getirir.</w:t>
      </w:r>
    </w:p>
    <w:p>
      <w:pPr>
        <w:spacing w:after="100"/>
      </w:pPr>
      <w:r>
        <w:rPr>
          <w:rFonts w:ascii="Arial" w:hAnsi="Arial"/>
          <w:sz w:val="18"/>
        </w:rPr>
        <w:t>Bir kitap, bir saray, bir asker, bir yolcu, bir güneş veya bir ayna…</w:t>
      </w:r>
    </w:p>
    <w:p>
      <w:pPr>
        <w:spacing w:after="100"/>
      </w:pPr>
      <w:r>
        <w:rPr>
          <w:rFonts w:ascii="Arial" w:hAnsi="Arial"/>
          <w:sz w:val="18"/>
        </w:rPr>
        <w:t xml:space="preserve">Risale-i Nur’da günlük hayattan alınan </w:t>
      </w:r>
      <w:r>
        <w:rPr>
          <w:rFonts w:ascii="Arial" w:hAnsi="Arial"/>
          <w:sz w:val="18"/>
          <w:u w:val="single"/>
        </w:rPr>
        <w:t>temsil</w:t>
      </w:r>
      <w:r>
        <w:rPr>
          <w:rFonts w:ascii="Arial" w:hAnsi="Arial"/>
          <w:sz w:val="18"/>
        </w:rPr>
        <w:t>lerin sık kullanılmasının sebeplerinden biri, soyut bir meseleyi zihne yaklaştırmaktır.</w:t>
      </w:r>
    </w:p>
    <w:p>
      <w:pPr>
        <w:spacing w:after="100"/>
      </w:pPr>
      <w:r>
        <w:rPr>
          <w:rFonts w:ascii="Arial" w:hAnsi="Arial"/>
          <w:sz w:val="18"/>
        </w:rPr>
        <w:t>Ama temsil ile ispat tamamen aynı şey değildir.</w:t>
      </w:r>
    </w:p>
    <w:p>
      <w:pPr>
        <w:spacing w:after="100"/>
      </w:pPr>
      <w:r>
        <w:rPr>
          <w:rFonts w:ascii="Arial" w:hAnsi="Arial"/>
          <w:sz w:val="18"/>
        </w:rPr>
        <w:t>Bir benzetme bize düşünme kapısı açabilir; ardından benzerliğin gerçekten ne kadar işe yaradığını ayrıca sorabiliriz.</w:t>
      </w:r>
    </w:p>
    <w:p>
      <w:pPr>
        <w:spacing w:after="100"/>
      </w:pPr>
      <w:r>
        <w:rPr>
          <w:rFonts w:ascii="Arial" w:hAnsi="Arial"/>
          <w:sz w:val="18"/>
        </w:rPr>
        <w:t>Bu yıl kullanacağımız sade okuma biçimi burada yeterli:</w:t>
      </w:r>
    </w:p>
    <w:p>
      <w:pPr>
        <w:spacing w:after="100"/>
      </w:pPr>
      <w:r>
        <w:rPr>
          <w:rFonts w:ascii="Arial" w:hAnsi="Arial"/>
          <w:sz w:val="18"/>
        </w:rPr>
        <w:t>Metin ne söylüyor?</w:t>
      </w:r>
    </w:p>
    <w:p>
      <w:pPr>
        <w:spacing w:after="100"/>
      </w:pPr>
      <w:r>
        <w:rPr>
          <w:rFonts w:ascii="Arial" w:hAnsi="Arial"/>
          <w:sz w:val="18"/>
        </w:rPr>
        <w:t>Bunu bana nasıl düşündürüyor?</w:t>
      </w:r>
    </w:p>
    <w:p>
      <w:pPr>
        <w:spacing w:after="100"/>
      </w:pPr>
      <w:r>
        <w:rPr>
          <w:rFonts w:ascii="Arial" w:hAnsi="Arial"/>
          <w:sz w:val="18"/>
        </w:rPr>
        <w:t>Bu düşünce benim hayatımda hangi soruya dokunuyor?</w:t>
      </w:r>
    </w:p>
    <w:p>
      <w:pPr>
        <w:spacing w:before="120" w:after="80"/>
      </w:pPr>
      <w:r>
        <w:rPr>
          <w:rFonts w:ascii="Arial" w:hAnsi="Arial"/>
          <w:b/>
          <w:sz w:val="18"/>
        </w:rPr>
        <w:t>ZOR ŞARTLARDA SÜREN BİR ÇALIŞMA</w:t>
      </w:r>
    </w:p>
    <w:p>
      <w:pPr>
        <w:spacing w:after="100"/>
      </w:pPr>
      <w:r>
        <w:rPr>
          <w:rFonts w:ascii="Arial" w:hAnsi="Arial"/>
          <w:sz w:val="18"/>
        </w:rPr>
        <w:t>Bir düşünceye önem vermek en çok rahat zamanda değil, zor zamanda belli olur.</w:t>
      </w:r>
    </w:p>
    <w:p>
      <w:pPr>
        <w:spacing w:after="100"/>
      </w:pPr>
      <w:r>
        <w:rPr>
          <w:rFonts w:ascii="Arial" w:hAnsi="Arial"/>
          <w:sz w:val="18"/>
        </w:rPr>
        <w:t>Bediüzzaman’ın hayatında savaş, esaret, sürgün ve hapis gibi ağır dönemlere rağmen okuma ve yazma faaliyetinin sürmesi, iman hizmetini ne kadar merkezde gördüğünü gösterir.</w:t>
      </w:r>
    </w:p>
    <w:p>
      <w:pPr>
        <w:spacing w:after="100"/>
      </w:pPr>
      <w:r>
        <w:rPr>
          <w:rFonts w:ascii="Arial" w:hAnsi="Arial"/>
          <w:sz w:val="18"/>
        </w:rPr>
        <w:t>Bu durum söylediği her fikrin doğruluğunu otomatik olarak kanıtlamaz.</w:t>
      </w:r>
    </w:p>
    <w:p>
      <w:pPr>
        <w:spacing w:after="100"/>
      </w:pPr>
      <w:r>
        <w:rPr>
          <w:rFonts w:ascii="Arial" w:hAnsi="Arial"/>
          <w:sz w:val="18"/>
        </w:rPr>
        <w:t>Fakat onun neyi dert edindiğini ve neden yıllarını bu konuya verdiğini anlamamıza yardım eder.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ÜSTAD’I TANIRKEN NEYİ SEVELİM?</w:t>
      </w:r>
    </w:p>
    <w:p>
      <w:pPr>
        <w:spacing w:after="100"/>
      </w:pPr>
      <w:r>
        <w:rPr>
          <w:rFonts w:ascii="Arial" w:hAnsi="Arial"/>
          <w:sz w:val="18"/>
        </w:rPr>
        <w:t>Bir âlimi sevmek, onu yalnız övgü cümleleriyle anmak değildir.</w:t>
      </w:r>
    </w:p>
    <w:p>
      <w:pPr>
        <w:spacing w:after="100"/>
      </w:pPr>
      <w:r>
        <w:rPr>
          <w:rFonts w:ascii="Arial" w:hAnsi="Arial"/>
          <w:sz w:val="18"/>
        </w:rPr>
        <w:t>Onun güzel bulduğumuz yönlerini tanımak ve kendi hayatımıza küçük ölçüler taşımaktır.</w:t>
      </w:r>
    </w:p>
    <w:p>
      <w:pPr>
        <w:spacing w:after="100"/>
      </w:pPr>
      <w:r>
        <w:rPr>
          <w:rFonts w:ascii="Arial" w:hAnsi="Arial"/>
          <w:sz w:val="18"/>
        </w:rPr>
        <w:t>Bediüzzaman’ın hayatında dikkat çekebilecek üç yön:</w:t>
      </w:r>
    </w:p>
    <w:p>
      <w:pPr>
        <w:spacing w:after="100"/>
      </w:pPr>
      <w:r>
        <w:rPr>
          <w:rFonts w:ascii="Arial" w:hAnsi="Arial"/>
          <w:sz w:val="18"/>
        </w:rPr>
        <w:t>MERAK — Büyük sorulardan kaçmamak.</w:t>
      </w:r>
    </w:p>
    <w:p>
      <w:pPr>
        <w:spacing w:after="100"/>
      </w:pPr>
      <w:r>
        <w:rPr>
          <w:rFonts w:ascii="Arial" w:hAnsi="Arial"/>
          <w:sz w:val="18"/>
          <w:u w:val="single"/>
        </w:rPr>
        <w:t>SEBAT</w:t>
      </w:r>
      <w:r>
        <w:rPr>
          <w:rFonts w:ascii="Arial" w:hAnsi="Arial"/>
          <w:sz w:val="18"/>
        </w:rPr>
        <w:t xml:space="preserve"> — Zor şartlarda çalışmayı bırakmamak.</w:t>
      </w:r>
    </w:p>
    <w:p>
      <w:pPr>
        <w:spacing w:after="100"/>
      </w:pPr>
      <w:r>
        <w:rPr>
          <w:rFonts w:ascii="Arial" w:hAnsi="Arial"/>
          <w:sz w:val="18"/>
        </w:rPr>
        <w:t>HİZMET — Bilgiyi başkalarının faydasına sunmak.</w:t>
      </w:r>
    </w:p>
    <w:p>
      <w:pPr>
        <w:spacing w:after="100"/>
      </w:pPr>
      <w:r>
        <w:rPr>
          <w:rFonts w:ascii="Arial" w:hAnsi="Arial"/>
          <w:sz w:val="18"/>
        </w:rPr>
        <w:t>Bu üçü bir araya geldiğinde “çok bilen insan”dan “bildiğini bir sorumluluğa dönüştüren insan”a doğru bir yol açılır.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Bediüzzaman’ı yalnız güçlü hafızasıyla tanımlamak neden eksik olur?</w:t>
      </w:r>
    </w:p>
    <w:p>
      <w:pPr>
        <w:spacing w:after="100"/>
      </w:pPr>
      <w:r>
        <w:rPr>
          <w:rFonts w:ascii="Arial" w:hAnsi="Arial"/>
          <w:sz w:val="18"/>
        </w:rPr>
        <w:t>2. “Neye dayanarak?” sorusu niçin önemlidir?</w:t>
      </w:r>
    </w:p>
    <w:p>
      <w:pPr>
        <w:spacing w:after="100"/>
      </w:pPr>
      <w:r>
        <w:rPr>
          <w:rFonts w:ascii="Arial" w:hAnsi="Arial"/>
          <w:sz w:val="18"/>
        </w:rPr>
        <w:t>3. Akıl ve kalbin birlikte işlemesi sana ne düşündürüyor?</w:t>
      </w:r>
    </w:p>
    <w:p>
      <w:pPr>
        <w:spacing w:after="100"/>
      </w:pPr>
      <w:r>
        <w:rPr>
          <w:rFonts w:ascii="Arial" w:hAnsi="Arial"/>
          <w:sz w:val="18"/>
        </w:rPr>
        <w:t>4. Bir temsil ne işe yarar, neyi tek başına yapamayabilir?</w:t>
      </w:r>
    </w:p>
    <w:p>
      <w:pPr>
        <w:spacing w:after="100"/>
      </w:pPr>
      <w:r>
        <w:rPr>
          <w:rFonts w:ascii="Arial" w:hAnsi="Arial"/>
          <w:sz w:val="18"/>
        </w:rPr>
        <w:t>5. Bediüzzaman’ın hayatındaki hangi zorluklar onun sebatını görmemize yardım eder?</w:t>
      </w:r>
    </w:p>
    <w:p>
      <w:pPr>
        <w:spacing w:after="100"/>
      </w:pPr>
      <w:r>
        <w:rPr>
          <w:rFonts w:ascii="Arial" w:hAnsi="Arial"/>
          <w:sz w:val="18"/>
        </w:rPr>
        <w:t>6. Merak, sebat ve hizmetten hangisini kendi hayatında daha çok geliştirmek istersin?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“Üstad’ın Üç İzi” başlıklı bir kart hazırla.</w:t>
      </w:r>
    </w:p>
    <w:p>
      <w:pPr>
        <w:spacing w:after="100"/>
      </w:pPr>
      <w:r>
        <w:rPr>
          <w:rFonts w:ascii="Arial" w:hAnsi="Arial"/>
          <w:sz w:val="18"/>
        </w:rPr>
        <w:t>Kartta üç başlık olsun: MERAK — SEBAT — HİZMET.</w:t>
      </w:r>
    </w:p>
    <w:p>
      <w:pPr>
        <w:spacing w:after="100"/>
      </w:pPr>
      <w:r>
        <w:rPr>
          <w:rFonts w:ascii="Arial" w:hAnsi="Arial"/>
          <w:sz w:val="18"/>
        </w:rPr>
        <w:t>Her başlığın altına Bediüzzaman’ın hayatından bir örnek ve kendi hayatından küçücük bir uygulama yaz.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Şuâlar, On Dördüncü Şuâ; Risale-i Nur’un imanî hakikatleri açıklama ve isbat etme yönü.</w:t>
      </w:r>
    </w:p>
    <w:p>
      <w:pPr>
        <w:spacing w:after="100"/>
      </w:pPr>
      <w:r>
        <w:rPr>
          <w:rFonts w:ascii="Arial" w:hAnsi="Arial"/>
          <w:sz w:val="18"/>
        </w:rPr>
        <w:t>Bediüzzaman Said Nursî, Muhâkemât; temsil ve burhan ilişkisine dair bölümler.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Hüccet</w:t>
      </w:r>
      <w:r>
        <w:rPr>
          <w:rFonts w:ascii="Arial" w:hAnsi="Arial"/>
          <w:b w:val="0"/>
          <w:sz w:val="18"/>
        </w:rPr>
        <w:t xml:space="preserve"> — Delil, gerekçe.</w:t>
      </w:r>
    </w:p>
    <w:p>
      <w:pPr>
        <w:spacing w:after="100"/>
      </w:pPr>
      <w:r>
        <w:rPr>
          <w:rFonts w:ascii="Arial" w:hAnsi="Arial"/>
          <w:b/>
          <w:sz w:val="18"/>
        </w:rPr>
        <w:t>Burhan</w:t>
      </w:r>
      <w:r>
        <w:rPr>
          <w:rFonts w:ascii="Arial" w:hAnsi="Arial"/>
          <w:b w:val="0"/>
          <w:sz w:val="18"/>
        </w:rPr>
        <w:t xml:space="preserve"> — Güçlü delil ve akıl yürütme.</w:t>
      </w:r>
    </w:p>
    <w:p>
      <w:pPr>
        <w:spacing w:after="100"/>
      </w:pPr>
      <w:r>
        <w:rPr>
          <w:rFonts w:ascii="Arial" w:hAnsi="Arial"/>
          <w:b/>
          <w:sz w:val="18"/>
        </w:rPr>
        <w:t>Temsil</w:t>
      </w:r>
      <w:r>
        <w:rPr>
          <w:rFonts w:ascii="Arial" w:hAnsi="Arial"/>
          <w:b w:val="0"/>
          <w:sz w:val="18"/>
        </w:rPr>
        <w:t xml:space="preserve"> — Bir düşünceyi benzetme veya örnekle görünür hâle getirme.</w:t>
      </w:r>
    </w:p>
    <w:p>
      <w:pPr>
        <w:spacing w:after="100"/>
      </w:pPr>
      <w:r>
        <w:rPr>
          <w:rFonts w:ascii="Arial" w:hAnsi="Arial"/>
          <w:b/>
          <w:sz w:val="18"/>
        </w:rPr>
        <w:t>Sebat</w:t>
      </w:r>
      <w:r>
        <w:rPr>
          <w:rFonts w:ascii="Arial" w:hAnsi="Arial"/>
          <w:b w:val="0"/>
          <w:sz w:val="18"/>
        </w:rPr>
        <w:t xml:space="preserve"> — Zorlukta doğru bildiği yolda kararlılıkla devam etme.</w:t>
      </w:r>
    </w:p>
    <w:p>
      <w:pPr>
        <w:spacing w:after="100"/>
      </w:pPr>
      <w:r>
        <w:rPr>
          <w:rFonts w:ascii="Arial" w:hAnsi="Arial"/>
          <w:b/>
          <w:sz w:val="18"/>
        </w:rPr>
        <w:t>Tahkik</w:t>
      </w:r>
      <w:r>
        <w:rPr>
          <w:rFonts w:ascii="Arial" w:hAnsi="Arial"/>
          <w:b w:val="0"/>
          <w:sz w:val="18"/>
        </w:rPr>
        <w:t xml:space="preserve"> — Bir meseleyi delilleriyle araştırarak bilinçli biçimde anlamaya çalışma.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