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60"/>
        <w:jc w:val="center"/>
      </w:pPr>
      <w:r>
        <w:rPr>
          <w:rFonts w:ascii="Aptos Display" w:hAnsi="Aptos Display"/>
          <w:b/>
          <w:color w:val="B8862E"/>
          <w:sz w:val="68"/>
        </w:rPr>
        <w:t>M3</w:t>
      </w:r>
    </w:p>
    <w:p>
      <w:pPr>
        <w:pStyle w:val="Title"/>
        <w:jc w:val="center"/>
      </w:pPr>
      <w:r>
        <w:t>ORTAOKUL 3</w:t>
      </w:r>
    </w:p>
    <w:p>
      <w:pPr>
        <w:jc w:val="center"/>
      </w:pPr>
      <w:r>
        <w:rPr>
          <w:rFonts w:ascii="Aptos Display" w:hAnsi="Aptos Display"/>
          <w:b/>
          <w:color w:val="17365D"/>
          <w:sz w:val="36"/>
        </w:rPr>
        <w:t>36 Haftalık Risale-i Nur ve Pırlanta Yıllık Planı</w:t>
      </w:r>
    </w:p>
    <w:p>
      <w:pPr>
        <w:pStyle w:val="SubtitleSmall"/>
        <w:jc w:val="center"/>
      </w:pPr>
      <w:r>
        <w:t>Yılın ana basamağı: HAYATA TAŞIMA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EF3F8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“Okuduğum hakikatin hayatımla ilgisini görüyor ve uygulamaya çalışıyorum.”</w:t>
            </w:r>
          </w:p>
        </w:tc>
      </w:tr>
    </w:tbl>
    <w:p/>
    <w:p>
      <w:pPr>
        <w:jc w:val="center"/>
      </w:pPr>
      <w:r>
        <w:rPr>
          <w:color w:val="666666"/>
          <w:sz w:val="21"/>
        </w:rPr>
        <w:t>Ana kaynak: Risale-i Nur Külliyatı</w:t>
        <w:br/>
        <w:t>Tamamlayıcı kaynak: Hocaefendi / Pırlanta eser ve sohbetleri</w:t>
      </w:r>
    </w:p>
    <w:p>
      <w:r>
        <w:br w:type="page"/>
      </w:r>
    </w:p>
    <w:p>
      <w:pPr>
        <w:pStyle w:val="Heading1"/>
      </w:pPr>
      <w:r>
        <w:t>Yılın Temel Hedefi</w:t>
      </w:r>
    </w:p>
    <w:p>
      <w:pPr>
        <w:pStyle w:val="ListBullet"/>
      </w:pPr>
      <w:r>
        <w:t>Öğrencinin Risale-i Nur ve Hocaefendi/Pırlanta kaynaklarıyla yaşına uygun, sıcak ve güvenilir bir bağ kurması.</w:t>
      </w:r>
    </w:p>
    <w:p>
      <w:pPr>
        <w:pStyle w:val="ListBullet"/>
      </w:pPr>
      <w:r>
        <w:t>Daha önce M1 veya M2 programından geçmiş olma şartı aranmadan, ilk dört haftada ortak bir başlangıç zemini oluşturulması.</w:t>
      </w:r>
    </w:p>
    <w:p>
      <w:pPr>
        <w:pStyle w:val="ListBullet"/>
      </w:pPr>
      <w:r>
        <w:t>Okuduğu bir hakikati yalnız anlamakla kalmayıp kendi hayatındaki karşılığını fark etmeye başlaması.</w:t>
      </w:r>
    </w:p>
    <w:p>
      <w:pPr>
        <w:pStyle w:val="ListBullet"/>
      </w:pPr>
      <w:r>
        <w:t>Gençlik, irade, alışkanlık, emanet, niyet, ihlâs, arkadaşlık, gıybet, tefekkür, ölüm-ahiret, ümit ve sorumluluk gibi doğrudan hayatına dokunan başlıklarda Risale metinleriyle düşünmesi.</w:t>
      </w:r>
    </w:p>
    <w:p>
      <w:pPr>
        <w:pStyle w:val="ListBullet"/>
      </w:pPr>
      <w:r>
        <w:t>Bir problem veya davranış karşısında 'Bu konuda okuduğum hakikat bana ne söylüyor?' sorusunu sormaya başlaması.</w:t>
      </w:r>
    </w:p>
    <w:p>
      <w:pPr>
        <w:pStyle w:val="ListBullet"/>
      </w:pPr>
      <w:r>
        <w:t>Kendi hayatından küçük ve gerçekçi uygulama hedefleri koyması.</w:t>
      </w:r>
    </w:p>
    <w:p>
      <w:pPr>
        <w:pStyle w:val="ListBullet"/>
      </w:pPr>
      <w:r>
        <w:t>Yıl sonunda gerçek bir hayat meselesi seçip Risale ve Hocaefendi/Pırlanta kaynaklarından ilgili kısa metni bulması ve hayatına nasıl taşıyacağını açıklaması.</w:t>
      </w:r>
    </w:p>
    <w:p>
      <w:pPr>
        <w:pStyle w:val="Heading2"/>
      </w:pPr>
      <w:r>
        <w:t>Başlangıç İlkesi</w:t>
      </w:r>
    </w:p>
    <w:p>
      <w:r>
        <w:rPr>
          <w:b/>
        </w:rPr>
        <w:t xml:space="preserve">M3 öğrencisinin daha önce M1 veya M2 müfredatını gördüğü varsayılmayacaktır. </w:t>
      </w:r>
      <w:r>
        <w:t>Bu nedenle ilk dört hafta hem tanışma ve muhabbet kuracak hem de M3 seviyesinin ana sorusunu yerleştirecektir: “Okuduğum şey hayatımda neyi değiştirmeli?”</w:t>
      </w:r>
    </w:p>
    <w:p>
      <w:pPr>
        <w:pStyle w:val="Heading2"/>
      </w:pPr>
      <w:r>
        <w:t>Bu Yılın Uygulama Yöntemi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OKU  →  ANLA  →  KENDİ HAYATINLA BAĞ KUR  →  KÜÇÜK BİR ADIM SEÇ  →  UYGULA  →  GERİ DÖNÜP DEĞERLENDİR</w:t>
            </w:r>
          </w:p>
        </w:tc>
      </w:tr>
    </w:tbl>
    <w:p>
      <w:r>
        <w:rPr>
          <w:b/>
        </w:rPr>
        <w:t xml:space="preserve">Haftalık temel soru: </w:t>
      </w:r>
      <w:r>
        <w:t>“Bu hakikat bugün benim düşüncemi, davranışımı veya seçimimi nasıl etkileyebilir?”</w:t>
      </w:r>
    </w:p>
    <w:p>
      <w:pPr>
        <w:pStyle w:val="Heading1"/>
      </w:pPr>
      <w:r>
        <w:t>1. ÜNİTE — TANIŞMA, MUHABBET VE HAYATA TAŞIMA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Hakikat Hayata Ne Zaman Girer?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şeyi bilmekle onu yaşamak arasındaki fark nedir?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Risale-i Nur’dan yaşama/amel bağlantılı kısa pasajlar; Hocaefendi’de ilim-amel ve temsil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Bediüzzaman: Bilgi Neden Sorumluluk Doğurur?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İnsan bildiği bir hakikate göre yaşamazsa bilgi tek başına yeterli olur mu?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Tarihçe-i Hayat — hayat, hizmet ve mesuliyet çizgisi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Hocaefendi: Okumak İnsanı Değiştirmiyorsa Ne Eksik Kalır?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Okuduğumuz kitapların davranışımıza yansımaması bize ne söyler?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Pırlanta — kitap okuma, yaşama ve insan yetiştirme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Bu Metin Bana Ne Söylüyor?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Risale paragrafını kendi hayatımızdaki bir meseleyle nasıl ilişkilendiririz?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Kısa Risale metni + uygulama yöntemi</w:t>
            </w:r>
          </w:p>
        </w:tc>
      </w:tr>
    </w:tbl>
    <w:p>
      <w:r>
        <w:br w:type="page"/>
      </w:r>
    </w:p>
    <w:p>
      <w:pPr>
        <w:pStyle w:val="Heading1"/>
      </w:pPr>
      <w:r>
        <w:t>2. ÜNİTE — GENÇLİK, ÖZGÜRLÜK VE İRADE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Gençlik Bir Sermaye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Gençlik neden sadece yaş değil, kullanılması gereken bir imkân olarak görülür?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Gençlik Rehberi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Gençlik Geçiyor: Ne Kalıyor?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Geçici zevk ile kalıcı değer arasındaki farkı nasıl anlarız?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Gençlik Rehberi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Helâl Dairesi ve Özgürlük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Özgürlük istediğimiz her şeyi yapmak mıdır?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Gençlik Rehberi — helâl dairesi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İrade ve Alışkanlık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davranış ne zaman alışkanlığa, bir alışkanlık ne zaman karaktere dönüşür?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Gençlik Rehberi; Pırlanta’da irade ve istikamet</w:t>
            </w:r>
          </w:p>
        </w:tc>
      </w:tr>
    </w:tbl>
    <w:p>
      <w:r>
        <w:br w:type="page"/>
      </w:r>
    </w:p>
    <w:p>
      <w:pPr>
        <w:pStyle w:val="Heading1"/>
      </w:pPr>
      <w:r>
        <w:t>3. ÜNİTE — EMANET, BEDEN, ZAMAN VE KABİLİYET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6. Söz: Hayat Bize mi Ait?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Bedenimiz ve hayatımız üzerinde sınırsız tasarruf hakkımız var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Altıncı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Beden ve Zaman Birer Emanet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Bize verilen zamanı ve bedeni nasıl kullanmak sorumluluk doğurur?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Altıncı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Kabiliyetlerimi Ne İçin Kullanıyorum?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yeteneğin değeri sadece başarı getirmesiyle mi ölçülür?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Altıncı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Kulluk ve Özgürlük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Allah’a kul olmak insanı küçültür mü, yoksa başka bağımlılıklardan kurtarır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Altıncı Söz; ilgili Pırlanta bahisleri</w:t>
            </w:r>
          </w:p>
        </w:tc>
      </w:tr>
    </w:tbl>
    <w:p>
      <w:r>
        <w:br w:type="page"/>
      </w:r>
    </w:p>
    <w:p>
      <w:pPr>
        <w:pStyle w:val="Heading1"/>
      </w:pPr>
      <w:r>
        <w:t>4. ÜNİTE — NİYET, GÖRÜNMEK VE İÇ DÜNYA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Niyet Aynı İşi Nasıl Değiştirir?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Aynı davranış farklı niyetlerle yapıldığında aynı değeri taşır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İhlâs Risalesi ve niyet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Kimse Görmese Yine Yapar mıydım?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İyiliği görünür olmak için yapmakla Allah rızası için yapmak arasındaki fark nedir?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Lem’alar — Yirmi Birinci Lem’a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Rekabet ve Üstün Gelme İsteği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İyi bir işi yaparken bile neden başkasını geçmek isteyebiliriz?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Yirmi Birinci Lem’a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Haset: Başkasının İyiliği Neden Bizi Rahatsız Eder?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Başkasının başarısı bizim değerimizi azaltır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İhlâs Risalesi; Pırlanta’da haset</w:t>
            </w:r>
          </w:p>
        </w:tc>
      </w:tr>
    </w:tbl>
    <w:p>
      <w:r>
        <w:br w:type="page"/>
      </w:r>
    </w:p>
    <w:p>
      <w:pPr>
        <w:pStyle w:val="Heading1"/>
      </w:pPr>
      <w:r>
        <w:t>5. ÜNİTE — ARKADAŞLIK, GIYBET VE İLİŞKİLER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17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Anne-Baba Hakkı: Büyürken Hürmeti Nasıl Korurum?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Anne-babamla aynı fikirde olmadığımda hem kendi kararımı verip hem de saygıyı nasıl korurum?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Otuz İkinci Söz; Lem’alar — Yirmi Dördüncü Lem’a; Hocaefendi — “Anne-Baba Hakkı ve Hizmet”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8"/>
              </w:rPr>
              <w:t>18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Arkadaşımın Kusurunu Görünce Ne Yapıyorum? — Gemi Temsili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kusur, bir insanın bütün iyiliklerini siler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Mektubat — Yirmi İkinci Mektup / Uhuvvet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19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İnsanı Tek Hatasıyla Tanımlamak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Birinin yaptığı yanlış ile o kişinin tamamı aynı şey midir?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Yirmi İkinci Mektup — gemi temsili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Özür, Affetmek ve İlişkiyi Tamir Etmek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Özür dilemek veya affetmek neden bazen zor gelir?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Uhuvvet Risalesi; Pırlanta’da affetme ve kardeşlik</w:t>
            </w:r>
          </w:p>
        </w:tc>
      </w:tr>
    </w:tbl>
    <w:p>
      <w:r>
        <w:br w:type="page"/>
      </w:r>
    </w:p>
    <w:p>
      <w:pPr>
        <w:pStyle w:val="Heading1"/>
      </w:pPr>
      <w:r>
        <w:t>6. ÜNİTE — TABİAT, SEBEPLER VE TEFEKKÜRÜ HAYATA TAŞIMAK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Tesadüf Açıklama mıdır?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Bir şeyin nasıl olduğunu söylemek, niçin ve kim tarafından olduğunu açıklamaya yeter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Yirmi Üçüncü Lem’a / Tabiat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Sebepler Ne Kadar Güçlü?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Bir sebebi görmek, yaratmayı o sebebe vermek için yeterli midir?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Tabiat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İman Kâinata Bakışımı Nasıl Değiştirir?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Aynı ağaca iman nazarıyla bakmak ile sıradan bakmak arasında ne fark olabilir?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Tabiat Risalesi; tevhid ve tefekkür bahisleri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Günlük Hayatta Tefekkür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Tefekkürü yalnız derste değil, günlük hayatta nasıl yapabiliriz?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Sözler’de tefekkür bahisleri; Pırlanta — Tefekkür</w:t>
            </w:r>
          </w:p>
        </w:tc>
      </w:tr>
    </w:tbl>
    <w:p>
      <w:r>
        <w:br w:type="page"/>
      </w:r>
    </w:p>
    <w:p>
      <w:pPr>
        <w:pStyle w:val="Heading1"/>
      </w:pPr>
      <w:r>
        <w:t>7. ÜNİTE — ÖLÜM, AHİRET VE BUGÜNKÜ SEÇİMLER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Ölüm Korkusu Bize Ne Söylüyor?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İnsan ölümü düşünmekten neden kaçar?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Onuncu Söz; Gençlik Rehberi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Ahiret ve Adalet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Hesap ve ahiret inancı bugünkü davranışlarımızı etkiler mi?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Sözler — Onuncu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27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Bahar ve Yeniden Diriliş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Her yıl gördüğümüz diriliş ahiret fikrini anlamamıza nasıl yardım eder?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Sözler — Onuncu Söz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28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Ahiret İnancı Bugünümü Nasıl Değiştirir?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Sonsuz bir hayat inancı günlük tercihlerimize nasıl yansır?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Onuncu Söz; ilgili Pırlanta bahisleri</w:t>
            </w:r>
          </w:p>
        </w:tc>
      </w:tr>
    </w:tbl>
    <w:p>
      <w:r>
        <w:br w:type="page"/>
      </w:r>
    </w:p>
    <w:p>
      <w:pPr>
        <w:pStyle w:val="Heading1"/>
      </w:pPr>
      <w:r>
        <w:t>8. ÜNİTE — ÜMİT, SIKINTI VE MANEVÎ YARALAR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29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Ümitsizlik Neden Tehlikelidir?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Zor bir durumda “artık hiçbir şey düzelmez” demek bizi nasıl etkiler?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Hutbe-i Şamiye — yeis ve ümit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30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Ümit Sadece İyi Düşünmek mi?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Gerçek ümit ile boş beklenti arasındaki fark nedir?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Hutbe-i Şamiye; Pırlanta’da ümit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31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Sıkıntı ve Sabır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Zor zamanlar insana sadece zarar mı verir, yoksa öğretebileceği şeyler de var mı?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Lem’alar — Hastalar Risalesi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32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Hz. Eyyûb: Dış Yara ve İç Yara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Manevî bir yaranın bedendeki yaradan daha tehlikeli olması ne demektir?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Lem’alar — İkinci Lem’a</w:t>
            </w:r>
          </w:p>
        </w:tc>
      </w:tr>
    </w:tbl>
    <w:p>
      <w:r>
        <w:br w:type="page"/>
      </w:r>
    </w:p>
    <w:p>
      <w:pPr>
        <w:pStyle w:val="Heading1"/>
      </w:pPr>
      <w:r>
        <w:t>9. ÜNİTE — KENDİ MESELEMİ BULUYOR VE HAYATA TAŞIYORUM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652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Hafta</w:t>
            </w:r>
          </w:p>
        </w:tc>
        <w:tc>
          <w:tcPr>
            <w:tcW w:type="dxa" w:w="292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Ders Konusu</w:t>
            </w:r>
          </w:p>
        </w:tc>
        <w:tc>
          <w:tcPr>
            <w:tcW w:type="dxa" w:w="3770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Soru</w:t>
            </w:r>
          </w:p>
        </w:tc>
        <w:tc>
          <w:tcPr>
            <w:tcW w:type="dxa" w:w="2353"/>
            <w:shd w:fill="17365D"/>
            <w:tcMar>
              <w:top w:w="105" w:type="dxa"/>
              <w:start w:w="85" w:type="dxa"/>
              <w:bottom w:w="105" w:type="dxa"/>
              <w:end w:w="8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Ana Kaynak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33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Benim Hayatımdaki Gerçek Mesele Ne?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Şu anda hayatımda üzerinde düşünmem gereken hangi konu var?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Öğrencinin seçtiği meseleye göre kaynak havuzu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34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Bu Konuda Risale Bana Ne Söylüyor?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Kendi soruma uygun Risale bölümünü nasıl bulurum ve doğru okurum?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İlgili Risale bölümü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35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Hocaefendi Bu Meseleyi Nasıl Ele Alıyor?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Aynı meseleye Pırlanta veya sohbetlerde nasıl yaklaşılmış?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</w:tcPr>
          <w:p>
            <w:r>
              <w:rPr>
                <w:rFonts w:ascii="Aptos" w:hAnsi="Aptos"/>
                <w:sz w:val="17"/>
              </w:rPr>
              <w:t>İlgili Hocaefendi/Pırlanta metni veya sohbeti</w:t>
            </w:r>
          </w:p>
        </w:tc>
      </w:tr>
      <w:tr>
        <w:tc>
          <w:tcPr>
            <w:tcW w:type="dxa" w:w="652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pPr>
              <w:jc w:val="center"/>
            </w:pPr>
            <w:r>
              <w:rPr>
                <w:rFonts w:ascii="Aptos" w:hAnsi="Aptos"/>
                <w:sz w:val="18"/>
              </w:rPr>
              <w:t>36</w:t>
            </w:r>
          </w:p>
        </w:tc>
        <w:tc>
          <w:tcPr>
            <w:tcW w:type="dxa" w:w="292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b/>
                <w:color w:val="17365D"/>
                <w:sz w:val="17"/>
              </w:rPr>
              <w:t>Bir Hakikati Hayatıma Taşıyorum</w:t>
            </w:r>
          </w:p>
        </w:tc>
        <w:tc>
          <w:tcPr>
            <w:tcW w:type="dxa" w:w="3770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Okuduğum iki kaynaktan hareketle hayatımda hangi küçük ama gerçek adımı seçebilirim?</w:t>
            </w:r>
          </w:p>
        </w:tc>
        <w:tc>
          <w:tcPr>
            <w:tcW w:type="dxa" w:w="2353"/>
            <w:tcMar>
              <w:top w:w="85" w:type="dxa"/>
              <w:start w:w="85" w:type="dxa"/>
              <w:bottom w:w="85" w:type="dxa"/>
              <w:end w:w="85" w:type="dxa"/>
            </w:tcMar>
            <w:vAlign w:val="top"/>
            <w:shd w:fill="FAFAFA"/>
          </w:tcPr>
          <w:p>
            <w:r>
              <w:rPr>
                <w:rFonts w:ascii="Aptos" w:hAnsi="Aptos"/>
                <w:sz w:val="17"/>
              </w:rPr>
              <w:t>Öğrencinin seçtiği Risale + Pırlanta kaynağı</w:t>
            </w:r>
          </w:p>
        </w:tc>
      </w:tr>
    </w:tbl>
    <w:p>
      <w:r>
        <w:br w:type="page"/>
      </w:r>
    </w:p>
    <w:p>
      <w:pPr>
        <w:pStyle w:val="Heading1"/>
      </w:pPr>
      <w:r>
        <w:t>M3 — Yıllık Gelişim Haritası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Dönem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Gelişim Basamağı</w:t>
            </w:r>
          </w:p>
        </w:tc>
        <w:tc>
          <w:tcPr>
            <w:tcW w:type="dxa" w:w="3437"/>
            <w:shd w:fill="2F6F73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1–4.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TANIŞIYORUM VE HAYATLA BAĞ KURMAYI ÖĞRENİYORUM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Risale ve Hocaefendi ile ortak başlangıç; bilgi-amel, temsil ve uygulama yöntemi.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5–12.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KENDİMİ YÖNETMEYİ ÖĞRENİYORUM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Gençlik, özgürlük, irade, alışkanlık, beden, zaman ve kabiliyet.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13–20.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İÇ DÜNYAMI VE İLİŞKİLERİMİ DÜZELTİYORUM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Niyet, görünme isteği, rekabet, haset, arkadaşlık, gıybet ve affetme.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21–28.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İNANDIĞIM HAKİKATİN BAKIŞIMA VE SEÇİMLERİME ETKİSİNİ GÖRÜYORUM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Tabiat, sebepler, tefekkür, ölüm, ahiret ve günlük davranış.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29–32.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ZORLUKLARDA HAKİKATLE AYAKTA KALIYORUM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Ümitsizlik, ümit, sabır, sıkıntı ve manevî yaralar.</w:t>
            </w:r>
          </w:p>
        </w:tc>
      </w:tr>
      <w:tr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33–36. haftalar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b/>
                <w:color w:val="17365D"/>
                <w:sz w:val="18"/>
              </w:rPr>
              <w:t>KENDİ MESELEM İÇİN KAYNAĞA BAŞVURUYOR VE UYGULUYORUM</w:t>
            </w:r>
          </w:p>
        </w:tc>
        <w:tc>
          <w:tcPr>
            <w:tcW w:type="dxa" w:w="343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8"/>
              </w:rPr>
              <w:t>Gerçek hayat sorusu, Risale ve Pırlanta’dan kaynak bulma, küçük uygulama adımı.</w:t>
            </w:r>
          </w:p>
        </w:tc>
      </w:tr>
    </w:tbl>
    <w:p/>
    <w:p>
      <w:pPr>
        <w:pStyle w:val="Heading2"/>
      </w:pPr>
      <w:r>
        <w:t>Yıl Sonu Başarı Cümlesi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EAF4F4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3"/>
              </w:rPr>
              <w:t>“Okuduğum bir Risale veya Pırlanta hakikatinin hayatımla ilgisini görebiliyor, bana ne söylediğini kendi cümlemle ifade ediyor ve küçük bir uygulama adımı seçebiliyorum.”</w:t>
            </w:r>
          </w:p>
        </w:tc>
      </w:tr>
    </w:tbl>
    <w:p>
      <w:pPr>
        <w:pStyle w:val="Heading1"/>
      </w:pPr>
      <w:r>
        <w:t>Haftalık Ders Dosyası Standardı</w:t>
      </w:r>
    </w:p>
    <w:p>
      <w:pPr>
        <w:pStyle w:val="ListNumber"/>
      </w:pPr>
      <w:r>
        <w:t>Yaşa uygun, dikkat çekici ve mümkünse gerçek bir hikâye/hadise üzerinden giriş</w:t>
      </w:r>
    </w:p>
    <w:p>
      <w:pPr>
        <w:pStyle w:val="ListNumber"/>
      </w:pPr>
      <w:r>
        <w:t>En az 15–20 dakikalık hazır ve doyurucu ana metin</w:t>
      </w:r>
    </w:p>
    <w:p>
      <w:pPr>
        <w:pStyle w:val="ListNumber"/>
      </w:pPr>
      <w:r>
        <w:t>Risale-i Nur’dan seçilmiş aslî pasaj — dosyanın içinde hazır</w:t>
      </w:r>
    </w:p>
    <w:p>
      <w:pPr>
        <w:pStyle w:val="ListNumber"/>
      </w:pPr>
      <w:r>
        <w:t>Zor kelimeler ve kavramlar</w:t>
      </w:r>
    </w:p>
    <w:p>
      <w:pPr>
        <w:pStyle w:val="ListNumber"/>
      </w:pPr>
      <w:r>
        <w:t>Sadeleştirilmiş anlam ve ana fikir</w:t>
      </w:r>
    </w:p>
    <w:p>
      <w:pPr>
        <w:pStyle w:val="ListNumber"/>
      </w:pPr>
      <w:r>
        <w:t>Hocaefendi/Pırlanta’dan seçilmiş aslî pasaj — dosyanın içinde hazır</w:t>
      </w:r>
    </w:p>
    <w:p>
      <w:pPr>
        <w:pStyle w:val="ListNumber"/>
      </w:pPr>
      <w:r>
        <w:t>Metinlerin öğrencinin gerçek hayatıyla bağlantısı</w:t>
      </w:r>
    </w:p>
    <w:p>
      <w:pPr>
        <w:pStyle w:val="ListNumber"/>
      </w:pPr>
      <w:r>
        <w:t>Gerekirse kısa film/animasyon/ses kesiti ve dakika bilgisi</w:t>
      </w:r>
    </w:p>
    <w:p>
      <w:pPr>
        <w:pStyle w:val="ListNumber"/>
      </w:pPr>
      <w:r>
        <w:t>Müzakere ve ikna edici düşünme soruları</w:t>
      </w:r>
    </w:p>
    <w:p>
      <w:pPr>
        <w:pStyle w:val="ListNumber"/>
      </w:pPr>
      <w:r>
        <w:t>Bu hafta için tek, küçük ve gerçekçi uygulama adımı</w:t>
      </w:r>
    </w:p>
    <w:p>
      <w:pPr>
        <w:pStyle w:val="ListNumber"/>
      </w:pPr>
      <w:r>
        <w:t>Bir sonraki hafta uygulamaya kısa geri dönüş</w:t>
      </w:r>
    </w:p>
    <w:p>
      <w:pPr>
        <w:pStyle w:val="ListNumber"/>
      </w:pPr>
      <w:r>
        <w:t>Tam kaynakça: eser, bölüm, baskı ve mümkünse sayfa</w:t>
      </w:r>
    </w:p>
    <w:p>
      <w:pPr>
        <w:pStyle w:val="Heading2"/>
      </w:pPr>
      <w:r>
        <w:t>Kaynak Metin ve Uygulama İlkesi</w:t>
      </w:r>
    </w:p>
    <w:p>
      <w:r>
        <w:rPr>
          <w:b/>
        </w:rPr>
        <w:t xml:space="preserve">ASLÎ METİN </w:t>
      </w:r>
      <w:r>
        <w:t xml:space="preserve">ile </w:t>
      </w:r>
      <w:r>
        <w:rPr>
          <w:b/>
        </w:rPr>
        <w:t xml:space="preserve">SADELEŞTİRİLMİŞ ANLAM </w:t>
      </w:r>
      <w:r>
        <w:t>ayrı gösterilecektir. Abi/abla kaynak aramayacak; kullanılacak metinler haftalık dosyanın içinde hazır bulunacaktır.</w:t>
      </w:r>
    </w:p>
    <w:p>
      <w:r>
        <w:rPr>
          <w:b/>
        </w:rPr>
        <w:t xml:space="preserve">M3’te her dersin sonu yalnız “ne anladım?” ile bitmez. </w:t>
      </w:r>
      <w:r>
        <w:t>İkinci soru mutlaka “Bunun hayatımdaki karşılığı ne?” olacaktır. Uygulama büyük ve gösterişli değil; öğrencinin gerçekten yapabileceği küçük bir davranış, bakış veya alışkanlık adımı olacaktır.</w:t>
      </w:r>
    </w:p>
    <w:p>
      <w:r>
        <w:br w:type="page"/>
      </w:r>
    </w:p>
    <w:p>
      <w:pPr>
        <w:pStyle w:val="Heading1"/>
      </w:pPr>
      <w:r>
        <w:t>Anne-Baba ve Büyüklere Hürmet Gelişim Hattı</w:t>
      </w:r>
    </w:p>
    <w:p>
      <w:r>
        <w:rPr>
          <w:b/>
        </w:rPr>
        <w:t xml:space="preserve">Bu konu tek bir ahlâk haftası olarak bırakılmayacaktır. </w:t>
      </w:r>
      <w:r>
        <w:t>Her kademede yaşa göre derinleşecek; ayrıca uygun başka derslerde kısa hatırlatmalarla yeniden temas edilecektir.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17365D"/>
          </w:tcPr>
          <w:p>
            <w:r>
              <w:t>Boyut</w:t>
            </w:r>
          </w:p>
        </w:tc>
        <w:tc>
          <w:tcPr>
            <w:tcW w:type="dxa" w:w="5156"/>
            <w:shd w:fill="17365D"/>
          </w:tcPr>
          <w:p>
            <w:r>
              <w:t>İçerik</w:t>
            </w:r>
          </w:p>
        </w:tc>
      </w:tr>
      <w:tr>
        <w:tc>
          <w:tcPr>
            <w:tcW w:type="dxa" w:w="5156"/>
          </w:tcPr>
          <w:p>
            <w:r>
              <w:t>M3 odağı</w:t>
            </w:r>
          </w:p>
        </w:tc>
        <w:tc>
          <w:tcPr>
            <w:tcW w:type="dxa" w:w="5156"/>
          </w:tcPr>
          <w:p>
            <w:r>
              <w:t>Ergenlikte bağımsızlaşırken saygı; fikir ayrılığında üslup; hizmet, vefa ve hak–sınır dengesi.</w:t>
            </w:r>
          </w:p>
        </w:tc>
      </w:tr>
      <w:tr>
        <w:tc>
          <w:tcPr>
            <w:tcW w:type="dxa" w:w="5156"/>
          </w:tcPr>
          <w:p>
            <w:r>
              <w:t>Ana soru</w:t>
            </w:r>
          </w:p>
        </w:tc>
        <w:tc>
          <w:tcPr>
            <w:tcW w:type="dxa" w:w="5156"/>
          </w:tcPr>
          <w:p>
            <w:r>
              <w:t>“Anne-babamla aynı fikirde olmadığımda hem kendi kararımı verip hem de hürmeti nasıl korurum?”</w:t>
            </w:r>
          </w:p>
        </w:tc>
      </w:tr>
      <w:tr>
        <w:tc>
          <w:tcPr>
            <w:tcW w:type="dxa" w:w="5156"/>
          </w:tcPr>
          <w:p>
            <w:r>
              <w:t>Risale damarı</w:t>
            </w:r>
          </w:p>
        </w:tc>
        <w:tc>
          <w:tcPr>
            <w:tcW w:type="dxa" w:w="5156"/>
          </w:tcPr>
          <w:p>
            <w:r>
              <w:t>Otuz İkinci Söz: ihtiyarlıkta anne-babaya daha fazla şefkat; Yirmi Dördüncü Lem’a: annenin terbiyedeki yeri.</w:t>
            </w:r>
          </w:p>
        </w:tc>
      </w:tr>
      <w:tr>
        <w:tc>
          <w:tcPr>
            <w:tcW w:type="dxa" w:w="5156"/>
          </w:tcPr>
          <w:p>
            <w:r>
              <w:t>Hocaefendi damarı</w:t>
            </w:r>
          </w:p>
        </w:tc>
        <w:tc>
          <w:tcPr>
            <w:tcW w:type="dxa" w:w="5156"/>
          </w:tcPr>
          <w:p>
            <w:r>
              <w:t>“Anne-Baba Hakkı ve Hizmet”: ihtilaf hâlinde dahi güzel muamele; “Anne-baba hakkı” vaazından seçilmiş kesitler.</w:t>
            </w:r>
          </w:p>
        </w:tc>
      </w:tr>
    </w:tbl>
    <w:p>
      <w:r>
        <w:t>Kaynak omurgası:</w:t>
      </w:r>
    </w:p>
    <w:p>
      <w:pPr>
        <w:pStyle w:val="ListBullet"/>
      </w:pPr>
      <w:r>
        <w:t>Bediüzzaman Said Nursî, Lem’alar, Yirmi Dördüncü Lem’a, çevrim içi s. 202 — annenin ilk ve tesirli muallim oluşu.</w:t>
      </w:r>
    </w:p>
    <w:p>
      <w:pPr>
        <w:pStyle w:val="ListBullet"/>
      </w:pPr>
      <w:r>
        <w:t>Bediüzzaman Said Nursî, Sözler, Otuz İkinci Söz, çevrim içi s. 583 — anne-babaya hürmet ve ihtiyarlıkta daha fazla şefkat.</w:t>
      </w:r>
    </w:p>
    <w:p>
      <w:pPr>
        <w:pStyle w:val="ListBullet"/>
      </w:pPr>
      <w:r>
        <w:t>Fethullah Gülen, “Anne-baba hakkı”, Hisar Camii vaazı, 26 Mayıs 1991.</w:t>
      </w:r>
    </w:p>
    <w:p>
      <w:pPr>
        <w:pStyle w:val="ListBullet"/>
      </w:pPr>
      <w:r>
        <w:t>Fethullah Gülen, Bahar Neşidesi, “Anne-Baba Hakkı ve Hizmet”.</w:t>
      </w:r>
    </w:p>
    <w:p>
      <w:pPr>
        <w:pStyle w:val="Heading1"/>
      </w:pPr>
      <w:r>
        <w:t>Hazır Görsel ve Kısa Video İlkesi</w:t>
      </w:r>
    </w:p>
    <w:p>
      <w:r>
        <w:rPr>
          <w:b/>
        </w:rPr>
        <w:t xml:space="preserve">Bundan sonraki her ayrıntılı haftalık dosyada öğretmenin ayrıca arama yapmasına gerek kalmayacak şekilde </w:t>
      </w:r>
      <w:r>
        <w:t>en az bir hazır açılış görseli, mümkünse bir kısa özgün ses/video kesiti ve bir gerçek belge/arsiv bağlantısı verilecektir.</w:t>
      </w:r>
    </w:p>
    <w:p>
      <w:pPr>
        <w:pStyle w:val="ListBullet"/>
      </w:pPr>
      <w:r>
        <w:t>Açılış görseli 30–60 saniye sessiz gösterilir; tek bir merak sorusu sorulur.</w:t>
      </w:r>
    </w:p>
    <w:p>
      <w:pPr>
        <w:pStyle w:val="ListBullet"/>
      </w:pPr>
      <w:r>
        <w:t>Video kesiti genel olarak 1–6 dakika tutulur; dersin ana metninin yerini almaz.</w:t>
      </w:r>
    </w:p>
    <w:p>
      <w:pPr>
        <w:pStyle w:val="ListBullet"/>
      </w:pPr>
      <w:r>
        <w:t>Kesit mümkünse asıl eserin/vaazın devamını merak ettirecek yerde kesilir.</w:t>
      </w:r>
    </w:p>
    <w:p>
      <w:pPr>
        <w:pStyle w:val="ListBullet"/>
      </w:pPr>
      <w:r>
        <w:t>Film ve animasyonlar “dramatizasyon/temsili anlatım” diye etiketlenir; tarihî belge yerine kullanılmaz.</w:t>
      </w:r>
    </w:p>
    <w:p>
      <w:pPr>
        <w:pStyle w:val="ListBullet"/>
      </w:pPr>
      <w:r>
        <w:t>Yapay zekâ ile hazırlanmış görseller “temsili görsel — tarihî fotoğraf değildir” diye açıkça belirtilir.</w:t>
      </w:r>
    </w:p>
    <w:p>
      <w:pPr>
        <w:pStyle w:val="ListBullet"/>
      </w:pPr>
      <w:r>
        <w:t>Gerçek arşiv belgesi varsa dosyada doğrudan erişim bağlantısı verilir.</w:t>
      </w:r>
    </w:p>
    <w:p>
      <w:pPr>
        <w:pStyle w:val="Heading2"/>
      </w:pPr>
      <w:r>
        <w:t>Altı Yıllık Anne-Baba Hakkı Derinleşme Çizgisi</w:t>
      </w:r>
    </w:p>
    <w:p>
      <w:pPr>
        <w:pStyle w:val="ListBullet"/>
      </w:pPr>
      <w:r>
        <w:t>M1: Teşekkür, sevgi, güzel söz, küçük hizmet.</w:t>
      </w:r>
    </w:p>
    <w:p>
      <w:pPr>
        <w:pStyle w:val="ListBullet"/>
      </w:pPr>
      <w:r>
        <w:t>M2: Görünmeyen emek, kırmamak, vefa ve büyüklere hürmet.</w:t>
      </w:r>
    </w:p>
    <w:p>
      <w:pPr>
        <w:pStyle w:val="ListBullet"/>
      </w:pPr>
      <w:r>
        <w:t>M3: Fikir ayrılığı ve bağımsızlaşma içinde saygıyı korumak.</w:t>
      </w:r>
    </w:p>
    <w:p>
      <w:pPr>
        <w:pStyle w:val="ListBullet"/>
      </w:pPr>
      <w:r>
        <w:t>Lise 1: İtaatin sınırı, yanlış talep karşısında nezaket, “ma‘ruf ile muamele”.</w:t>
      </w:r>
    </w:p>
    <w:p>
      <w:pPr>
        <w:pStyle w:val="ListBullet"/>
      </w:pPr>
      <w:r>
        <w:t>Lise 2: Yaşlanan ebeveyne bakım, vefa, dua ve fedakârlık.</w:t>
      </w:r>
    </w:p>
    <w:p>
      <w:pPr>
        <w:pStyle w:val="ListBullet"/>
      </w:pPr>
      <w:r>
        <w:t>Lise 3: Evden bağımsızlaşırken bağı sürdürmek; gelecekte aile ve ebeveynlik sorumluluğu.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6666"/>
        <w:sz w:val="16"/>
      </w:rPr>
      <w:t>M3 — Ortaokul 3 | Risale-i Nur ve Pırlanta Yıllık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2F6F73"/>
        <w:sz w:val="16"/>
      </w:rPr>
      <w:t>M3 • Yıllık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6F73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Small">
    <w:name w:val="SubtitleSmall"/>
    <w:pPr>
      <w:spacing w:after="160"/>
    </w:pPr>
    <w:rPr>
      <w:rFonts w:ascii="Aptos" w:hAnsi="Aptos"/>
      <w:color w:val="666666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