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required flow rate for system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bearings based on L/D ratio and crankshaft dimensions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total leakage rate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flow rate needed through intake/exhaust manifolds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Splash lubrication from bearings on camshaft, same calculations as for crankshaft and connecting rod bearings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pump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finalizes system flow rate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pressure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major, minor losses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flow rate to find velocity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diameter of oil channels through block and crankshaft (also intake/exhaust manifolds)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flow rate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Crankshaft channels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Outer channels can be slightly longer with slightly lower pressures because they will have lower flow rates because they only support half the load of the central bearing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channels into part design files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 2: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oil pan based on engine block design and required volume of oil (~4 litres)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allow for safety factor for tilt, ac/deceleration (eliminate crankshaft dipping)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drain plug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considerations to ensure intake tube is always submerged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rest of components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Dipstick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Dipstick tube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manifold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pump mount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 rest of system components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Intake tube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Tube adapter (male)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Drilling relief valve (after pump, before drilling entrance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Bypass relief valve (before full flow filter)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Piston relief valve (before piston cooling jet)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flow filter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Bypass filter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manifold mounting bolts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Lifter/pushrod lubrication:</w:t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https://www.thecarguys.net/valve_system_operation.pdf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Bearing material: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AST800 Bimetal Wrapped Steel With Bronze,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Good</w:t>
      </w:r>
      <w:r w:rsidDel="00000000" w:rsidR="00000000" w:rsidRPr="00000000">
        <w:rPr>
          <w:rtl w:val="0"/>
        </w:rPr>
        <w:t xml:space="preserve"> for lubricated applications, high load capacity, excellent heat dissipation, and good fatigue properties. They have been widely used in automotive industry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hecarguys.net/valve_system_ope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