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Pump: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Required flow rate: 4.36L/min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Required Pressure: 520kPa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Manufacturer: RB Racing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Cost: $495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Quantity: 1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https://www.rbracing-rsr.com/oilsystems.htm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Filters: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Full flow filtration: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Manufacturer: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Cost: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Quantity: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Fine filtration: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Manufacturer: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Cost: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Quantity: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Relief Valves: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Main channel relief valve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Manufacturer: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Cost: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Quantity: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Filter relief valve: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Manufacturer: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Cost: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Quantity: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Strainer: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Manufacturer: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Cost: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Quantity: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Tubing: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Manufacturer: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Cost: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Quantity: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Temperature Sensor: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Manufacturer: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Cost: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Quantity: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Pump Mounting Bolts: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Manufacturer: RB Racing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Cost: $7.95 (set of 4)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Quantity: 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Crankshaft Bearing: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Manufacturer: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Cost: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Quantity: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Crankpin Bearing: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Manufacturer: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Cost: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Quantity: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Camshaft Bearing: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Manufacturer: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Cost: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Quantity: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bracing-rsr.com/oilsystem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