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Tổng quan dữ liệu AI và phạm vi bàn giao</w:t>
      </w:r>
    </w:p>
    <w:p>
      <w:pPr>
        <w:pStyle w:val="Subtitle"/>
      </w:pPr>
      <w:r>
        <w:t>Tài liệu 1 trong 3 • Đọc trước khi thay đổi code hoặc tích hợp chatbot</w:t>
      </w:r>
    </w:p>
    <w:p>
      <w:r>
        <w:t>Asteria • Digital Cultural Interpreter • Khoa bàn giao cho nhóm AI</w:t>
        <w:br/>
        <w:t>Phiên bản 1.0 • Ngày 20 tháng 10 năm 2026</w:t>
      </w:r>
    </w:p>
    <w:p>
      <w:r>
        <w:t>Kho dữ liệu phục vụ RAG đã được xây dựng và đã chạy được tìm kiếm bằng dòng lệnh. Nhóm AI tiếp nhận dữ liệu này để nối truy xuất vào chatbot và LLM của nhóm. Tại thời điểm bàn giao, chatbot cũ chưa được xác nhận sử dụng kho RAG mới; bộ kiểm thử bàn giao cuối chưa chạy vì Docker Desktop gặp lỗi WSL.</w:t>
      </w:r>
    </w:p>
    <w:p>
      <w:r>
        <w:t>RAG là cách tìm bằng chứng trước khi cho LLM trả lời. Corpus là tập tài liệu có thể tìm kiếm; chunk là một đoạn của tài liệu; embedding là vector số biểu diễn ý nghĩa đoạn hoặc câu hỏi. Profile xác định cấu hình tạo vector để hai phía dùng cùng một cách biểu diễn.</w:t>
      </w:r>
    </w:p>
    <w:p>
      <w:pPr>
        <w:pStyle w:val="Heading1"/>
      </w:pPr>
      <w:r>
        <w:t>1 Cách đọc bộ tài liệu</w:t>
      </w:r>
    </w:p>
    <w:tbl>
      <w:tblPr>
        <w:tblW w:type="auto" w:w="0"/>
        <w:jc w:val="center"/>
        <w:tblLayout w:type="fixed"/>
        <w:tblLook w:firstColumn="1" w:firstRow="1" w:lastColumn="0" w:lastRow="0" w:noHBand="0" w:noVBand="1" w:val="04A0"/>
      </w:tblPr>
      <w:tblGrid>
        <w:gridCol w:w="2592"/>
        <w:gridCol w:w="7488"/>
      </w:tblGrid>
      <w:tr>
        <w:trPr>
          <w:cantSplit/>
          <w:tblHeader/>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Tài liệu</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Nội dung và người sử dụng</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01 Tổng quan dữ liệu AI</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Phạm vi sản phẩm, nguồn dữ liệu, luồng xử lý, kết quả đã xác nhận và giới hạn.</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02 Đặc tả dữ liệu và truy xuất</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Bảng dữ liệu, định danh, embedding profile, hợp đồng đầu vào và đầu ra. Dành cho người viết code và AI hỗ trợ.</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03 Tích hợp vận hành và kiểm thử</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Cách tiếp nhận repo và dữ liệu, lệnh kiểm tra, việc nhóm AI cần làm và nội dung giao cho AI hỗ trợ.</w:t>
            </w:r>
          </w:p>
        </w:tc>
      </w:tr>
    </w:tbl>
    <w:p>
      <w:pPr>
        <w:spacing w:after="0"/>
      </w:pPr>
    </w:p>
    <w:p>
      <w:r>
        <w:t>Repo dự án: https://github.com/trmai-19/AISC_2026. Thư mục làm việc của Khoa: D:\AISC\AISC_2026. Commit và branch bàn giao phải lấy từ lần push thực tế; chưa có SHA bàn giao được xác nhận trong hồ sơ này.</w:t>
      </w:r>
    </w:p>
    <w:p>
      <w:pPr>
        <w:pStyle w:val="Heading2"/>
      </w:pPr>
      <w:r>
        <w:t>Phân biệt trạng thái</w:t>
      </w:r>
    </w:p>
    <w:p>
      <w:pPr>
        <w:pStyle w:val="ListBullet"/>
      </w:pPr>
      <w:r>
        <w:t>ĐÃ XÁC NHẬN: có kết quả lệnh hoặc truy vấn thành công trong quá trình triển khai.</w:t>
      </w:r>
    </w:p>
    <w:p>
      <w:pPr>
        <w:pStyle w:val="ListBullet"/>
      </w:pPr>
      <w:r>
        <w:t>ĐÃ CÓ CODE CHƯA NGHIỆM THU CUỐI: đã chuẩn bị nhưng chưa có kết quả chạy đầy đủ trên môi trường bàn giao.</w:t>
      </w:r>
    </w:p>
    <w:p>
      <w:pPr>
        <w:pStyle w:val="ListBullet"/>
      </w:pPr>
      <w:r>
        <w:t>CẦN LÀM: phần tích hợp hoặc kiểm thử còn thiếu. Số liệu ghi trong bộ này là mốc kiểm tra trước đó, không phải số liệu trực tiếp tại lúc người nhận mở tài liệu.</w:t>
      </w:r>
    </w:p>
    <w:p>
      <w:r>
        <w:br w:type="page"/>
      </w:r>
    </w:p>
    <w:p>
      <w:pPr>
        <w:pStyle w:val="Heading1"/>
      </w:pPr>
      <w:r>
        <w:t>2 Phạm vi dữ liệu cho sản phẩm AI</w:t>
      </w:r>
    </w:p>
    <w:p>
      <w:r>
        <w:t>Demo AI tập trung vào cách ứng xử và phép lịch sự thường ngày tại Nhật Bản JP, Hàn Quốc KR và Úc AU. Nguồn ngoài được cố định để demo ổn định. Đóng góp từ website mới là nguồn cần được đồng bộ định kỳ theo trạng thái và nội dung hiện tại.</w:t>
      </w:r>
    </w:p>
    <w:tbl>
      <w:tblPr>
        <w:tblW w:type="auto" w:w="0"/>
        <w:jc w:val="center"/>
        <w:tblLayout w:type="fixed"/>
        <w:tblLook w:firstColumn="1" w:firstRow="1" w:lastColumn="0" w:lastRow="0" w:noHBand="0" w:noVBand="1" w:val="04A0"/>
      </w:tblPr>
      <w:tblGrid>
        <w:gridCol w:w="1728"/>
        <w:gridCol w:w="4464"/>
        <w:gridCol w:w="3888"/>
      </w:tblGrid>
      <w:tr>
        <w:trPr>
          <w:cantSplit/>
          <w:tblHeader/>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Nhóm</w:t>
            </w:r>
          </w:p>
        </w:tc>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Phạm vi hiện có</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Cách cập nhật</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EXTERNAL</w:t>
            </w:r>
          </w:p>
        </w:tc>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3 trang kiến thức về manners và etiquette của JP KR AU</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Nạp ban đầu; thay đổi có chủ đích. Không chủ trương crawl thêm liên tục trong demo.</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COMMUNITY</w:t>
            </w:r>
          </w:p>
        </w:tc>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Đóng góp APPROVED thuộc JP KR AU và domain giao_tiep hoặc doi_song</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Đọc snapshot website mới, cập nhật Core, chuẩn bị lại corpus và bổ sung embedding còn thiếu.</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Ngoài phạm vi AI</w:t>
            </w:r>
          </w:p>
        </w:tc>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22 file thống kê EUROSTUDENT DAAD QILT JASSO Study Australia</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Dùng cho phân tích và dashboard; chưa đưa tự động vào corpus RAG hiện tại.</w:t>
            </w:r>
          </w:p>
        </w:tc>
      </w:tr>
    </w:tbl>
    <w:p>
      <w:pPr>
        <w:spacing w:after="0"/>
      </w:pPr>
    </w:p>
    <w:p>
      <w:r>
        <w:t>Năm dashboard vẫn được giữ nguyên: External Overview, Destination Experiences, Community Overview, User Needs and Challenges, Product Usage. Dashboard nguồn ngoài có thể chứa Đức hoặc các nước EUROSTUDENT; điều đó không mở rộng phạm vi trả lời AI ra ngoài JP KR AU.</w:t>
      </w:r>
    </w:p>
    <w:p>
      <w:pPr>
        <w:pStyle w:val="Heading2"/>
      </w:pPr>
      <w:r>
        <w:t>Các giới hạn cần giữ khi demo</w:t>
      </w:r>
    </w:p>
    <w:p>
      <w:pPr>
        <w:pStyle w:val="ListBullet"/>
      </w:pPr>
      <w:r>
        <w:t>Dữ liệu cộng đồng hiện có nhiều bản ghi mock và nội dung lặp. Không mô tả đây là kết quả khảo sát hoặc trải nghiệm người dùng thật đã được kiểm chứng.</w:t>
      </w:r>
    </w:p>
    <w:p>
      <w:pPr>
        <w:pStyle w:val="ListBullet"/>
      </w:pPr>
      <w:r>
        <w:t>APPROVED là điều kiện xuất bản dữ liệu trong pipeline hiện tại, không tự chứng minh nội dung là sự thật hoặc là hướng dẫn chính thức.</w:t>
      </w:r>
    </w:p>
    <w:p>
      <w:pPr>
        <w:pStyle w:val="ListBullet"/>
      </w:pPr>
      <w:r>
        <w:t>Corpus nhỏ không đủ bao phủ toàn bộ câu hỏi về visa, luật, y tế hoặc cuộc sống ở ba nước. Khi thiếu bằng chứng, chatbot cần nói rõ giới hạn và không suy diễn.</w:t>
      </w:r>
    </w:p>
    <w:p>
      <w:pPr>
        <w:pStyle w:val="ListBullet"/>
      </w:pPr>
      <w:r>
        <w:t>Không tự tăng nguồn, đổi model hoặc đổi schema trong lúc nối chatbot nếu chưa có nhu cầu cụ thể.</w:t>
      </w:r>
    </w:p>
    <w:p>
      <w:r>
        <w:br w:type="page"/>
      </w:r>
    </w:p>
    <w:p>
      <w:pPr>
        <w:pStyle w:val="Heading1"/>
      </w:pPr>
      <w:r>
        <w:t>3 Danh mục ba nguồn kiến thức ngoài</w:t>
      </w:r>
    </w:p>
    <w:tbl>
      <w:tblPr>
        <w:tblW w:type="auto" w:w="0"/>
        <w:jc w:val="center"/>
        <w:tblLayout w:type="fixed"/>
        <w:tblLook w:firstColumn="1" w:firstRow="1" w:lastColumn="0" w:lastRow="0" w:noHBand="0" w:noVBand="1" w:val="04A0"/>
      </w:tblPr>
      <w:tblGrid>
        <w:gridCol w:w="2664"/>
        <w:gridCol w:w="2880"/>
        <w:gridCol w:w="4536"/>
      </w:tblGrid>
      <w:tr>
        <w:trPr>
          <w:cantSplit/>
          <w:tblHeader/>
        </w:trPr>
        <w:tc>
          <w:tcPr>
            <w:tcW w:type="dxa" w:w="26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Source ID</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Quốc gia và nhà xuất bản</w:t>
            </w:r>
          </w:p>
        </w:tc>
        <w:tc>
          <w:tcPr>
            <w:tcW w:type="dxa" w:w="45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Nội dung</w:t>
            </w:r>
          </w:p>
        </w:tc>
      </w:tr>
      <w:tr>
        <w:trPr>
          <w:cantSplit/>
        </w:trPr>
        <w:tc>
          <w:tcPr>
            <w:tcW w:type="dxa" w:w="26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JP_JNTO_MANNERS</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JP • Japan National Tourism Organization</w:t>
            </w:r>
          </w:p>
        </w:tc>
        <w:tc>
          <w:tcPr>
            <w:tcW w:type="dxa" w:w="45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Ứng xử và phép tắc xã giao tại Nhật. Bản HTML tiếng Việt.</w:t>
            </w:r>
          </w:p>
        </w:tc>
      </w:tr>
      <w:tr>
        <w:trPr>
          <w:cantSplit/>
        </w:trPr>
        <w:tc>
          <w:tcPr>
            <w:tcW w:type="dxa" w:w="26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KR_ATLAS_ETIQUETTE</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KR • Cultural Atlas thuộc Mosaica</w:t>
            </w:r>
          </w:p>
        </w:tc>
        <w:tc>
          <w:tcPr>
            <w:tcW w:type="dxa" w:w="45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Phép lịch sự và ứng xử tại Hàn Quốc. Bản HTML tiếng Anh.</w:t>
            </w:r>
          </w:p>
        </w:tc>
      </w:tr>
      <w:tr>
        <w:trPr>
          <w:cantSplit/>
        </w:trPr>
        <w:tc>
          <w:tcPr>
            <w:tcW w:type="dxa" w:w="26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AU_ATLAS_ETIQUETTE</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AU • Cultural Atlas thuộc Mosaica</w:t>
            </w:r>
          </w:p>
        </w:tc>
        <w:tc>
          <w:tcPr>
            <w:tcW w:type="dxa" w:w="45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Phép lịch sự và ứng xử tại Úc. Bản HTML tiếng Anh.</w:t>
            </w:r>
          </w:p>
        </w:tc>
      </w:tr>
    </w:tbl>
    <w:p>
      <w:pPr>
        <w:spacing w:after="0"/>
      </w:pPr>
    </w:p>
    <w:p>
      <w:pPr>
        <w:pStyle w:val="Heading2"/>
      </w:pPr>
      <w:r>
        <w:t>Đường dẫn gốc để truy vết và trích dẫn</w:t>
      </w:r>
    </w:p>
    <w:p>
      <w:r>
        <w:t>JP_JNTO_MANNERS</w:t>
        <w:br/>
        <w:t>https://www.japan.travel/vi/guide/understanding-and-mastering-japanese-manners-and-etiquette/</w:t>
      </w:r>
    </w:p>
    <w:p>
      <w:r>
        <w:t>KR_ATLAS_ETIQUETTE</w:t>
        <w:br/>
        <w:t>https://theculturalatlas.org/south-korean-culture/south-korean-culture-etiquette</w:t>
      </w:r>
    </w:p>
    <w:p>
      <w:r>
        <w:t>AU_ATLAS_ETIQUETTE</w:t>
        <w:br/>
        <w:t>https://theculturalatlas.org/australian-culture/australian-culture-etiquette</w:t>
      </w:r>
    </w:p>
    <w:p>
      <w:r>
        <w:t>Các URL trên là nguồn đã được pipeline tải thành công trong quá trình làm dự án. Khi vận hành lại, cần kiểm tra trang tải về còn đúng nội dung; không chỉ dựa vào HTTP 200. Đây không phải thông báo rằng cả ba URL vừa được tải lại tại thời điểm viết tài liệu.</w:t>
      </w:r>
    </w:p>
    <w:p>
      <w:pPr>
        <w:pStyle w:val="Heading2"/>
      </w:pPr>
      <w:r>
        <w:t>Mốc dữ liệu đã nạp</w:t>
      </w:r>
    </w:p>
    <w:tbl>
      <w:tblPr>
        <w:tblW w:type="auto" w:w="0"/>
        <w:jc w:val="center"/>
        <w:tblLayout w:type="fixed"/>
        <w:tblLook w:firstColumn="1" w:firstRow="1" w:lastColumn="0" w:lastRow="0" w:noHBand="0" w:noVBand="1" w:val="04A0"/>
      </w:tblPr>
      <w:tblGrid>
        <w:gridCol w:w="1008"/>
        <w:gridCol w:w="4896"/>
        <w:gridCol w:w="2304"/>
        <w:gridCol w:w="1872"/>
      </w:tblGrid>
      <w:tr>
        <w:trPr>
          <w:cantSplit/>
          <w:tblHeader/>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Quốc gia</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Tên file raw</w:t>
            </w:r>
          </w:p>
        </w:tc>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Ký tự văn bản</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Chunks</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JP</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japanese_manners.html</w:t>
            </w:r>
          </w:p>
        </w:tc>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10 274</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12</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KR</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korean_etiquette.html</w:t>
            </w:r>
          </w:p>
        </w:tc>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2 376</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3</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AU</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australian_etiquette.html</w:t>
            </w:r>
          </w:p>
        </w:tc>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4 976</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6</w:t>
            </w:r>
          </w:p>
        </w:tc>
      </w:tr>
    </w:tbl>
    <w:p>
      <w:pPr>
        <w:spacing w:after="0"/>
      </w:pPr>
    </w:p>
    <w:p>
      <w:r>
        <w:t>HTML là định dạng raw của ba nguồn đang dùng, không phải yêu cầu bắt buộc của RAG. Dữ liệu đưa vào embedding là văn bản đã trích xuất. PDF hay DOCX cũng có thể dùng nếu có parser và quy tắc chất lượng tương ứng, nhưng chưa cần bổ sung cho demo này.</w:t>
      </w:r>
    </w:p>
    <w:p>
      <w:r>
        <w:br w:type="page"/>
      </w:r>
    </w:p>
    <w:p>
      <w:pPr>
        <w:pStyle w:val="Heading1"/>
      </w:pPr>
      <w:r>
        <w:t>4 Dữ liệu đóng góp và điều kiện vào RAG</w:t>
      </w:r>
    </w:p>
    <w:p>
      <w:r>
        <w:t>Nguồn giao dịch là bảng public.community_contributions của website. Pipeline snapshot 9 bảng website cần dùng, lưu Raw trên MinIO, nạp Staging rồi chuyển sang các bảng Core có kiểu dữ liệu. RAG chỉ lấy phần đóng góp thỏa điều kiện từ Core hiện hành.</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Trường nghiệp vụ</w:t>
            </w:r>
          </w:p>
        </w:tc>
        <w:tc>
          <w:tcPr>
            <w:tcW w:type="dxa" w:w="72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Ý nghĩa đối với RAG</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contribution_id</w:t>
            </w:r>
          </w:p>
        </w:tc>
        <w:tc>
          <w:tcPr>
            <w:tcW w:type="dxa" w:w="72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Mã đóng góp; dùng để tạo document_id dạng community:&lt;contribution_id&gt;.</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country_code</w:t>
            </w:r>
          </w:p>
        </w:tc>
        <w:tc>
          <w:tcPr>
            <w:tcW w:type="dxa" w:w="72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Bắt buộc thuộc JP KR AU; dùng lọc quốc gia lúc tìm kiếm.</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domain_id</w:t>
            </w:r>
          </w:p>
        </w:tc>
        <w:tc>
          <w:tcPr>
            <w:tcW w:type="dxa" w:w="72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Chỉ nhận giao_tiep hoặc doi_song trong cấu hình corpus hiện tại.</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status</w:t>
            </w:r>
          </w:p>
        </w:tc>
        <w:tc>
          <w:tcPr>
            <w:tcW w:type="dxa" w:w="72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Chỉ APPROVED được đưa vào corpus đang hoạt động.</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exp_title và exp_text</w:t>
            </w:r>
          </w:p>
        </w:tc>
        <w:tc>
          <w:tcPr>
            <w:tcW w:type="dxa" w:w="72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Tiêu đề và nội dung dùng xây văn bản tài liệu và chunks.</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user_id và submitted_at</w:t>
            </w:r>
          </w:p>
        </w:tc>
        <w:tc>
          <w:tcPr>
            <w:tcW w:type="dxa" w:w="72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Thông tin nghiệp vụ nguồn; không phải nội dung cần đưa vào prompt LLM mặc định.</w:t>
            </w:r>
          </w:p>
        </w:tc>
      </w:tr>
    </w:tbl>
    <w:p>
      <w:pPr>
        <w:spacing w:after="0"/>
      </w:pPr>
    </w:p>
    <w:p>
      <w:pPr>
        <w:pStyle w:val="Heading2"/>
      </w:pPr>
      <w:r>
        <w:t>Tác động khi dữ liệu website thay đổi</w:t>
      </w:r>
    </w:p>
    <w:tbl>
      <w:tblPr>
        <w:tblW w:type="auto" w:w="0"/>
        <w:jc w:val="center"/>
        <w:tblLayout w:type="fixed"/>
        <w:tblLook w:firstColumn="1" w:firstRow="1" w:lastColumn="0" w:lastRow="0" w:noHBand="0" w:noVBand="1" w:val="04A0"/>
      </w:tblPr>
      <w:tblGrid>
        <w:gridCol w:w="4032"/>
        <w:gridCol w:w="6048"/>
      </w:tblGrid>
      <w:tr>
        <w:trPr>
          <w:cantSplit/>
          <w:tblHeader/>
        </w:trPr>
        <w:tc>
          <w:tcPr>
            <w:tcW w:type="dxa" w:w="40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Thay đổi tại nguồn</w:t>
            </w:r>
          </w:p>
        </w:tc>
        <w:tc>
          <w:tcPr>
            <w:tcW w:type="dxa" w:w="60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Kết quả mong đợi sau pipeline</w:t>
            </w:r>
          </w:p>
        </w:tc>
      </w:tr>
      <w:tr>
        <w:trPr>
          <w:cantSplit/>
        </w:trPr>
        <w:tc>
          <w:tcPr>
            <w:tcW w:type="dxa" w:w="40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PENDING chuyển APPROVED và đúng phạm vi</w:t>
            </w:r>
          </w:p>
        </w:tc>
        <w:tc>
          <w:tcPr>
            <w:tcW w:type="dxa" w:w="60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Xuất hiện trong corpus hoạt động; chunks mới được embedding.</w:t>
            </w:r>
          </w:p>
        </w:tc>
      </w:tr>
      <w:tr>
        <w:trPr>
          <w:cantSplit/>
        </w:trPr>
        <w:tc>
          <w:tcPr>
            <w:tcW w:type="dxa" w:w="40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Chỉnh sửa nội dung đóng góp</w:t>
            </w:r>
          </w:p>
        </w:tc>
        <w:tc>
          <w:tcPr>
            <w:tcW w:type="dxa" w:w="60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Nội dung hiện hành thay đổi; chunks cũ không còn được truy xuất nếu không thuộc phiên bản hoạt động.</w:t>
            </w:r>
          </w:p>
        </w:tc>
      </w:tr>
      <w:tr>
        <w:trPr>
          <w:cantSplit/>
        </w:trPr>
        <w:tc>
          <w:tcPr>
            <w:tcW w:type="dxa" w:w="40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APPROVED chuyển REJECTED hoặc ra ngoài domain</w:t>
            </w:r>
          </w:p>
        </w:tc>
        <w:tc>
          <w:tcPr>
            <w:tcW w:type="dxa" w:w="60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Không còn xuất hiện qua current_rag_chunks sau lần đồng bộ thành công.</w:t>
            </w:r>
          </w:p>
        </w:tc>
      </w:tr>
      <w:tr>
        <w:trPr>
          <w:cantSplit/>
        </w:trPr>
        <w:tc>
          <w:tcPr>
            <w:tcW w:type="dxa" w:w="40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Xóa đóng góp</w:t>
            </w:r>
          </w:p>
        </w:tc>
        <w:tc>
          <w:tcPr>
            <w:tcW w:type="dxa" w:w="60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Biến mất khỏi snapshot Core hiện tại và RAG hoạt động; Raw và lịch sử có thể vẫn còn.</w:t>
            </w:r>
          </w:p>
        </w:tc>
      </w:tr>
    </w:tbl>
    <w:p>
      <w:pPr>
        <w:spacing w:after="0"/>
      </w:pPr>
    </w:p>
    <w:p>
      <w:r>
        <w:t>Pipeline theo lô, không cập nhật tức thời. Nếu chưa chạy thành công sau khi nội dung bị thu hồi, kho đọc có thể vẫn phản ánh snapshot cũ. Demo cần cho phép chờ hoặc trigger DAG; trường hợp cần chặn ngay phải bổ sung kiểm tra trạng thái nguồn ở lớp phục vụ.</w:t>
      </w:r>
    </w:p>
    <w:p>
      <w:r>
        <w:br w:type="page"/>
      </w:r>
    </w:p>
    <w:p>
      <w:pPr>
        <w:pStyle w:val="Heading1"/>
      </w:pPr>
      <w:r>
        <w:t>5 Luồng dữ liệu và trách nhiệm Airflow</w:t>
      </w:r>
    </w:p>
    <w:p>
      <w:r>
        <w:t>MinIO giữ bản gốc để có thể chạy lại và truy vết. Staging là lớp nạp trung gian trong chính PostgreSQL transformed. Core giữ dữ liệu website đã chuẩn hóa. Schema knowledge giữ tài liệu, chunks và vector phục vụ RAG; schema mart phục vụ dashboard.</w:t>
      </w:r>
    </w:p>
    <w:tbl>
      <w:tblPr>
        <w:tblW w:type="auto" w:w="0"/>
        <w:jc w:val="center"/>
        <w:tblLayout w:type="fixed"/>
        <w:tblLook w:firstColumn="1" w:firstRow="1" w:lastColumn="0" w:lastRow="0" w:noHBand="0" w:noVBand="1" w:val="04A0"/>
      </w:tblPr>
      <w:tblGrid>
        <w:gridCol w:w="1872"/>
        <w:gridCol w:w="3672"/>
        <w:gridCol w:w="4536"/>
      </w:tblGrid>
      <w:tr>
        <w:trPr>
          <w:cantSplit/>
          <w:tblHeader/>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Bước</w:t>
            </w:r>
          </w:p>
        </w:tc>
        <w:tc>
          <w:tcPr>
            <w:tcW w:type="dxa" w:w="36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Module hoặc thành phần</w:t>
            </w:r>
          </w:p>
        </w:tc>
        <w:tc>
          <w:tcPr>
            <w:tcW w:type="dxa" w:w="45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Đầu ra</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Nạp kiến thức ngoài</w:t>
            </w:r>
          </w:p>
        </w:tc>
        <w:tc>
          <w:tcPr>
            <w:tcW w:type="dxa" w:w="36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ingestion.ingest_knowledge rồi loading.load_knowledge</w:t>
            </w:r>
          </w:p>
        </w:tc>
        <w:tc>
          <w:tcPr>
            <w:tcW w:type="dxa" w:w="45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Raw HTML trên MinIO và staging.knowledge_documents.</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Đồng bộ website</w:t>
            </w:r>
          </w:p>
        </w:tc>
        <w:tc>
          <w:tcPr>
            <w:tcW w:type="dxa" w:w="36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orchestration.run_website</w:t>
            </w:r>
          </w:p>
        </w:tc>
        <w:tc>
          <w:tcPr>
            <w:tcW w:type="dxa" w:w="45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Website → MinIO → staging.website_rows → core.current_*.</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Chuẩn bị corpus</w:t>
            </w:r>
          </w:p>
        </w:tc>
        <w:tc>
          <w:tcPr>
            <w:tcW w:type="dxa" w:w="36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transforms.prepare_rag</w:t>
            </w:r>
          </w:p>
        </w:tc>
        <w:tc>
          <w:tcPr>
            <w:tcW w:type="dxa" w:w="45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knowledge.rag_documents, rag_chunks và current_rag_chunks.</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Tạo vector</w:t>
            </w:r>
          </w:p>
        </w:tc>
        <w:tc>
          <w:tcPr>
            <w:tcW w:type="dxa" w:w="36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transforms.embed_rag gọi embedding service</w:t>
            </w:r>
          </w:p>
        </w:tc>
        <w:tc>
          <w:tcPr>
            <w:tcW w:type="dxa" w:w="45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knowledge.rag_embeddings theo profile hiện hành.</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Tìm bằng chứng</w:t>
            </w:r>
          </w:p>
        </w:tc>
        <w:tc>
          <w:tcPr>
            <w:tcW w:type="dxa" w:w="36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retrieval.search_rag</w:t>
            </w:r>
          </w:p>
        </w:tc>
        <w:tc>
          <w:tcPr>
            <w:tcW w:type="dxa" w:w="45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Danh sách matches có nội dung, quốc gia và định danh nguồn.</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Sinh câu trả lời</w:t>
            </w:r>
          </w:p>
        </w:tc>
        <w:tc>
          <w:tcPr>
            <w:tcW w:type="dxa" w:w="36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Backend chatbot và LLM của nhóm AI</w:t>
            </w:r>
          </w:p>
        </w:tc>
        <w:tc>
          <w:tcPr>
            <w:tcW w:type="dxa" w:w="45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CẦN TÍCH HỢP với kho RAG mới.</w:t>
            </w:r>
          </w:p>
        </w:tc>
      </w:tr>
    </w:tbl>
    <w:p>
      <w:pPr>
        <w:spacing w:after="0"/>
      </w:pPr>
    </w:p>
    <w:p>
      <w:pPr>
        <w:pStyle w:val="Heading2"/>
      </w:pPr>
      <w:r>
        <w:t>Điều phối tự động đã cấu hình</w:t>
      </w:r>
    </w:p>
    <w:p>
      <w:r>
        <w:t>DAG aisc_website_pipeline dùng TaskFlow với @dag và @task. Lịch định kỳ 15 phút, catchup tắt và tối đa một DAG run đang chạy. Chuỗi tác vụ: update_website_data → prepare_rag_corpus → update_rag_embeddings. Airflow điều phối các bước xử lý; dữ liệu raw vẫn do Python ghi vào MinIO.</w:t>
      </w:r>
    </w:p>
    <w:p>
      <w:r>
        <w:t>Kiến thức ngoài được nạp trước cho demo và không cần tải lại ở mỗi chu kỳ 15 phút. Các lần chạy DAG thành công trước đó đã được ghi nhận; lần trigger dùng cho nghiệm thu bàn giao cuối chưa chạy được sau sự cố Docker.</w:t>
      </w:r>
    </w:p>
    <w:p>
      <w:pPr>
        <w:pStyle w:val="Heading2"/>
      </w:pPr>
      <w:r>
        <w:t>Phạm vi bàn giao giữa DE và AI</w:t>
      </w:r>
    </w:p>
    <w:p>
      <w:r>
        <w:t>DE cung cấp dữ liệu có nguồn gốc, corpus hiện hành, vector đúng profile và hàm truy xuất tham chiếu. Nhóm AI chịu trách nhiệm nối vào chatbot, dựng prompt và citation, gọi LLM, xử lý không đủ bằng chứng, kiểm thử chất lượng câu trả lời và logging sử dụng.</w:t>
      </w:r>
    </w:p>
    <w:p>
      <w:r>
        <w:br w:type="page"/>
      </w:r>
    </w:p>
    <w:p>
      <w:pPr>
        <w:pStyle w:val="Heading1"/>
      </w:pPr>
      <w:r>
        <w:t>6 Kết quả đã xác nhận và phần còn lại</w:t>
      </w:r>
    </w:p>
    <w:tbl>
      <w:tblPr>
        <w:tblW w:type="auto" w:w="0"/>
        <w:jc w:val="center"/>
        <w:tblLayout w:type="fixed"/>
        <w:tblLook w:firstColumn="1" w:firstRow="1" w:lastColumn="0" w:lastRow="0" w:noHBand="0" w:noVBand="1" w:val="04A0"/>
      </w:tblPr>
      <w:tblGrid>
        <w:gridCol w:w="2592"/>
        <w:gridCol w:w="7488"/>
      </w:tblGrid>
      <w:tr>
        <w:trPr>
          <w:cantSplit/>
          <w:tblHeader/>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Hạng mục</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Trạng thái bàn giao</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Raw và Staging</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Đã kiểm tra website 9 file, external 22 file, knowledge 3 file; website 1 866 hàng; knowledge 3 tài liệu đã load và chạy lại SKIP.</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Core website</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Đã transform đủ 9 bảng, đối chiếu số hàng và chạy lại SKIP.</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Corpus RAG</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Đã chuẩn bị 57 tài liệu và 75 chunks: 3 EXTERNAL và 54 COMMUNITY.</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Embedding</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Đã ghi 75 vector 384 chiều; kiểm tra 75 active chunks, 75 ready embeddings, 0 missing.</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Tìm kiếm CLI</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Đã trả đúng nguồn KR cho câu hỏi về ăn uống cùng người lớn tuổi; đã bổ sung loại kết quả trùng nội dung.</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Airflow</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Đã có các lần chạy thành công và không có lỗi import DAG tại mốc kiểm tra trước.</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Chatbot với kho mới</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Chưa tích hợp hoặc chưa có bằng chứng xác nhận tích hợp thành công.</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Bộ kiểm thử bàn giao cuối</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Bị chặn bởi Docker Desktop và WSL trước khi container kiểm thử chạy; chưa có báo cáo PASS.</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Máy mới và volume mới</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Chưa nghiệm thu khởi tạo từ đầu hoặc backup restore đầy đủ.</w:t>
            </w:r>
          </w:p>
        </w:tc>
      </w:tr>
    </w:tbl>
    <w:p>
      <w:pPr>
        <w:spacing w:after="0"/>
      </w:pPr>
    </w:p>
    <w:p>
      <w:pPr>
        <w:pStyle w:val="Heading2"/>
      </w:pPr>
      <w:r>
        <w:t>Phân bố corpus tại mốc kiểm tra</w:t>
      </w:r>
    </w:p>
    <w:tbl>
      <w:tblPr>
        <w:tblW w:type="auto" w:w="0"/>
        <w:jc w:val="center"/>
        <w:tblLayout w:type="fixed"/>
        <w:tblLook w:firstColumn="1" w:firstRow="1" w:lastColumn="0" w:lastRow="0" w:noHBand="0" w:noVBand="1" w:val="04A0"/>
      </w:tblPr>
      <w:tblGrid>
        <w:gridCol w:w="1872"/>
        <w:gridCol w:w="2736"/>
        <w:gridCol w:w="2736"/>
        <w:gridCol w:w="2736"/>
      </w:tblGrid>
      <w:tr>
        <w:trPr>
          <w:cantSplit/>
          <w:tblHeader/>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Nguồn</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AU tài liệu chunks</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JP tài liệu chunks</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17365D"/>
          </w:tcPr>
          <w:p>
            <w:pPr>
              <w:spacing w:after="60" w:line="252" w:lineRule="auto"/>
            </w:pPr>
            <w:r>
              <w:rPr>
                <w:rFonts w:ascii="Arial" w:hAnsi="Arial"/>
                <w:b/>
                <w:color w:val="FFFFFF"/>
                <w:sz w:val="20"/>
              </w:rPr>
              <w:t>KR tài liệu chunks</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EXTERNAL</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1 / 6</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1 / 12</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1 / 3</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COMMUNITY</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10 / 10</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22 / 22</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2F5F8"/>
          </w:tcPr>
          <w:p>
            <w:pPr>
              <w:spacing w:after="60" w:line="252" w:lineRule="auto"/>
            </w:pPr>
            <w:r>
              <w:rPr>
                <w:rFonts w:ascii="Arial" w:hAnsi="Arial"/>
                <w:sz w:val="20"/>
              </w:rPr>
              <w:t>22 / 22</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Tổng</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11 / 16</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23 / 34</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60" w:line="252" w:lineRule="auto"/>
            </w:pPr>
            <w:r>
              <w:rPr>
                <w:rFonts w:ascii="Arial" w:hAnsi="Arial"/>
                <w:sz w:val="20"/>
              </w:rPr>
              <w:t>23 / 25</w:t>
            </w:r>
          </w:p>
        </w:tc>
      </w:tr>
    </w:tbl>
    <w:p>
      <w:pPr>
        <w:spacing w:after="0"/>
      </w:pPr>
    </w:p>
    <w:p>
      <w:r>
        <w:t>Số lượng này không phải điều kiện bất biến. Khi website có thêm, sửa hoặc xóa đóng góp, số tài liệu và chunks có thể thay đổi. Điều kiện cần giữ là nguồn đúng phạm vi, nội dung hợp lệ, vector đầy đủ theo profile đang phục vụ và không trả dữ liệu đã bị loại khỏi corpus hoạt động.</w:t>
      </w:r>
    </w:p>
    <w:sectPr w:rsidR="00FC693F" w:rsidRPr="0006063C" w:rsidSect="00034616">
      <w:footerReference w:type="default" r:id="rId9"/>
      <w:pgSz w:w="12240" w:h="15840"/>
      <w:pgMar w:top="979"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AISC 2026  |  AI Data Handoff  |  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rial" w:hAnsi="Arial" w:eastAsia="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40"/>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