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dữ liệu và truy xuất RAG</w:t>
      </w:r>
    </w:p>
    <w:p>
      <w:pPr>
        <w:pStyle w:val="Subtitle"/>
      </w:pPr>
      <w:r>
        <w:t>Tài liệu 2 trong 3 • Hợp đồng kỹ thuật cho người triển khai và AI hỗ trợ</w:t>
      </w:r>
    </w:p>
    <w:p>
      <w:r>
        <w:t>Asteria • Digital Cultural Interpreter • Khoa bàn giao cho nhóm AI</w:t>
        <w:br/>
        <w:t>Phiên bản 1.0 • Ngày 20 tháng 10 năm 2026</w:t>
      </w:r>
    </w:p>
    <w:p>
      <w:r>
        <w:t>Tài liệu này mô tả dữ liệu mà phía AI cần đọc, cách nối tài liệu với chunks và embeddings, cùng các quy tắc truy xuất đã triển khai. Tên đối tượng là hợp đồng bàn giao; kiểu dữ liệu dưới đây mô tả ý nghĩa logic khi chưa kèm DDL đầy đủ. Người nhận cần đối chiếu schema trên commit và database thực tế trước khi viết migration.</w:t>
      </w:r>
    </w:p>
    <w:p>
      <w:pPr>
        <w:pStyle w:val="Heading1"/>
      </w:pPr>
      <w:r>
        <w:t>1 Vị trí dữ liệu và dịch vụ</w:t>
      </w:r>
    </w:p>
    <w:tbl>
      <w:tblPr>
        <w:tblW w:type="auto" w:w="0"/>
        <w:jc w:val="center"/>
        <w:tblLayout w:type="fixed"/>
        <w:tblLook w:firstColumn="1" w:firstRow="1" w:lastColumn="0" w:lastRow="0" w:noHBand="0" w:noVBand="1" w:val="04A0"/>
      </w:tblPr>
      <w:tblGrid>
        <w:gridCol w:w="2376"/>
        <w:gridCol w:w="3816"/>
        <w:gridCol w:w="3888"/>
      </w:tblGrid>
      <w:tr>
        <w:trPr>
          <w:cantSplit/>
          <w:tblHeader/>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Thành phần</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Trong mạng Docker</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Trên máy Windows</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Website PostgreSQL</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postgres:5432 • database aisc_db</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Cổng đã cấu hình 5432; từng có xung đột với PostgreSQL cài trên Windows.</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Transformed PostgreSQL và pgvector</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postgres_transformed:5432 • database aisc_data</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localhost:5433 theo cấu hình đã làm.</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MinIO S3</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http://minio:9000 • bucket aisc-raw</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http://localhost:9000</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Embedding service</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http://embedding:8000</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http://localhost:8001</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Airflow</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Service airflow • DAG aisc_website_pipeline</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http://localhost:8080</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Backend hiện hữu</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Service backend</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http://localhost:8000</w:t>
            </w:r>
          </w:p>
        </w:tc>
      </w:tr>
    </w:tbl>
    <w:p>
      <w:pPr>
        <w:spacing w:after="0"/>
      </w:pPr>
    </w:p>
    <w:p>
      <w:r>
        <w:t>Các cổng và tên service phải được xác nhận bằng docker compose config ở commit bàn giao. Lấy tài khoản và mật khẩu từ cấu hình dự án; tài liệu không đóng vai trò nơi lưu secret. Tài khoản ứng dụng AI chỉ cần quyền đọc dữ liệu phục vụ, không cần quyền tạo hoặc sửa bảng pipeline.</w:t>
      </w:r>
    </w:p>
    <w:p>
      <w:pPr>
        <w:pStyle w:val="Heading2"/>
      </w:pPr>
      <w:r>
        <w:t>Các biến môi trường cần nhận diện</w:t>
      </w:r>
    </w:p>
    <w:p>
      <w:pPr>
        <w:pStyle w:val="ListBullet"/>
      </w:pPr>
      <w:r>
        <w:t>SOURCE_DATABASE_URL: kết nối website cho pipeline snapshot.</w:t>
      </w:r>
    </w:p>
    <w:p>
      <w:pPr>
        <w:pStyle w:val="ListBullet"/>
      </w:pPr>
      <w:r>
        <w:t>TRANSFORMED_DATABASE_URL: kết nối database aisc_data cho pipeline và module truy xuất.</w:t>
      </w:r>
    </w:p>
    <w:p>
      <w:pPr>
        <w:pStyle w:val="ListBullet"/>
      </w:pPr>
      <w:r>
        <w:t>S3_ENDPOINT_URL, RAW_BUCKET và AWS credentials: đọc ghi Raw bằng giao thức S3.</w:t>
      </w:r>
    </w:p>
    <w:p>
      <w:pPr>
        <w:pStyle w:val="ListBullet"/>
      </w:pPr>
      <w:r>
        <w:t>Cấu hình URL embedding: kiểm tra tên biến thật trong code; endpoint trong Docker là http://embedding:8000. Không dùng localhost:8001 từ container backend.</w:t>
      </w:r>
    </w:p>
    <w:p>
      <w:r>
        <w:br w:type="page"/>
      </w:r>
    </w:p>
    <w:p>
      <w:pPr>
        <w:pStyle w:val="Heading1"/>
      </w:pPr>
      <w:r>
        <w:t>2 Raw Staging và truy vết nguồn</w:t>
      </w:r>
    </w:p>
    <w:p>
      <w:r>
        <w:t>Raw được giữ trong bucket aisc-raw. Mỗi lượt ingestion có run_id và manifest liệt kê file; metadata và checksum dùng nhận diện dữ liệu đã lưu. Chạy lại có thể dùng lại object cũ thay vì tải hoặc ghi trùng. Manifest mới có thể tham chiếu object của lần chạy trước.</w:t>
      </w:r>
    </w:p>
    <w:tbl>
      <w:tblPr>
        <w:tblW w:type="auto" w:w="0"/>
        <w:jc w:val="center"/>
        <w:tblLayout w:type="fixed"/>
        <w:tblLook w:firstColumn="1" w:firstRow="1" w:lastColumn="0" w:lastRow="0" w:noHBand="0" w:noVBand="1" w:val="04A0"/>
      </w:tblPr>
      <w:tblGrid>
        <w:gridCol w:w="1440"/>
        <w:gridCol w:w="3024"/>
        <w:gridCol w:w="5616"/>
      </w:tblGrid>
      <w:tr>
        <w:trPr>
          <w:cantSplit/>
          <w:tblHeader/>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Nhánh Raw</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Vai trò</w:t>
            </w:r>
          </w:p>
        </w:tc>
        <w:tc>
          <w:tcPr>
            <w:tcW w:type="dxa" w:w="56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Manifest đã kiểm tra</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website/</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Snapshot JSONL của 9 bảng website</w:t>
            </w:r>
          </w:p>
        </w:tc>
        <w:tc>
          <w:tcPr>
            <w:tcW w:type="dxa" w:w="56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website/_runs/2026-10-19/</w:t>
              <w:br/>
              <w:t>734484950abe4feab12e98bc0c48979c/manifest.json</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knowledge/</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3 trang HTML cho RAG</w:t>
            </w:r>
          </w:p>
        </w:tc>
        <w:tc>
          <w:tcPr>
            <w:tcW w:type="dxa" w:w="56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knowledge/_runs/2026-10-19/</w:t>
              <w:br/>
              <w:t>375a3aab72144d88889d8bdb72ef699a/manifest.json</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external/</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22 file thống kê cho dashboard</w:t>
            </w:r>
          </w:p>
        </w:tc>
        <w:tc>
          <w:tcPr>
            <w:tcW w:type="dxa" w:w="56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external/_runs/2026-10-19/</w:t>
              <w:br/>
              <w:t>12cf19a57d1d44808798a6b0ba9b4f88/manifest.json</w:t>
            </w:r>
          </w:p>
        </w:tc>
      </w:tr>
    </w:tbl>
    <w:p>
      <w:pPr>
        <w:spacing w:after="0"/>
      </w:pPr>
    </w:p>
    <w:p>
      <w:r>
        <w:t>Ngắt dòng trong cột manifest chỉ để trình bày. Các run trên là mốc đã kiểm tra, không dùng cố định để thay cho snapshot website mới nhất.</w:t>
      </w:r>
    </w:p>
    <w:tbl>
      <w:tblPr>
        <w:tblW w:type="auto" w:w="0"/>
        <w:jc w:val="center"/>
        <w:tblLayout w:type="fixed"/>
        <w:tblLook w:firstColumn="1" w:firstRow="1" w:lastColumn="0" w:lastRow="0" w:noHBand="0" w:noVBand="1" w:val="04A0"/>
      </w:tblPr>
      <w:tblGrid>
        <w:gridCol w:w="3816"/>
        <w:gridCol w:w="6264"/>
      </w:tblGrid>
      <w:tr>
        <w:trPr>
          <w:cantSplit/>
          <w:tblHeader/>
        </w:trPr>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Đối tượng</w:t>
            </w:r>
          </w:p>
        </w:tc>
        <w:tc>
          <w:tcPr>
            <w:tcW w:type="dxa" w:w="62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Đơn vị và trường chính</w:t>
            </w:r>
          </w:p>
        </w:tc>
      </w:tr>
      <w:tr>
        <w:trPr>
          <w:cantSplit/>
        </w:trPr>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staging.website_rows</w:t>
            </w:r>
          </w:p>
        </w:tc>
        <w:tc>
          <w:tcPr>
            <w:tcW w:type="dxa" w:w="62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Một hàng JSONB của một bảng website trong một snapshot. Khóa gồm run_id, source_table, row_no; nội dung ở payload.</w:t>
            </w:r>
          </w:p>
        </w:tc>
      </w:tr>
      <w:tr>
        <w:trPr>
          <w:cantSplit/>
        </w:trPr>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pipeline_ops.website_loads</w:t>
            </w:r>
          </w:p>
        </w:tc>
        <w:tc>
          <w:tcPr>
            <w:tcW w:type="dxa" w:w="62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Nhật ký load website với run_id, manifest_key, snapshot_at, loaded_at.</w:t>
            </w:r>
          </w:p>
        </w:tc>
      </w:tr>
      <w:tr>
        <w:trPr>
          <w:cantSplit/>
        </w:trPr>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staging.knowledge_documents</w:t>
            </w:r>
          </w:p>
        </w:tc>
        <w:tc>
          <w:tcPr>
            <w:tcW w:type="dxa" w:w="62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Một tài liệu nguồn trong một run. Khóa run_id và source_id; có country_code, raw_key, raw_sha256, body_text, text_sha256, metadata, loaded_at.</w:t>
            </w:r>
          </w:p>
        </w:tc>
      </w:tr>
      <w:tr>
        <w:trPr>
          <w:cantSplit/>
        </w:trPr>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pipeline_ops.knowledge_loads</w:t>
            </w:r>
          </w:p>
        </w:tc>
        <w:tc>
          <w:tcPr>
            <w:tcW w:type="dxa" w:w="62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Nhật ký load kiến thức với run_id, manifest_key, extractor_version, document_count, loaded_at.</w:t>
            </w:r>
          </w:p>
        </w:tc>
      </w:tr>
      <w:tr>
        <w:trPr>
          <w:cantSplit/>
        </w:trPr>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core.current_website_run</w:t>
            </w:r>
          </w:p>
        </w:tc>
        <w:tc>
          <w:tcPr>
            <w:tcW w:type="dxa" w:w="62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Snapshot website đang được các view current sử dụng; có run_id, snapshot_at, transformed_at.</w:t>
            </w:r>
          </w:p>
        </w:tc>
      </w:tr>
      <w:tr>
        <w:trPr>
          <w:cantSplit/>
        </w:trPr>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core.current_community_contributions</w:t>
            </w:r>
          </w:p>
        </w:tc>
        <w:tc>
          <w:tcPr>
            <w:tcW w:type="dxa" w:w="62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Đóng góp của snapshot website hiện hành; nguồn chọn COMMUNITY cho RAG.</w:t>
            </w:r>
          </w:p>
        </w:tc>
      </w:tr>
    </w:tbl>
    <w:p>
      <w:pPr>
        <w:spacing w:after="0"/>
      </w:pPr>
    </w:p>
    <w:p>
      <w:r>
        <w:t>Luồng truy vết cần giữ: kết quả tìm kiếm → chunk_id → document_id và source_ref → bản ghi nguồn hoặc tài liệu Staging → raw_key và manifest. Không giả định metadata có mọi trường giống nhau giữa EXTERNAL và COMMUNITY.</w:t>
      </w:r>
    </w:p>
    <w:p>
      <w:r>
        <w:br w:type="page"/>
      </w:r>
    </w:p>
    <w:p>
      <w:pPr>
        <w:pStyle w:val="Heading1"/>
      </w:pPr>
      <w:r>
        <w:t>3 Bảng tài liệu RAG</w:t>
      </w:r>
    </w:p>
    <w:p>
      <w:r>
        <w:t>knowledge.rag_documents có một hàng theo document_id. EXTERNAL dùng external:&lt;source_id&gt;; COMMUNITY dùng community:&lt;contribution_id&gt;. Hai tiền tố tách biệt namespace và tránh trùng ID giữa hai loại nguồn.</w:t>
      </w:r>
    </w:p>
    <w:tbl>
      <w:tblPr>
        <w:tblW w:type="auto" w:w="0"/>
        <w:jc w:val="center"/>
        <w:tblLayout w:type="fixed"/>
        <w:tblLook w:firstColumn="1" w:firstRow="1" w:lastColumn="0" w:lastRow="0" w:noHBand="0" w:noVBand="1" w:val="04A0"/>
      </w:tblPr>
      <w:tblGrid>
        <w:gridCol w:w="2160"/>
        <w:gridCol w:w="3168"/>
        <w:gridCol w:w="4752"/>
      </w:tblGrid>
      <w:tr>
        <w:trPr>
          <w:cantSplit/>
          <w:tblHeader/>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Trường</w:t>
            </w:r>
          </w:p>
        </w:tc>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Ý nghĩa logic</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Cách dùng</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document_id</w:t>
            </w:r>
          </w:p>
        </w:tc>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Chuỗi • khóa chính</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Định danh tài liệu; dùng nối sang chunks.</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source_kind</w:t>
            </w:r>
          </w:p>
        </w:tc>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EXTERNAL hoặc COMMUNITY</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Phân biệt nguồn ngoài và đóng góp.</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country_code</w:t>
            </w:r>
          </w:p>
        </w:tc>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JP KR hoặc AU</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Điều kiện lọc quốc gia.</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source_ref</w:t>
            </w:r>
          </w:p>
        </w:tc>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Mã nguồn hoặc mã đóng góp</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EXTERNAL là source_id; COMMUNITY là contribution_id.</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title</w:t>
            </w:r>
          </w:p>
        </w:tc>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Văn bản tiêu đề</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Hiển thị nguồn và tạo ngữ cảnh.</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body_text</w:t>
            </w:r>
          </w:p>
        </w:tc>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Văn bản đầy đủ đã chuẩn bị</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Dùng tạo chunks; không gửi toàn bộ mặc định cho LLM.</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content_hash</w:t>
            </w:r>
          </w:p>
        </w:tc>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Hash nội dung</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Nhận diện thay đổi nội dung tài liệu.</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metadata</w:t>
            </w:r>
          </w:p>
        </w:tc>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Đối tượng JSON</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Thông tin truy vết. Kiểm tra khóa thật trước khi sử dụng.</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is_active</w:t>
            </w:r>
          </w:p>
        </w:tc>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Boolean</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Tài liệu có còn thuộc corpus hiện hành hay không.</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updated_at</w:t>
            </w:r>
          </w:p>
        </w:tc>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Thời điểm cập nhật</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Quan sát quá trình chuẩn bị dữ liệu.</w:t>
            </w:r>
          </w:p>
        </w:tc>
      </w:tr>
    </w:tbl>
    <w:p>
      <w:pPr>
        <w:spacing w:after="0"/>
      </w:pPr>
    </w:p>
    <w:p>
      <w:pPr>
        <w:pStyle w:val="Heading2"/>
      </w:pPr>
      <w:r>
        <w:t>Quy tắc về lịch sử và hiệu lực</w:t>
      </w:r>
    </w:p>
    <w:p>
      <w:r>
        <w:t>Các bảng vật lý có thể còn bản ghi không hoạt động. Không truy xuất chỉ vì có document_id trong rag_documents. Pipeline quản lý is_active trên tài liệu và chunks; view current_rag_chunks chỉ trả phần hoạt động của cả hai lớp.</w:t>
      </w:r>
    </w:p>
    <w:p>
      <w:r>
        <w:t>Việc giữ lịch sử raw hoặc chunks không có nghĩa được dùng lịch sử đó làm bằng chứng cho câu hỏi mới. Khi nguồn bị từ chối, xóa hoặc ra ngoài phạm vi, lớp phục vụ phải đọc corpus current sau lần pipeline cập nhật thành công.</w:t>
      </w:r>
    </w:p>
    <w:p>
      <w:pPr>
        <w:pStyle w:val="Heading2"/>
      </w:pPr>
      <w:r>
        <w:t>Giới hạn độ tin cậy</w:t>
      </w:r>
    </w:p>
    <w:p>
      <w:r>
        <w:t>Corpus hiện tại chưa có hợp đồng phục vụ đầy đủ về hạn hiệu lực và độ tin cậy pháp lý cho mọi nguồn. Không tự thêm điều kiện valid_until hoặc reliability_score vào câu SQL nếu bảng thực tế không có các cột này. Không suy ra độ tin cậy từ điểm cosine hoặc từ cờ APPROVED.</w:t>
      </w:r>
    </w:p>
    <w:p>
      <w:r>
        <w:br w:type="page"/>
      </w:r>
    </w:p>
    <w:p>
      <w:pPr>
        <w:pStyle w:val="Heading1"/>
      </w:pPr>
      <w:r>
        <w:t>4 Chunks và embeddings</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knowledge.rag_chunks</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Ý nghĩa</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chunk_id</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Chuỗi khóa chính; tạo xác định từ tài liệu, phiên bản chunker, chỉ số và hash nội dung.</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document_id</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Khóa ngoại tới rag_documents.</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chunk_index</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Vị trí chunk trong tài liệu.</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content</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Nội dung dùng embedding và đưa vào context LLM.</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content_hash</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Hash của nội dung chunk; phải khớp embedding đọc cùng.</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chunker_version</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Phiên bản đã dùng: chars-v1.</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is_active</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Chunk có thuộc phần hiện hành hay không.</w:t>
            </w:r>
          </w:p>
        </w:tc>
      </w:tr>
    </w:tbl>
    <w:p>
      <w:pPr>
        <w:spacing w:after="0"/>
      </w:pPr>
    </w:p>
    <w:p>
      <w:r>
        <w:t>Chunking hiện dùng văn bản chuẩn hóa Unicode NFC, tối đa khoảng 1 000 ký tự mỗi chunk và overlap 150 ký tự. Công thức định danh đã dùng là SHA-256 của chuỗi ghép document_id, chunker_version, chunk_index và content_hash. Kiểm tra code trước khi tự tái tạo ID vì dấu phân cách và chuẩn hóa phải giống hệt.</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knowledge.rag_embeddings</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Ý nghĩa</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chunk_id và profile_id</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Khóa chính ghép; một chunk có thể có embedding ở nhiều profile.</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content_hash</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Hash nội dung đã dùng để tính vector.</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embedding</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Vector pgvector có 384 chiều trong cấu hình hiện tại.</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model_metadata</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JSON mô tả cấu hình model khi tạo embedding.</w:t>
            </w:r>
          </w:p>
        </w:tc>
      </w:tr>
      <w:tr>
        <w:trPr>
          <w:cantSplit/>
        </w:trPr>
        <w:tc>
          <w:tcPr>
            <w:tcW w:type="dxa" w:w="29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updated_at</w:t>
            </w:r>
          </w:p>
        </w:tc>
        <w:tc>
          <w:tcPr>
            <w:tcW w:type="dxa" w:w="71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Thời điểm cập nhật embedding.</w:t>
            </w:r>
          </w:p>
        </w:tc>
      </w:tr>
    </w:tbl>
    <w:p>
      <w:pPr>
        <w:spacing w:after="0"/>
      </w:pPr>
    </w:p>
    <w:p>
      <w:r>
        <w:t>knowledge.current_rag_chunks là view đọc chính: gồm các trường chunk và thông tin tài liệu như country_code, source_kind, source_ref, title, metadata. Nó không tự bảo đảm đã có vector phù hợp. Khi truy xuất phải nối embedding đồng thời theo chunk_id, content_hash và profile_id.</w:t>
      </w:r>
    </w:p>
    <w:p>
      <w:r>
        <w:t>Chunk hiện tại có thể bắt đầu hoặc kết thúc giữa từ vì cách chia theo ký tự. Đây là giới hạn đã biết; cải thiện cần đổi chunker_version, chuẩn bị lại chunks và tạo embeddings tương ứng. Không diễn giải preview bị cắt thành dữ liệu nguồn sai khi chưa xem content đầy đủ.</w:t>
      </w:r>
    </w:p>
    <w:p>
      <w:r>
        <w:br w:type="page"/>
      </w:r>
    </w:p>
    <w:p>
      <w:pPr>
        <w:pStyle w:val="Heading1"/>
      </w:pPr>
      <w:r>
        <w:t>5 Embedding profile phải khớp tuyệt đối</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Thuộc tính</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Giá trị đã xác nhận</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Model</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intfloat/multilingual-e5-small</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Revision</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614241f622f53c4eeff9890bdc4f31cfecc418b3</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Dimension</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384</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Thiết bị</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CPU</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Max tokens</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512 theo tokenizer của model</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Normalize</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True</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Query prefix</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query:  gồm một dấu cách sau dấu hai chấm</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Passage prefix</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passage:  gồm một dấu cách sau dấu hai chấm</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Encoder version</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e5-cpu-v1</w:t>
            </w:r>
          </w:p>
        </w:tc>
      </w:tr>
    </w:tbl>
    <w:p>
      <w:pPr>
        <w:spacing w:after="0"/>
      </w:pPr>
    </w:p>
    <w:p>
      <w:r>
        <w:t>Profile ID đã xác nhận</w:t>
      </w:r>
    </w:p>
    <w:p>
      <w:pPr>
        <w:spacing w:after="20" w:line="240" w:lineRule="auto"/>
      </w:pPr>
      <w:r>
        <w:rPr>
          <w:rFonts w:ascii="DejaVu Sans Mono" w:hAnsi="DejaVu Sans Mono" w:eastAsia="DejaVu Sans Mono" w:cs="DejaVu Sans Mono"/>
          <w:sz w:val="18"/>
        </w:rPr>
        <w:t>10dd0b154a072de0d9d96e78de2e4fa4</w:t>
      </w:r>
    </w:p>
    <w:p>
      <w:pPr>
        <w:spacing w:after="20" w:line="240" w:lineRule="auto"/>
      </w:pPr>
      <w:r>
        <w:rPr>
          <w:rFonts w:ascii="DejaVu Sans Mono" w:hAnsi="DejaVu Sans Mono" w:eastAsia="DejaVu Sans Mono" w:cs="DejaVu Sans Mono"/>
          <w:sz w:val="18"/>
        </w:rPr>
        <w:t>798ad330d93a866661bfd11d7a97703d</w:t>
      </w:r>
    </w:p>
    <w:p>
      <w:pPr>
        <w:spacing w:after="0"/>
      </w:pPr>
    </w:p>
    <w:p>
      <w:r>
        <w:t>Hai dòng trên ghép liền thành một chuỗi 64 ký tự. Lấy giá trị hiện hành trực tiếp từ GET /health; không bỏ kiểm tra profile chỉ vì vector có cùng số chiều.</w:t>
      </w:r>
    </w:p>
    <w:p>
      <w:pPr>
        <w:pStyle w:val="Heading2"/>
      </w:pPr>
      <w:r>
        <w:t>Hợp đồng embedding service</w:t>
      </w:r>
    </w:p>
    <w:p>
      <w:pPr>
        <w:spacing w:after="20" w:line="240" w:lineRule="auto"/>
      </w:pPr>
      <w:r>
        <w:rPr>
          <w:rFonts w:ascii="DejaVu Sans Mono" w:hAnsi="DejaVu Sans Mono" w:eastAsia="DejaVu Sans Mono" w:cs="DejaVu Sans Mono"/>
          <w:sz w:val="18"/>
        </w:rPr>
        <w:t>GET /health</w:t>
      </w:r>
    </w:p>
    <w:p>
      <w:pPr>
        <w:spacing w:after="20" w:line="240" w:lineRule="auto"/>
      </w:pPr>
      <w:r>
        <w:rPr>
          <w:rFonts w:ascii="DejaVu Sans Mono" w:hAnsi="DejaVu Sans Mono" w:eastAsia="DejaVu Sans Mono" w:cs="DejaVu Sans Mono"/>
          <w:sz w:val="18"/>
        </w:rPr>
        <w:t>POST /embed</w:t>
      </w:r>
    </w:p>
    <w:p>
      <w:pPr>
        <w:spacing w:after="20" w:line="240" w:lineRule="auto"/>
      </w:pPr>
      <w:r>
        <w:rPr>
          <w:rFonts w:ascii="DejaVu Sans Mono" w:hAnsi="DejaVu Sans Mono" w:eastAsia="DejaVu Sans Mono" w:cs="DejaVu Sans Mono"/>
          <w:sz w:val="18"/>
        </w:rPr>
        <w:t>{"texts": ["Tôi nên cư xử thế nào khi ăn cùng người lớn tuổi?"],</w:t>
      </w:r>
    </w:p>
    <w:p>
      <w:pPr>
        <w:spacing w:after="20" w:line="240" w:lineRule="auto"/>
      </w:pPr>
      <w:r>
        <w:rPr>
          <w:rFonts w:ascii="DejaVu Sans Mono" w:hAnsi="DejaVu Sans Mono" w:eastAsia="DejaVu Sans Mono" w:cs="DejaVu Sans Mono"/>
          <w:sz w:val="18"/>
        </w:rPr>
        <w:t xml:space="preserve"> "kind": "query"}</w:t>
      </w:r>
    </w:p>
    <w:p>
      <w:pPr>
        <w:spacing w:after="0"/>
      </w:pPr>
    </w:p>
    <w:p>
      <w:pPr>
        <w:pStyle w:val="ListBullet"/>
      </w:pPr>
      <w:r>
        <w:t>texts nhận từ 1 đến 32 chuỗi trong cấu hình đã triển khai. kind là query hoặc passage.</w:t>
      </w:r>
    </w:p>
    <w:p>
      <w:pPr>
        <w:pStyle w:val="ListBullet"/>
      </w:pPr>
      <w:r>
        <w:t>Service tự thêm prefix theo kind. Bên gọi gửi văn bản chưa có prefix để tránh thêm hai lần.</w:t>
      </w:r>
    </w:p>
    <w:p>
      <w:pPr>
        <w:pStyle w:val="ListBullet"/>
      </w:pPr>
      <w:r>
        <w:t>Văn bản vượt 512 tokens bị từ chối; không mặc định cắt ngầm. Giới hạn 1 000 ký tự của chunker không bảo đảm luôn dưới 512 tokens cho mọi ngôn ngữ.</w:t>
      </w:r>
    </w:p>
    <w:p>
      <w:pPr>
        <w:pStyle w:val="ListBullet"/>
      </w:pPr>
      <w:r>
        <w:t>Pipeline embed_rag xử lý batch 16 và bỏ qua chunks đã có vector đúng hash và profile.</w:t>
      </w:r>
    </w:p>
    <w:p>
      <w:pPr>
        <w:pStyle w:val="ListBullet"/>
      </w:pPr>
      <w:r>
        <w:t>Đổi model hoặc revision cần profile mới và embeddings tương ứng; không trộn vector cũ và mới trong cùng một truy vấn.</w:t>
      </w:r>
    </w:p>
    <w:p>
      <w:r>
        <w:br w:type="page"/>
      </w:r>
    </w:p>
    <w:p>
      <w:pPr>
        <w:pStyle w:val="Heading1"/>
      </w:pPr>
      <w:r>
        <w:t>6 Hợp đồng truy xuất và trích dẫn</w:t>
      </w:r>
    </w:p>
    <w:p>
      <w:r>
        <w:t>Module tham chiếu: data_pipeline/retrieval/search_rag.py. Chữ ký đã triển khai: search_rag(query, country, limit=3, source_kind=None). Chưa có bằng chứng endpoint HTTP của chatbot đã gọi hàm này. Người tích hợp cần kiểm tra cách đóng gói module hoặc tạo adapter phía backend.</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Đầu vào</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Quy tắc</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query</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Câu hỏi của người dùng; văn bản chưa thêm query prefix.</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country</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Một trong JP KR AU; bộ lọc bắt buộc cho phạm vi demo.</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limit</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Số kết quả cần lấy; ví dụ đã kiểm tra là 3. Kiểm tra giới hạn cho phép trong code.</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source_kind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None để lấy cả hai loại hoặc EXTERNAL hoặc COMMUNITY.</w:t>
            </w:r>
          </w:p>
        </w:tc>
      </w:tr>
    </w:tbl>
    <w:p>
      <w:pPr>
        <w:spacing w:after="0"/>
      </w:pP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Đầu ra</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Nội dung</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query country_code profile_id</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Thông tin truy vấn, quốc gia và profile đã dùng.</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matches</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Danh sách kết quả đã xếp theo độ tương tự; có thể rỗng.</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chunk_id document_id</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ID để truy vết đoạn và tài liệu.</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source_kind source_ref</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Loại nguồn và ID nguồn hoặc đóng góp.</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title content</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Tiêu đề và nội dung bằng chứng đầy đủ ở hàm Python.</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source_url</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URL trích dẫn cho nguồn ngoài; có thể null với cộng đồng.</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country_code similarity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Quốc gia kết quả và cosine similarity.</w:t>
            </w:r>
          </w:p>
        </w:tc>
      </w:tr>
    </w:tbl>
    <w:p>
      <w:pPr>
        <w:spacing w:after="0"/>
      </w:pPr>
    </w:p>
    <w:p>
      <w:r>
        <w:t>CLI hiển thị preview tối đa khoảng 500 ký tự; phía LLM cần sử dụng content đầy đủ do hàm trả về. CLI không phải bằng chứng rằng endpoint chatbot đã được nối.</w:t>
      </w:r>
    </w:p>
    <w:p>
      <w:pPr>
        <w:pStyle w:val="Heading2"/>
      </w:pPr>
      <w:r>
        <w:t>Những quy tắc phải bảo toàn</w:t>
      </w:r>
    </w:p>
    <w:p>
      <w:pPr>
        <w:pStyle w:val="ListBullet"/>
      </w:pPr>
      <w:r>
        <w:t>Tìm kiếm chỉ đọc current_rag_chunks và embedding khớp chunk_id, content_hash, profile_id; lọc country trước khi lấy kết quả.</w:t>
      </w:r>
    </w:p>
    <w:p>
      <w:pPr>
        <w:pStyle w:val="ListBullet"/>
      </w:pPr>
      <w:r>
        <w:t>Đã có bước loại trùng theo content_hash và ưu tiên EXTERNAL khi nội dung trùng; không đồng nghĩa loại hết các đoạn gần giống về ngữ nghĩa.</w:t>
      </w:r>
    </w:p>
    <w:p>
      <w:pPr>
        <w:pStyle w:val="ListBullet"/>
      </w:pPr>
      <w:r>
        <w:t>similarity là 1 trừ cosine distance, không phải xác suất đúng, độ tin cậy nguồn hoặc ngưỡng đủ bằng chứng đã được hiệu chuẩn.</w:t>
      </w:r>
    </w:p>
    <w:p>
      <w:pPr>
        <w:pStyle w:val="ListBullet"/>
      </w:pPr>
      <w:r>
        <w:t>source_ref của COMMUNITY là contribution_id. chunk_id và document_id đều không phải evidence_cards.card_id. Không ghi trực tiếp chúng vào matched_card_id.</w:t>
      </w:r>
    </w:p>
    <w:sectPr w:rsidR="00FC693F" w:rsidRPr="0006063C" w:rsidSect="00034616">
      <w:footerReference w:type="default" r:id="rId9"/>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AISC 2026  |  AI Data Handoff  |  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eastAsia="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