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40"/>
        <w:jc w:val="center"/>
      </w:pPr>
      <w:r>
        <w:rPr>
          <w:rFonts w:ascii="Arial" w:hAnsi="Arial"/>
          <w:b w:val="0"/>
          <w:i w:val="0"/>
          <w:color w:val="444444"/>
          <w:sz w:val="32"/>
        </w:rPr>
        <w:t>Technical Requirements for</w:t>
      </w:r>
    </w:p>
    <w:p>
      <w:pPr>
        <w:spacing w:before="0" w:after="200"/>
        <w:jc w:val="center"/>
      </w:pPr>
      <w:r>
        <w:rPr>
          <w:rFonts w:ascii="Arial" w:hAnsi="Arial"/>
          <w:b/>
          <w:i w:val="0"/>
          <w:color w:val="1F4E79"/>
          <w:sz w:val="44"/>
        </w:rPr>
        <w:t>Multi-Site RT Plan Blinded Review Platform</w:t>
      </w:r>
    </w:p>
    <w:p>
      <w:pPr>
        <w:spacing w:before="0" w:after="200"/>
        <w:jc w:val="center"/>
        <w:pBdr>
          <w:bottom w:val="single" w:sz="12" w:space="1" w:color="1F4E79"/>
        </w:pBdr>
      </w:pPr>
    </w:p>
    <w:p>
      <w:pPr>
        <w:spacing w:before="0" w:after="480"/>
        <w:jc w:val="center"/>
      </w:pPr>
      <w:r>
        <w:rPr>
          <w:rFonts w:ascii="Arial" w:hAnsi="Arial"/>
          <w:b w:val="0"/>
          <w:i/>
          <w:color w:val="555555"/>
          <w:sz w:val="28"/>
        </w:rPr>
        <w:t>Research Infrastructure Request — WashU RIS</w:t>
      </w:r>
    </w:p>
    <w:p>
      <w:pPr>
        <w:spacing w:before="0" w:after="120"/>
        <w:jc w:val="left"/>
      </w:pPr>
    </w:p>
    <w:p>
      <w:pPr>
        <w:spacing w:before="0" w:after="120"/>
        <w:jc w:val="left"/>
      </w:pPr>
    </w:p>
    <w:p>
      <w:pPr>
        <w:spacing w:before="0" w:after="120"/>
        <w:jc w:val="left"/>
      </w:pPr>
    </w:p>
    <w:p>
      <w:pPr>
        <w:spacing w:after="80"/>
        <w:jc w:val="center"/>
      </w:pPr>
      <w:r>
        <w:rPr>
          <w:rFonts w:ascii="Arial" w:hAnsi="Arial"/>
          <w:b/>
          <w:i w:val="0"/>
          <w:color w:val="1F4E79"/>
          <w:sz w:val="22"/>
        </w:rPr>
        <w:t xml:space="preserve">Prepared by:  </w:t>
      </w:r>
      <w:r>
        <w:rPr>
          <w:rFonts w:ascii="Arial" w:hAnsi="Arial"/>
          <w:b w:val="0"/>
          <w:i w:val="0"/>
          <w:color w:val="333333"/>
          <w:sz w:val="22"/>
        </w:rPr>
        <w:t>Radiation Oncology Research, Washington University in St. Louis</w:t>
      </w:r>
    </w:p>
    <w:p>
      <w:pPr>
        <w:spacing w:after="80"/>
        <w:jc w:val="center"/>
      </w:pPr>
      <w:r>
        <w:rPr>
          <w:rFonts w:ascii="Arial" w:hAnsi="Arial"/>
          <w:b/>
          <w:i w:val="0"/>
          <w:color w:val="1F4E79"/>
          <w:sz w:val="22"/>
        </w:rPr>
        <w:t xml:space="preserve">Date:  </w:t>
      </w:r>
      <w:r>
        <w:rPr>
          <w:rFonts w:ascii="Arial" w:hAnsi="Arial"/>
          <w:b w:val="0"/>
          <w:i w:val="0"/>
          <w:color w:val="333333"/>
          <w:sz w:val="22"/>
        </w:rPr>
        <w:t>April 2026</w:t>
      </w:r>
    </w:p>
    <w:p>
      <w:pPr>
        <w:spacing w:after="80"/>
        <w:jc w:val="center"/>
      </w:pPr>
      <w:r>
        <w:rPr>
          <w:rFonts w:ascii="Arial" w:hAnsi="Arial"/>
          <w:b/>
          <w:i w:val="0"/>
          <w:color w:val="1F4E79"/>
          <w:sz w:val="22"/>
        </w:rPr>
        <w:t xml:space="preserve">Status:  </w:t>
      </w:r>
      <w:r>
        <w:rPr>
          <w:rFonts w:ascii="Arial" w:hAnsi="Arial"/>
          <w:b w:val="0"/>
          <w:i w:val="0"/>
          <w:color w:val="333333"/>
          <w:sz w:val="22"/>
        </w:rPr>
        <w:t>Draft for IT/RIS Review</w:t>
      </w:r>
    </w:p>
    <w:p>
      <w:r>
        <w:br w:type="page"/>
      </w:r>
    </w:p>
    <w:p>
      <w:pPr>
        <w:spacing w:before="280" w:after="80"/>
        <w:jc w:val="left"/>
        <w:pBdr>
          <w:bottom w:val="single" w:sz="6" w:space="1" w:color="1F4E79"/>
        </w:pBdr>
      </w:pPr>
      <w:r>
        <w:rPr>
          <w:rFonts w:ascii="Arial" w:hAnsi="Arial"/>
          <w:b/>
          <w:i w:val="0"/>
          <w:color w:val="1F4E79"/>
          <w:sz w:val="28"/>
        </w:rPr>
        <w:t>1.  Project Overview</w:t>
      </w:r>
    </w:p>
    <w:p>
      <w:pPr>
        <w:spacing w:before="0" w:after="80"/>
        <w:jc w:val="left"/>
      </w:pPr>
      <w:r>
        <w:rPr>
          <w:rFonts w:ascii="Arial" w:hAnsi="Arial"/>
          <w:b w:val="0"/>
          <w:i w:val="0"/>
          <w:sz w:val="20"/>
        </w:rPr>
        <w:t>This document describes the infrastructure requirements for a web-based, multi-institutional radiation therapy (RT) plan review platform. The platform enables blinded physician ranking of competing RT plans across participating institutions as part of a prospective comparative planning study.</w:t>
      </w:r>
    </w:p>
    <w:p>
      <w:pPr>
        <w:spacing w:before="0" w:after="160"/>
        <w:jc w:val="left"/>
      </w:pPr>
      <w:r>
        <w:rPr>
          <w:rFonts w:ascii="Arial" w:hAnsi="Arial"/>
          <w:b w:val="0"/>
          <w:i w:val="0"/>
          <w:sz w:val="20"/>
        </w:rPr>
        <w:t>The platform is pre-built and currently functional as a local prototype. This request covers the production hosting, storage, and networking requirements to deploy it at scale under WashU's research computing environment.</w:t>
      </w:r>
    </w:p>
    <w:p>
      <w:pPr>
        <w:spacing w:before="0" w:after="40"/>
        <w:jc w:val="left"/>
      </w:pPr>
      <w:r>
        <w:rPr>
          <w:rFonts w:ascii="Arial" w:hAnsi="Arial"/>
          <w:b/>
          <w:i w:val="0"/>
          <w:sz w:val="20"/>
        </w:rPr>
        <w:t>Key Characteristics</w:t>
      </w:r>
    </w:p>
    <w:p>
      <w:pPr>
        <w:pStyle w:val="ListBullet"/>
        <w:spacing w:after="40"/>
        <w:ind w:left="360"/>
      </w:pPr>
      <w:r>
        <w:rPr>
          <w:rFonts w:ascii="Arial" w:hAnsi="Arial"/>
          <w:b w:val="0"/>
          <w:i w:val="0"/>
          <w:sz w:val="20"/>
        </w:rPr>
        <w:t>Fully browser-based viewer — no software installation required by reviewers</w:t>
      </w:r>
    </w:p>
    <w:p>
      <w:pPr>
        <w:pStyle w:val="ListBullet"/>
        <w:spacing w:after="40"/>
        <w:ind w:left="360"/>
      </w:pPr>
      <w:r>
        <w:rPr>
          <w:rFonts w:ascii="Arial" w:hAnsi="Arial"/>
          <w:b w:val="0"/>
          <w:i w:val="0"/>
          <w:sz w:val="20"/>
        </w:rPr>
        <w:t>Pre-processed, de-identified DICOM data served as compressed binary files</w:t>
      </w:r>
    </w:p>
    <w:p>
      <w:pPr>
        <w:pStyle w:val="ListBullet"/>
        <w:spacing w:after="40"/>
        <w:ind w:left="360"/>
      </w:pPr>
      <w:r>
        <w:rPr>
          <w:rFonts w:ascii="Arial" w:hAnsi="Arial"/>
          <w:b w:val="0"/>
          <w:i w:val="0"/>
          <w:sz w:val="20"/>
        </w:rPr>
        <w:t>No patient health information is retained; all data is de-identified per HIPAA Safe Harbor</w:t>
      </w:r>
    </w:p>
    <w:p>
      <w:pPr>
        <w:pStyle w:val="ListBullet"/>
        <w:spacing w:after="40"/>
        <w:ind w:left="360"/>
      </w:pPr>
      <w:r>
        <w:rPr>
          <w:rFonts w:ascii="Arial" w:hAnsi="Arial"/>
          <w:b w:val="0"/>
          <w:i w:val="0"/>
          <w:sz w:val="20"/>
        </w:rPr>
        <w:t>Multi-institutional reviewer access via WashU SSO and InCommon federated identity</w:t>
      </w:r>
    </w:p>
    <w:p>
      <w:pPr>
        <w:pStyle w:val="ListBullet"/>
        <w:spacing w:after="40"/>
        <w:ind w:left="360"/>
      </w:pPr>
      <w:r>
        <w:rPr>
          <w:rFonts w:ascii="Arial" w:hAnsi="Arial"/>
          <w:b w:val="0"/>
          <w:i w:val="0"/>
          <w:sz w:val="20"/>
        </w:rPr>
        <w:t>Inbound data submission from external institutions via Globus file transfer</w:t>
      </w:r>
    </w:p>
    <w:p>
      <w:pPr>
        <w:pStyle w:val="ListBullet"/>
        <w:spacing w:after="40"/>
        <w:ind w:left="360"/>
      </w:pPr>
      <w:r>
        <w:rPr>
          <w:rFonts w:ascii="Arial" w:hAnsi="Arial"/>
          <w:b w:val="0"/>
          <w:i w:val="0"/>
          <w:sz w:val="20"/>
        </w:rPr>
        <w:t>Rankings and reviewer responses collected server-side and stored on RIS storage</w:t>
      </w:r>
    </w:p>
    <w:p>
      <w:pPr>
        <w:spacing w:before="280" w:after="80"/>
        <w:jc w:val="left"/>
        <w:pBdr>
          <w:bottom w:val="single" w:sz="6" w:space="1" w:color="1F4E79"/>
        </w:pBdr>
      </w:pPr>
      <w:r>
        <w:rPr>
          <w:rFonts w:ascii="Arial" w:hAnsi="Arial"/>
          <w:b/>
          <w:i w:val="0"/>
          <w:color w:val="1F4E79"/>
          <w:sz w:val="28"/>
        </w:rPr>
        <w:t>2.  Storage Requirements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744"/>
            <w:shd w:val="clear" w:color="auto" w:fill="D5E8F0"/>
          </w:tcPr>
          <w:p>
            <w:pPr>
              <w:spacing w:before="20" w:after="20"/>
            </w:pPr>
            <w:r/>
            <w:r>
              <w:rPr>
                <w:rFonts w:ascii="Arial" w:hAnsi="Arial"/>
                <w:b/>
                <w:i w:val="0"/>
                <w:color w:val="1F4E79"/>
                <w:sz w:val="20"/>
              </w:rPr>
              <w:t>Component</w:t>
            </w:r>
          </w:p>
        </w:tc>
        <w:tc>
          <w:tcPr>
            <w:tcW w:type="dxa" w:w="1872"/>
            <w:shd w:val="clear" w:color="auto" w:fill="D5E8F0"/>
          </w:tcPr>
          <w:p>
            <w:pPr>
              <w:spacing w:before="20" w:after="20"/>
            </w:pPr>
            <w:r/>
            <w:r>
              <w:rPr>
                <w:rFonts w:ascii="Arial" w:hAnsi="Arial"/>
                <w:b/>
                <w:i w:val="0"/>
                <w:color w:val="1F4E79"/>
                <w:sz w:val="20"/>
              </w:rPr>
              <w:t>Estimated Size</w:t>
            </w:r>
          </w:p>
        </w:tc>
        <w:tc>
          <w:tcPr>
            <w:tcW w:type="dxa" w:w="1584"/>
            <w:shd w:val="clear" w:color="auto" w:fill="D5E8F0"/>
          </w:tcPr>
          <w:p>
            <w:pPr>
              <w:spacing w:before="20" w:after="20"/>
            </w:pPr>
            <w:r/>
            <w:r>
              <w:rPr>
                <w:rFonts w:ascii="Arial" w:hAnsi="Arial"/>
                <w:b/>
                <w:i w:val="0"/>
                <w:color w:val="1F4E79"/>
                <w:sz w:val="20"/>
              </w:rPr>
              <w:t>Storage Tier</w:t>
            </w:r>
          </w:p>
        </w:tc>
        <w:tc>
          <w:tcPr>
            <w:tcW w:type="dxa" w:w="3600"/>
            <w:shd w:val="clear" w:color="auto" w:fill="D5E8F0"/>
          </w:tcPr>
          <w:p>
            <w:pPr>
              <w:spacing w:before="20" w:after="20"/>
            </w:pPr>
            <w:r/>
            <w:r>
              <w:rPr>
                <w:rFonts w:ascii="Arial" w:hAnsi="Arial"/>
                <w:b/>
                <w:i w:val="0"/>
                <w:color w:val="1F4E79"/>
                <w:sz w:val="20"/>
              </w:rPr>
              <w:t>Notes</w:t>
            </w:r>
          </w:p>
        </w:tc>
      </w:tr>
      <w:tr>
        <w:tc>
          <w:tcPr>
            <w:tcW w:type="dxa" w:w="3744"/>
            <w:shd w:val="clear" w:color="auto" w:fill="FFFFFF"/>
          </w:tcPr>
          <w:p>
            <w:pPr>
              <w:spacing w:before="20" w:after="20"/>
            </w:pPr>
            <w:r/>
            <w:r>
              <w:rPr>
                <w:rFonts w:ascii="Arial" w:hAnsi="Arial"/>
                <w:b w:val="0"/>
                <w:i w:val="0"/>
                <w:sz w:val="20"/>
              </w:rPr>
              <w:t>Processed viewer files (CT + dose + structures, all plans)</w:t>
            </w:r>
          </w:p>
        </w:tc>
        <w:tc>
          <w:tcPr>
            <w:tcW w:type="dxa" w:w="1872"/>
            <w:shd w:val="clear" w:color="auto" w:fill="FFFFFF"/>
          </w:tcPr>
          <w:p>
            <w:pPr>
              <w:spacing w:before="20" w:after="20"/>
            </w:pPr>
            <w:r/>
            <w:r>
              <w:rPr>
                <w:rFonts w:ascii="Arial" w:hAnsi="Arial"/>
                <w:b w:val="0"/>
                <w:i w:val="0"/>
                <w:sz w:val="20"/>
              </w:rPr>
              <w:t>~50–200 MB per case</w:t>
            </w:r>
          </w:p>
        </w:tc>
        <w:tc>
          <w:tcPr>
            <w:tcW w:type="dxa" w:w="1584"/>
            <w:shd w:val="clear" w:color="auto" w:fill="FFFFFF"/>
          </w:tcPr>
          <w:p>
            <w:pPr>
              <w:spacing w:before="20" w:after="20"/>
            </w:pPr>
            <w:r/>
            <w:r>
              <w:rPr>
                <w:rFonts w:ascii="Arial" w:hAnsi="Arial"/>
                <w:b w:val="0"/>
                <w:i w:val="0"/>
                <w:sz w:val="20"/>
              </w:rPr>
              <w:t>Active (Tier 1)</w:t>
            </w:r>
          </w:p>
        </w:tc>
        <w:tc>
          <w:tcPr>
            <w:tcW w:type="dxa" w:w="3600"/>
            <w:shd w:val="clear" w:color="auto" w:fill="FFFFFF"/>
          </w:tcPr>
          <w:p>
            <w:pPr>
              <w:spacing w:before="20" w:after="20"/>
            </w:pPr>
            <w:r/>
            <w:r>
              <w:rPr>
                <w:rFonts w:ascii="Arial" w:hAnsi="Arial"/>
                <w:b w:val="0"/>
                <w:i w:val="0"/>
                <w:sz w:val="20"/>
              </w:rPr>
              <w:t>Served directly to browser; requires fast read access</w:t>
            </w:r>
          </w:p>
        </w:tc>
      </w:tr>
      <w:tr>
        <w:tc>
          <w:tcPr>
            <w:tcW w:type="dxa" w:w="3744"/>
            <w:shd w:val="clear" w:color="auto" w:fill="F0F6FB"/>
          </w:tcPr>
          <w:p>
            <w:pPr>
              <w:spacing w:before="20" w:after="20"/>
            </w:pPr>
            <w:r/>
            <w:r>
              <w:rPr>
                <w:rFonts w:ascii="Arial" w:hAnsi="Arial"/>
                <w:b w:val="0"/>
                <w:i w:val="0"/>
                <w:sz w:val="20"/>
              </w:rPr>
              <w:t>Raw DICOM archive (inbound from contributing sites)</w:t>
            </w:r>
          </w:p>
        </w:tc>
        <w:tc>
          <w:tcPr>
            <w:tcW w:type="dxa" w:w="1872"/>
            <w:shd w:val="clear" w:color="auto" w:fill="F0F6FB"/>
          </w:tcPr>
          <w:p>
            <w:pPr>
              <w:spacing w:before="20" w:after="20"/>
            </w:pPr>
            <w:r/>
            <w:r>
              <w:rPr>
                <w:rFonts w:ascii="Arial" w:hAnsi="Arial"/>
                <w:b w:val="0"/>
                <w:i w:val="0"/>
                <w:sz w:val="20"/>
              </w:rPr>
              <w:t>~500 MB–2 GB per case</w:t>
            </w:r>
          </w:p>
        </w:tc>
        <w:tc>
          <w:tcPr>
            <w:tcW w:type="dxa" w:w="1584"/>
            <w:shd w:val="clear" w:color="auto" w:fill="F0F6FB"/>
          </w:tcPr>
          <w:p>
            <w:pPr>
              <w:spacing w:before="20" w:after="20"/>
            </w:pPr>
            <w:r/>
            <w:r>
              <w:rPr>
                <w:rFonts w:ascii="Arial" w:hAnsi="Arial"/>
                <w:b w:val="0"/>
                <w:i w:val="0"/>
                <w:sz w:val="20"/>
              </w:rPr>
              <w:t>Archive (Tier 2)</w:t>
            </w:r>
          </w:p>
        </w:tc>
        <w:tc>
          <w:tcPr>
            <w:tcW w:type="dxa" w:w="3600"/>
            <w:shd w:val="clear" w:color="auto" w:fill="F0F6FB"/>
          </w:tcPr>
          <w:p>
            <w:pPr>
              <w:spacing w:before="20" w:after="20"/>
            </w:pPr>
            <w:r/>
            <w:r>
              <w:rPr>
                <w:rFonts w:ascii="Arial" w:hAnsi="Arial"/>
                <w:b w:val="0"/>
                <w:i w:val="0"/>
                <w:sz w:val="20"/>
              </w:rPr>
              <w:t>Cold storage; accessed only during pre-processing</w:t>
            </w:r>
          </w:p>
        </w:tc>
      </w:tr>
      <w:tr>
        <w:tc>
          <w:tcPr>
            <w:tcW w:type="dxa" w:w="3744"/>
            <w:shd w:val="clear" w:color="auto" w:fill="FFFFFF"/>
          </w:tcPr>
          <w:p>
            <w:pPr>
              <w:spacing w:before="20" w:after="20"/>
            </w:pPr>
            <w:r/>
            <w:r>
              <w:rPr>
                <w:rFonts w:ascii="Arial" w:hAnsi="Arial"/>
                <w:b w:val="0"/>
                <w:i w:val="0"/>
                <w:sz w:val="20"/>
              </w:rPr>
              <w:t>Rankings and response data</w:t>
            </w:r>
          </w:p>
        </w:tc>
        <w:tc>
          <w:tcPr>
            <w:tcW w:type="dxa" w:w="1872"/>
            <w:shd w:val="clear" w:color="auto" w:fill="FFFFFF"/>
          </w:tcPr>
          <w:p>
            <w:pPr>
              <w:spacing w:before="20" w:after="20"/>
            </w:pPr>
            <w:r/>
            <w:r>
              <w:rPr>
                <w:rFonts w:ascii="Arial" w:hAnsi="Arial"/>
                <w:b w:val="0"/>
                <w:i w:val="0"/>
                <w:sz w:val="20"/>
              </w:rPr>
              <w:t>&lt;1 MB per case</w:t>
            </w:r>
          </w:p>
        </w:tc>
        <w:tc>
          <w:tcPr>
            <w:tcW w:type="dxa" w:w="1584"/>
            <w:shd w:val="clear" w:color="auto" w:fill="FFFFFF"/>
          </w:tcPr>
          <w:p>
            <w:pPr>
              <w:spacing w:before="20" w:after="20"/>
            </w:pPr>
            <w:r/>
            <w:r>
              <w:rPr>
                <w:rFonts w:ascii="Arial" w:hAnsi="Arial"/>
                <w:b w:val="0"/>
                <w:i w:val="0"/>
                <w:sz w:val="20"/>
              </w:rPr>
              <w:t>Active (Tier 1)</w:t>
            </w:r>
          </w:p>
        </w:tc>
        <w:tc>
          <w:tcPr>
            <w:tcW w:type="dxa" w:w="3600"/>
            <w:shd w:val="clear" w:color="auto" w:fill="FFFFFF"/>
          </w:tcPr>
          <w:p>
            <w:pPr>
              <w:spacing w:before="20" w:after="20"/>
            </w:pPr>
            <w:r/>
            <w:r>
              <w:rPr>
                <w:rFonts w:ascii="Arial" w:hAnsi="Arial"/>
                <w:b w:val="0"/>
                <w:i w:val="0"/>
                <w:sz w:val="20"/>
              </w:rPr>
              <w:t>JSON files; small but requires write access from web server</w:t>
            </w:r>
          </w:p>
        </w:tc>
      </w:tr>
      <w:tr>
        <w:tc>
          <w:tcPr>
            <w:tcW w:type="dxa" w:w="3744"/>
            <w:shd w:val="clear" w:color="auto" w:fill="F0F6FB"/>
          </w:tcPr>
          <w:p>
            <w:pPr>
              <w:spacing w:before="20" w:after="20"/>
            </w:pPr>
            <w:r/>
            <w:r>
              <w:rPr>
                <w:rFonts w:ascii="Arial" w:hAnsi="Arial"/>
                <w:b w:val="0"/>
                <w:i w:val="0"/>
                <w:sz w:val="20"/>
              </w:rPr>
              <w:t>Logs and audit trail</w:t>
            </w:r>
          </w:p>
        </w:tc>
        <w:tc>
          <w:tcPr>
            <w:tcW w:type="dxa" w:w="1872"/>
            <w:shd w:val="clear" w:color="auto" w:fill="F0F6FB"/>
          </w:tcPr>
          <w:p>
            <w:pPr>
              <w:spacing w:before="20" w:after="20"/>
            </w:pPr>
            <w:r/>
            <w:r>
              <w:rPr>
                <w:rFonts w:ascii="Arial" w:hAnsi="Arial"/>
                <w:b w:val="0"/>
                <w:i w:val="0"/>
                <w:sz w:val="20"/>
              </w:rPr>
              <w:t>~10 MB/month</w:t>
            </w:r>
          </w:p>
        </w:tc>
        <w:tc>
          <w:tcPr>
            <w:tcW w:type="dxa" w:w="1584"/>
            <w:shd w:val="clear" w:color="auto" w:fill="F0F6FB"/>
          </w:tcPr>
          <w:p>
            <w:pPr>
              <w:spacing w:before="20" w:after="20"/>
            </w:pPr>
            <w:r/>
            <w:r>
              <w:rPr>
                <w:rFonts w:ascii="Arial" w:hAnsi="Arial"/>
                <w:b w:val="0"/>
                <w:i w:val="0"/>
                <w:sz w:val="20"/>
              </w:rPr>
              <w:t>Active (Tier 1)</w:t>
            </w:r>
          </w:p>
        </w:tc>
        <w:tc>
          <w:tcPr>
            <w:tcW w:type="dxa" w:w="3600"/>
            <w:shd w:val="clear" w:color="auto" w:fill="F0F6FB"/>
          </w:tcPr>
          <w:p>
            <w:pPr>
              <w:spacing w:before="20" w:after="20"/>
            </w:pPr>
            <w:r/>
            <w:r>
              <w:rPr>
                <w:rFonts w:ascii="Arial" w:hAnsi="Arial"/>
                <w:b w:val="0"/>
                <w:i w:val="0"/>
                <w:sz w:val="20"/>
              </w:rPr>
              <w:t>Access logs for security and research audit purposes</w:t>
            </w:r>
          </w:p>
        </w:tc>
      </w:tr>
    </w:tbl>
    <w:p/>
    <w:p>
      <w:pPr>
        <w:spacing w:before="0" w:after="80"/>
        <w:jc w:val="left"/>
      </w:pPr>
      <w:r>
        <w:rPr>
          <w:rFonts w:ascii="Arial" w:hAnsi="Arial"/>
          <w:b w:val="0"/>
          <w:i w:val="0"/>
          <w:sz w:val="20"/>
        </w:rPr>
        <w:t>Initial study scope: approximately 100 cases (3 plans each). Total active storage estimate: 20–50 GB. Total archive estimate: 50–200 GB. Storage should be expandable as the study scales to additional sites and cases.</w:t>
      </w:r>
    </w:p>
    <w:p>
      <w:pPr>
        <w:spacing w:before="0" w:after="120"/>
        <w:jc w:val="left"/>
      </w:pPr>
      <w:r>
        <w:rPr>
          <w:rFonts w:ascii="Arial" w:hAnsi="Arial"/>
          <w:b w:val="0"/>
          <w:i w:val="0"/>
          <w:sz w:val="20"/>
        </w:rPr>
        <w:t>Request: A dedicated RIS storage allocation (project collection) with separate subdirectories for /intake, /processed, /rankings, and /archive, with independent access controls per subdirectory.</w:t>
      </w:r>
    </w:p>
    <w:p>
      <w:pPr>
        <w:spacing w:before="280" w:after="80"/>
        <w:jc w:val="left"/>
        <w:pBdr>
          <w:bottom w:val="single" w:sz="6" w:space="1" w:color="1F4E79"/>
        </w:pBdr>
      </w:pPr>
      <w:r>
        <w:rPr>
          <w:rFonts w:ascii="Arial" w:hAnsi="Arial"/>
          <w:b/>
          <w:i w:val="0"/>
          <w:color w:val="1F4E79"/>
          <w:sz w:val="28"/>
        </w:rPr>
        <w:t>3.  Compute Requirements</w:t>
      </w:r>
    </w:p>
    <w:p>
      <w:pPr>
        <w:spacing w:before="0" w:after="120"/>
        <w:jc w:val="left"/>
      </w:pPr>
      <w:r>
        <w:rPr>
          <w:rFonts w:ascii="Arial" w:hAnsi="Arial"/>
          <w:b w:val="0"/>
          <w:i w:val="0"/>
          <w:sz w:val="20"/>
        </w:rPr>
        <w:t>The platform requires a persistent, always-on web server process. This is distinct from batch compute jobs and represents the primary infrastructure question for the RIS team.</w:t>
      </w:r>
    </w:p>
    <w:p>
      <w:pPr>
        <w:spacing w:before="160" w:after="40"/>
        <w:jc w:val="left"/>
      </w:pPr>
      <w:r>
        <w:rPr>
          <w:rFonts w:ascii="Arial" w:hAnsi="Arial"/>
          <w:b/>
          <w:i w:val="0"/>
          <w:color w:val="1F4E79"/>
          <w:sz w:val="22"/>
        </w:rPr>
        <w:t>Option A — RIS Compute (Preferred)</w:t>
      </w:r>
    </w:p>
    <w:p>
      <w:pPr>
        <w:spacing w:before="0" w:after="120"/>
        <w:jc w:val="left"/>
      </w:pPr>
      <w:r>
        <w:rPr>
          <w:rFonts w:ascii="Arial" w:hAnsi="Arial"/>
          <w:b w:val="0"/>
          <w:i w:val="0"/>
          <w:sz w:val="20"/>
        </w:rPr>
        <w:t>A containerized web application (Node.js or Python/FastAPI, Docker or Singularity) running persistently on RIS compute infrastructure with direct filesystem access to RIS storage. This is the preferred option as it keeps all data within the RIS environment with no data movement to a separate host.</w:t>
      </w:r>
    </w:p>
    <w:p>
      <w:pPr>
        <w:spacing w:before="80" w:after="40"/>
        <w:jc w:val="left"/>
      </w:pPr>
      <w:r>
        <w:rPr>
          <w:rFonts w:ascii="Arial" w:hAnsi="Arial"/>
          <w:b/>
          <w:i w:val="0"/>
          <w:sz w:val="20"/>
        </w:rPr>
        <w:t>Requirements:</w:t>
      </w:r>
    </w:p>
    <w:p>
      <w:pPr>
        <w:pStyle w:val="ListBullet"/>
        <w:spacing w:after="40"/>
        <w:ind w:left="360"/>
      </w:pPr>
      <w:r>
        <w:rPr>
          <w:rFonts w:ascii="Arial" w:hAnsi="Arial"/>
          <w:b w:val="0"/>
          <w:i w:val="0"/>
          <w:sz w:val="20"/>
        </w:rPr>
        <w:t>1 persistent container or VM — 2–4 vCPU, 8 GB RAM</w:t>
      </w:r>
    </w:p>
    <w:p>
      <w:pPr>
        <w:pStyle w:val="ListBullet"/>
        <w:spacing w:after="40"/>
        <w:ind w:left="360"/>
      </w:pPr>
      <w:r>
        <w:rPr>
          <w:rFonts w:ascii="Arial" w:hAnsi="Arial"/>
          <w:b w:val="0"/>
          <w:i w:val="0"/>
          <w:sz w:val="20"/>
        </w:rPr>
        <w:t>Direct POSIX filesystem mount to RIS storage</w:t>
      </w:r>
    </w:p>
    <w:p>
      <w:pPr>
        <w:pStyle w:val="ListBullet"/>
        <w:spacing w:after="40"/>
        <w:ind w:left="360"/>
      </w:pPr>
      <w:r>
        <w:rPr>
          <w:rFonts w:ascii="Arial" w:hAnsi="Arial"/>
          <w:b w:val="0"/>
          <w:i w:val="0"/>
          <w:sz w:val="20"/>
        </w:rPr>
        <w:t>Outbound HTTPS capability</w:t>
      </w:r>
    </w:p>
    <w:p>
      <w:pPr>
        <w:pStyle w:val="ListBullet"/>
        <w:spacing w:after="40"/>
        <w:ind w:left="360"/>
      </w:pPr>
      <w:r>
        <w:rPr>
          <w:rFonts w:ascii="Arial" w:hAnsi="Arial"/>
          <w:b w:val="0"/>
          <w:i w:val="0"/>
          <w:sz w:val="20"/>
        </w:rPr>
        <w:t>Stable internal hostname for SSL certificate issuance</w:t>
      </w:r>
    </w:p>
    <w:p>
      <w:pPr>
        <w:spacing w:before="160" w:after="40"/>
        <w:jc w:val="left"/>
      </w:pPr>
      <w:r>
        <w:rPr>
          <w:rFonts w:ascii="Arial" w:hAnsi="Arial"/>
          <w:b/>
          <w:i w:val="0"/>
          <w:color w:val="1F4E79"/>
          <w:sz w:val="22"/>
        </w:rPr>
        <w:t>Option B — Separate IT-Hosted VM with RIS Storage Mount</w:t>
      </w:r>
    </w:p>
    <w:p>
      <w:pPr>
        <w:spacing w:before="0" w:after="120"/>
        <w:jc w:val="left"/>
      </w:pPr>
      <w:r>
        <w:rPr>
          <w:rFonts w:ascii="Arial" w:hAnsi="Arial"/>
          <w:b w:val="0"/>
          <w:i w:val="0"/>
          <w:sz w:val="20"/>
        </w:rPr>
        <w:t>If RIS Compute does not support persistent web services, a VM hosted by WashU IT with RIS storage mounted via NFS or similar. This is a common alternative pattern and remains fully compatible with the architecture.</w:t>
      </w:r>
    </w:p>
    <w:p>
      <w:pPr>
        <w:spacing w:before="160" w:after="40"/>
        <w:jc w:val="left"/>
      </w:pPr>
      <w:r>
        <w:rPr>
          <w:rFonts w:ascii="Arial" w:hAnsi="Arial"/>
          <w:b/>
          <w:i w:val="0"/>
          <w:color w:val="1F4E79"/>
          <w:sz w:val="22"/>
        </w:rPr>
        <w:t>Pre-Processing Pipeline</w:t>
      </w:r>
    </w:p>
    <w:p>
      <w:pPr>
        <w:spacing w:before="0" w:after="120"/>
        <w:jc w:val="left"/>
      </w:pPr>
      <w:r>
        <w:rPr>
          <w:rFonts w:ascii="Arial" w:hAnsi="Arial"/>
          <w:b w:val="0"/>
          <w:i w:val="0"/>
          <w:sz w:val="20"/>
        </w:rPr>
        <w:t>Separate from the web server, this pipeline processes incoming data. It can run as a scheduled batch job on RIS Compute:</w:t>
      </w:r>
    </w:p>
    <w:p>
      <w:pPr>
        <w:pStyle w:val="ListBullet"/>
        <w:spacing w:after="40"/>
        <w:ind w:left="360"/>
      </w:pPr>
      <w:r>
        <w:rPr>
          <w:rFonts w:ascii="Arial" w:hAnsi="Arial"/>
          <w:b w:val="0"/>
          <w:i w:val="0"/>
          <w:sz w:val="20"/>
        </w:rPr>
        <w:t>Triggered on new data arrival in /intake/</w:t>
      </w:r>
    </w:p>
    <w:p>
      <w:pPr>
        <w:pStyle w:val="ListBullet"/>
        <w:spacing w:after="40"/>
        <w:ind w:left="360"/>
      </w:pPr>
      <w:r>
        <w:rPr>
          <w:rFonts w:ascii="Arial" w:hAnsi="Arial"/>
          <w:b w:val="0"/>
          <w:i w:val="0"/>
          <w:sz w:val="20"/>
        </w:rPr>
        <w:t>Runs DICOM validation, de-identification verification, and generates compressed viewer files</w:t>
      </w:r>
    </w:p>
    <w:p>
      <w:pPr>
        <w:pStyle w:val="ListBullet"/>
        <w:spacing w:after="40"/>
        <w:ind w:left="360"/>
      </w:pPr>
      <w:r>
        <w:rPr>
          <w:rFonts w:ascii="Arial" w:hAnsi="Arial"/>
          <w:b w:val="0"/>
          <w:i w:val="0"/>
          <w:sz w:val="20"/>
        </w:rPr>
        <w:t>Can run as a scheduled batch job (e.g., nightly) on RIS Compute</w:t>
      </w:r>
    </w:p>
    <w:p>
      <w:pPr>
        <w:pStyle w:val="ListBullet"/>
        <w:spacing w:after="40"/>
        <w:ind w:left="360"/>
      </w:pPr>
      <w:r>
        <w:rPr>
          <w:rFonts w:ascii="Arial" w:hAnsi="Arial"/>
          <w:b w:val="0"/>
          <w:i w:val="0"/>
          <w:sz w:val="20"/>
        </w:rPr>
        <w:t>Estimated runtime: 5–15 minutes per case</w:t>
      </w:r>
    </w:p>
    <w:p>
      <w:pPr>
        <w:pStyle w:val="ListBullet"/>
        <w:spacing w:after="40"/>
        <w:ind w:left="360"/>
      </w:pPr>
      <w:r>
        <w:rPr>
          <w:rFonts w:ascii="Arial" w:hAnsi="Arial"/>
          <w:b w:val="0"/>
          <w:i w:val="0"/>
          <w:sz w:val="20"/>
        </w:rPr>
        <w:t>Requirements: 4 vCPU, 16 GB RAM, access to both /intake/ and /processed/ storage</w:t>
      </w:r>
    </w:p>
    <w:p>
      <w:pPr>
        <w:spacing w:before="280" w:after="80"/>
        <w:jc w:val="left"/>
        <w:pBdr>
          <w:bottom w:val="single" w:sz="6" w:space="1" w:color="1F4E79"/>
        </w:pBdr>
      </w:pPr>
      <w:r>
        <w:rPr>
          <w:rFonts w:ascii="Arial" w:hAnsi="Arial"/>
          <w:b/>
          <w:i w:val="0"/>
          <w:color w:val="1F4E79"/>
          <w:sz w:val="28"/>
        </w:rPr>
        <w:t>4.  Networking and Access Requirements</w:t>
      </w:r>
    </w:p>
    <w:p>
      <w:pPr>
        <w:spacing w:before="160" w:after="40"/>
        <w:jc w:val="left"/>
      </w:pPr>
      <w:r>
        <w:rPr>
          <w:rFonts w:ascii="Arial" w:hAnsi="Arial"/>
          <w:b/>
          <w:i w:val="0"/>
          <w:color w:val="1F4E79"/>
          <w:sz w:val="22"/>
        </w:rPr>
        <w:t>4.1  Public HTTPS Access</w:t>
      </w:r>
    </w:p>
    <w:p>
      <w:pPr>
        <w:spacing w:before="0" w:after="120"/>
        <w:jc w:val="left"/>
      </w:pPr>
      <w:r>
        <w:rPr>
          <w:rFonts w:ascii="Arial" w:hAnsi="Arial"/>
          <w:b w:val="0"/>
          <w:i w:val="0"/>
          <w:sz w:val="20"/>
        </w:rPr>
        <w:t>The web application must be reachable over HTTPS from outside the WashU network, as reviewers at external institutions will access it from their own institutional networks.</w:t>
      </w:r>
    </w:p>
    <w:p>
      <w:pPr>
        <w:pStyle w:val="ListBullet"/>
        <w:spacing w:after="40"/>
        <w:ind w:left="360"/>
      </w:pPr>
      <w:r>
        <w:rPr>
          <w:rFonts w:ascii="Arial" w:hAnsi="Arial"/>
          <w:b w:val="0"/>
          <w:i w:val="0"/>
          <w:sz w:val="20"/>
        </w:rPr>
        <w:t>Public-facing IP or DNS entry (e.g., rtviewer.wustl.edu or similar)</w:t>
      </w:r>
    </w:p>
    <w:p>
      <w:pPr>
        <w:pStyle w:val="ListBullet"/>
        <w:spacing w:after="40"/>
        <w:ind w:left="360"/>
      </w:pPr>
      <w:r>
        <w:rPr>
          <w:rFonts w:ascii="Arial" w:hAnsi="Arial"/>
          <w:b w:val="0"/>
          <w:i w:val="0"/>
          <w:sz w:val="20"/>
        </w:rPr>
        <w:t>Valid SSL/TLS certificate (Let's Encrypt or WashU-issued)</w:t>
      </w:r>
    </w:p>
    <w:p>
      <w:pPr>
        <w:pStyle w:val="ListBullet"/>
        <w:spacing w:after="40"/>
        <w:ind w:left="360"/>
      </w:pPr>
      <w:r>
        <w:rPr>
          <w:rFonts w:ascii="Arial" w:hAnsi="Arial"/>
          <w:b w:val="0"/>
          <w:i w:val="0"/>
          <w:sz w:val="20"/>
        </w:rPr>
        <w:t>Coordination with WashU IT Networking for firewall rules and DNS</w:t>
      </w:r>
    </w:p>
    <w:p>
      <w:pPr>
        <w:spacing w:before="160" w:after="40"/>
        <w:jc w:val="left"/>
      </w:pPr>
      <w:r>
        <w:rPr>
          <w:rFonts w:ascii="Arial" w:hAnsi="Arial"/>
          <w:b/>
          <w:i w:val="0"/>
          <w:color w:val="1F4E79"/>
          <w:sz w:val="22"/>
        </w:rPr>
        <w:t>4.2  WashU Single Sign-On (SSO) Integration</w:t>
      </w:r>
    </w:p>
    <w:p>
      <w:pPr>
        <w:spacing w:before="0" w:after="120"/>
        <w:jc w:val="left"/>
      </w:pPr>
      <w:r>
        <w:rPr>
          <w:rFonts w:ascii="Arial" w:hAnsi="Arial"/>
          <w:b w:val="0"/>
          <w:i w:val="0"/>
          <w:sz w:val="20"/>
        </w:rPr>
        <w:t>The application will authenticate users via WashU's SAML 2.0 identity provider.</w:t>
      </w:r>
    </w:p>
    <w:p>
      <w:pPr>
        <w:pStyle w:val="ListBullet"/>
        <w:spacing w:after="40"/>
        <w:ind w:left="360"/>
      </w:pPr>
      <w:r>
        <w:rPr>
          <w:rFonts w:ascii="Arial" w:hAnsi="Arial"/>
          <w:b w:val="0"/>
          <w:i w:val="0"/>
          <w:sz w:val="20"/>
        </w:rPr>
        <w:t>Registration of the application as a SAML Service Provider with WashU Identity Services</w:t>
      </w:r>
    </w:p>
    <w:p>
      <w:pPr>
        <w:pStyle w:val="ListBullet"/>
        <w:spacing w:after="40"/>
        <w:ind w:left="360"/>
      </w:pPr>
      <w:r>
        <w:rPr>
          <w:rFonts w:ascii="Arial" w:hAnsi="Arial"/>
          <w:b w:val="0"/>
          <w:i w:val="0"/>
          <w:sz w:val="20"/>
        </w:rPr>
        <w:t>Exchange of SP metadata with identity.wustl.edu</w:t>
      </w:r>
    </w:p>
    <w:p>
      <w:pPr>
        <w:pStyle w:val="ListBullet"/>
        <w:spacing w:after="40"/>
        <w:ind w:left="360"/>
      </w:pPr>
      <w:r>
        <w:rPr>
          <w:rFonts w:ascii="Arial" w:hAnsi="Arial"/>
          <w:b w:val="0"/>
          <w:i w:val="0"/>
          <w:sz w:val="20"/>
        </w:rPr>
        <w:t>Required identity attributes: eduPersonPrincipalName (eppn), email, displayName, institutional affiliation</w:t>
      </w:r>
    </w:p>
    <w:p>
      <w:pPr>
        <w:pStyle w:val="ListBullet"/>
        <w:spacing w:after="40"/>
        <w:ind w:left="360"/>
      </w:pPr>
      <w:r>
        <w:rPr>
          <w:rFonts w:ascii="Arial" w:hAnsi="Arial"/>
          <w:b w:val="0"/>
          <w:i w:val="0"/>
          <w:sz w:val="20"/>
        </w:rPr>
        <w:t>Contact: WUIT-SA / WashU Identity and Access Management team</w:t>
      </w:r>
    </w:p>
    <w:p>
      <w:pPr>
        <w:spacing w:before="160" w:after="40"/>
        <w:jc w:val="left"/>
      </w:pPr>
      <w:r>
        <w:rPr>
          <w:rFonts w:ascii="Arial" w:hAnsi="Arial"/>
          <w:b/>
          <w:i w:val="0"/>
          <w:color w:val="1F4E79"/>
          <w:sz w:val="22"/>
        </w:rPr>
        <w:t>4.3  InCommon Federation (Multi-Site Expansion)</w:t>
      </w:r>
    </w:p>
    <w:p>
      <w:pPr>
        <w:spacing w:before="0" w:after="120"/>
        <w:jc w:val="left"/>
      </w:pPr>
      <w:r>
        <w:rPr>
          <w:rFonts w:ascii="Arial" w:hAnsi="Arial"/>
          <w:b w:val="0"/>
          <w:i w:val="0"/>
          <w:sz w:val="20"/>
        </w:rPr>
        <w:t>To allow reviewers from external institutions to authenticate with their home institution credentials:</w:t>
      </w:r>
    </w:p>
    <w:p>
      <w:pPr>
        <w:pStyle w:val="ListBullet"/>
        <w:spacing w:after="40"/>
        <w:ind w:left="360"/>
      </w:pPr>
      <w:r>
        <w:rPr>
          <w:rFonts w:ascii="Arial" w:hAnsi="Arial"/>
          <w:b w:val="0"/>
          <w:i w:val="0"/>
          <w:sz w:val="20"/>
        </w:rPr>
        <w:t>Register the application as an InCommon Service Provider</w:t>
      </w:r>
    </w:p>
    <w:p>
      <w:pPr>
        <w:pStyle w:val="ListBullet"/>
        <w:spacing w:after="40"/>
        <w:ind w:left="360"/>
      </w:pPr>
      <w:r>
        <w:rPr>
          <w:rFonts w:ascii="Arial" w:hAnsi="Arial"/>
          <w:b w:val="0"/>
          <w:i w:val="0"/>
          <w:sz w:val="20"/>
        </w:rPr>
        <w:t>This enables any InCommon member institution (most major US research universities and AMCs) to federate without per-institution SSO configuration</w:t>
      </w:r>
    </w:p>
    <w:p>
      <w:pPr>
        <w:pStyle w:val="ListBullet"/>
        <w:spacing w:after="40"/>
        <w:ind w:left="360"/>
      </w:pPr>
      <w:r>
        <w:rPr>
          <w:rFonts w:ascii="Arial" w:hAnsi="Arial"/>
          <w:b w:val="0"/>
          <w:i w:val="0"/>
          <w:sz w:val="20"/>
        </w:rPr>
        <w:t>One-time registration process coordinated with WashU IT</w:t>
      </w:r>
    </w:p>
    <w:p>
      <w:pPr>
        <w:spacing w:before="160" w:after="40"/>
        <w:jc w:val="left"/>
      </w:pPr>
      <w:r>
        <w:rPr>
          <w:rFonts w:ascii="Arial" w:hAnsi="Arial"/>
          <w:b/>
          <w:i w:val="0"/>
          <w:color w:val="1F4E79"/>
          <w:sz w:val="22"/>
        </w:rPr>
        <w:t>4.4  Globus Collection for Data Intake</w:t>
      </w:r>
    </w:p>
    <w:p>
      <w:pPr>
        <w:spacing w:before="0" w:after="120"/>
        <w:jc w:val="left"/>
      </w:pPr>
      <w:r>
        <w:rPr>
          <w:rFonts w:ascii="Arial" w:hAnsi="Arial"/>
          <w:b w:val="0"/>
          <w:i w:val="0"/>
          <w:sz w:val="20"/>
        </w:rPr>
        <w:t>For receiving de-identified DICOM data from contributing institutions:</w:t>
      </w:r>
    </w:p>
    <w:p>
      <w:pPr>
        <w:pStyle w:val="ListBullet"/>
        <w:spacing w:after="40"/>
        <w:ind w:left="360"/>
      </w:pPr>
      <w:r>
        <w:rPr>
          <w:rFonts w:ascii="Arial" w:hAnsi="Arial"/>
          <w:b w:val="0"/>
          <w:i w:val="0"/>
          <w:sz w:val="20"/>
        </w:rPr>
        <w:t>Create a Globus collection mapped to the /intake/ subdirectory of the RIS storage allocation</w:t>
      </w:r>
    </w:p>
    <w:p>
      <w:pPr>
        <w:pStyle w:val="ListBullet"/>
        <w:spacing w:after="40"/>
        <w:ind w:left="360"/>
      </w:pPr>
      <w:r>
        <w:rPr>
          <w:rFonts w:ascii="Arial" w:hAnsi="Arial"/>
          <w:b w:val="0"/>
          <w:i w:val="0"/>
          <w:sz w:val="20"/>
        </w:rPr>
        <w:t>Configure write-only access for contributing institution Globus identities (managed per-site)</w:t>
      </w:r>
    </w:p>
    <w:p>
      <w:pPr>
        <w:pStyle w:val="ListBullet"/>
        <w:spacing w:after="40"/>
        <w:ind w:left="360"/>
      </w:pPr>
      <w:r>
        <w:rPr>
          <w:rFonts w:ascii="Arial" w:hAnsi="Arial"/>
          <w:b w:val="0"/>
          <w:i w:val="0"/>
          <w:sz w:val="20"/>
        </w:rPr>
        <w:t>Contributing sites use Globus Connect to transfer data — no special setup required on their end beyond standard Globus</w:t>
      </w:r>
    </w:p>
    <w:p>
      <w:pPr>
        <w:pStyle w:val="ListBullet"/>
        <w:spacing w:after="40"/>
        <w:ind w:left="360"/>
      </w:pPr>
      <w:r>
        <w:rPr>
          <w:rFonts w:ascii="Arial" w:hAnsi="Arial"/>
          <w:b w:val="0"/>
          <w:i w:val="0"/>
          <w:sz w:val="20"/>
        </w:rPr>
        <w:t>WashU RIS already operates a Globus endpoint; this request is for a project-specific collection within it</w:t>
      </w:r>
    </w:p>
    <w:p>
      <w:pPr>
        <w:spacing w:before="280" w:after="80"/>
        <w:jc w:val="left"/>
        <w:pBdr>
          <w:bottom w:val="single" w:sz="6" w:space="1" w:color="1F4E79"/>
        </w:pBdr>
      </w:pPr>
      <w:r>
        <w:rPr>
          <w:rFonts w:ascii="Arial" w:hAnsi="Arial"/>
          <w:b/>
          <w:i w:val="0"/>
          <w:color w:val="1F4E79"/>
          <w:sz w:val="28"/>
        </w:rPr>
        <w:t>5.  Security and Access Control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D5E8F0"/>
          </w:tcPr>
          <w:p>
            <w:pPr>
              <w:spacing w:before="20" w:after="20"/>
            </w:pPr>
            <w:r/>
            <w:r>
              <w:rPr>
                <w:rFonts w:ascii="Arial" w:hAnsi="Arial"/>
                <w:b/>
                <w:i w:val="0"/>
                <w:color w:val="1F4E79"/>
                <w:sz w:val="20"/>
              </w:rPr>
              <w:t>Role</w:t>
            </w:r>
          </w:p>
        </w:tc>
        <w:tc>
          <w:tcPr>
            <w:tcW w:type="dxa" w:w="2304"/>
            <w:shd w:val="clear" w:color="auto" w:fill="D5E8F0"/>
          </w:tcPr>
          <w:p>
            <w:pPr>
              <w:spacing w:before="20" w:after="20"/>
            </w:pPr>
            <w:r/>
            <w:r>
              <w:rPr>
                <w:rFonts w:ascii="Arial" w:hAnsi="Arial"/>
                <w:b/>
                <w:i w:val="0"/>
                <w:color w:val="1F4E79"/>
                <w:sz w:val="20"/>
              </w:rPr>
              <w:t>Authentication</w:t>
            </w:r>
          </w:p>
        </w:tc>
        <w:tc>
          <w:tcPr>
            <w:tcW w:type="dxa" w:w="3168"/>
            <w:shd w:val="clear" w:color="auto" w:fill="D5E8F0"/>
          </w:tcPr>
          <w:p>
            <w:pPr>
              <w:spacing w:before="20" w:after="20"/>
            </w:pPr>
            <w:r/>
            <w:r>
              <w:rPr>
                <w:rFonts w:ascii="Arial" w:hAnsi="Arial"/>
                <w:b/>
                <w:i w:val="0"/>
                <w:color w:val="1F4E79"/>
                <w:sz w:val="20"/>
              </w:rPr>
              <w:t>Data Access</w:t>
            </w:r>
          </w:p>
        </w:tc>
        <w:tc>
          <w:tcPr>
            <w:tcW w:type="dxa" w:w="3168"/>
            <w:shd w:val="clear" w:color="auto" w:fill="D5E8F0"/>
          </w:tcPr>
          <w:p>
            <w:pPr>
              <w:spacing w:before="20" w:after="20"/>
            </w:pPr>
            <w:r/>
            <w:r>
              <w:rPr>
                <w:rFonts w:ascii="Arial" w:hAnsi="Arial"/>
                <w:b/>
                <w:i w:val="0"/>
                <w:color w:val="1F4E79"/>
                <w:sz w:val="20"/>
              </w:rPr>
              <w:t>Notes</w:t>
            </w:r>
          </w:p>
        </w:tc>
      </w:tr>
      <w:tr>
        <w:tc>
          <w:tcPr>
            <w:tcW w:type="dxa" w:w="2160"/>
            <w:shd w:val="clear" w:color="auto" w:fill="FFFFFF"/>
          </w:tcPr>
          <w:p>
            <w:pPr>
              <w:spacing w:before="20" w:after="20"/>
            </w:pPr>
            <w:r/>
            <w:r>
              <w:rPr>
                <w:rFonts w:ascii="Arial" w:hAnsi="Arial"/>
                <w:b w:val="0"/>
                <w:i w:val="0"/>
                <w:sz w:val="20"/>
              </w:rPr>
              <w:t>Administrator (study team)</w:t>
            </w:r>
          </w:p>
        </w:tc>
        <w:tc>
          <w:tcPr>
            <w:tcW w:type="dxa" w:w="2304"/>
            <w:shd w:val="clear" w:color="auto" w:fill="FFFFFF"/>
          </w:tcPr>
          <w:p>
            <w:pPr>
              <w:spacing w:before="20" w:after="20"/>
            </w:pPr>
            <w:r/>
            <w:r>
              <w:rPr>
                <w:rFonts w:ascii="Arial" w:hAnsi="Arial"/>
                <w:b w:val="0"/>
                <w:i w:val="0"/>
                <w:sz w:val="20"/>
              </w:rPr>
              <w:t>WashU SSO</w:t>
            </w:r>
          </w:p>
        </w:tc>
        <w:tc>
          <w:tcPr>
            <w:tcW w:type="dxa" w:w="3168"/>
            <w:shd w:val="clear" w:color="auto" w:fill="FFFFFF"/>
          </w:tcPr>
          <w:p>
            <w:pPr>
              <w:spacing w:before="20" w:after="20"/>
            </w:pPr>
            <w:r/>
            <w:r>
              <w:rPr>
                <w:rFonts w:ascii="Arial" w:hAnsi="Arial"/>
                <w:b w:val="0"/>
                <w:i w:val="0"/>
                <w:sz w:val="20"/>
              </w:rPr>
              <w:t>Full — all cases, rankings, randomization key</w:t>
            </w:r>
          </w:p>
        </w:tc>
        <w:tc>
          <w:tcPr>
            <w:tcW w:type="dxa" w:w="3168"/>
            <w:shd w:val="clear" w:color="auto" w:fill="FFFFFF"/>
          </w:tcPr>
          <w:p>
            <w:pPr>
              <w:spacing w:before="20" w:after="20"/>
            </w:pPr>
            <w:r/>
            <w:r>
              <w:rPr>
                <w:rFonts w:ascii="Arial" w:hAnsi="Arial"/>
                <w:b w:val="0"/>
                <w:i w:val="0"/>
                <w:sz w:val="20"/>
              </w:rPr>
              <w:t>PI and designated research staff only</w:t>
            </w:r>
          </w:p>
        </w:tc>
      </w:tr>
      <w:tr>
        <w:tc>
          <w:tcPr>
            <w:tcW w:type="dxa" w:w="2160"/>
            <w:shd w:val="clear" w:color="auto" w:fill="F0F6FB"/>
          </w:tcPr>
          <w:p>
            <w:pPr>
              <w:spacing w:before="20" w:after="20"/>
            </w:pPr>
            <w:r/>
            <w:r>
              <w:rPr>
                <w:rFonts w:ascii="Arial" w:hAnsi="Arial"/>
                <w:b w:val="0"/>
                <w:i w:val="0"/>
                <w:sz w:val="20"/>
              </w:rPr>
              <w:t>Reviewer (WashU)</w:t>
            </w:r>
          </w:p>
        </w:tc>
        <w:tc>
          <w:tcPr>
            <w:tcW w:type="dxa" w:w="2304"/>
            <w:shd w:val="clear" w:color="auto" w:fill="F0F6FB"/>
          </w:tcPr>
          <w:p>
            <w:pPr>
              <w:spacing w:before="20" w:after="20"/>
            </w:pPr>
            <w:r/>
            <w:r>
              <w:rPr>
                <w:rFonts w:ascii="Arial" w:hAnsi="Arial"/>
                <w:b w:val="0"/>
                <w:i w:val="0"/>
                <w:sz w:val="20"/>
              </w:rPr>
              <w:t>WashU SSO</w:t>
            </w:r>
          </w:p>
        </w:tc>
        <w:tc>
          <w:tcPr>
            <w:tcW w:type="dxa" w:w="3168"/>
            <w:shd w:val="clear" w:color="auto" w:fill="F0F6FB"/>
          </w:tcPr>
          <w:p>
            <w:pPr>
              <w:spacing w:before="20" w:after="20"/>
            </w:pPr>
            <w:r/>
            <w:r>
              <w:rPr>
                <w:rFonts w:ascii="Arial" w:hAnsi="Arial"/>
                <w:b w:val="0"/>
                <w:i w:val="0"/>
                <w:sz w:val="20"/>
              </w:rPr>
              <w:t>Assigned cases only, blinded plan labels</w:t>
            </w:r>
          </w:p>
        </w:tc>
        <w:tc>
          <w:tcPr>
            <w:tcW w:type="dxa" w:w="3168"/>
            <w:shd w:val="clear" w:color="auto" w:fill="F0F6FB"/>
          </w:tcPr>
          <w:p>
            <w:pPr>
              <w:spacing w:before="20" w:after="20"/>
            </w:pPr>
            <w:r/>
            <w:r>
              <w:rPr>
                <w:rFonts w:ascii="Arial" w:hAnsi="Arial"/>
                <w:b w:val="0"/>
                <w:i w:val="0"/>
                <w:sz w:val="20"/>
              </w:rPr>
              <w:t>Physicians participating as reviewers</w:t>
            </w:r>
          </w:p>
        </w:tc>
      </w:tr>
      <w:tr>
        <w:tc>
          <w:tcPr>
            <w:tcW w:type="dxa" w:w="2160"/>
            <w:shd w:val="clear" w:color="auto" w:fill="FFFFFF"/>
          </w:tcPr>
          <w:p>
            <w:pPr>
              <w:spacing w:before="20" w:after="20"/>
            </w:pPr>
            <w:r/>
            <w:r>
              <w:rPr>
                <w:rFonts w:ascii="Arial" w:hAnsi="Arial"/>
                <w:b w:val="0"/>
                <w:i w:val="0"/>
                <w:sz w:val="20"/>
              </w:rPr>
              <w:t>Reviewer (External)</w:t>
            </w:r>
          </w:p>
        </w:tc>
        <w:tc>
          <w:tcPr>
            <w:tcW w:type="dxa" w:w="2304"/>
            <w:shd w:val="clear" w:color="auto" w:fill="FFFFFF"/>
          </w:tcPr>
          <w:p>
            <w:pPr>
              <w:spacing w:before="20" w:after="20"/>
            </w:pPr>
            <w:r/>
            <w:r>
              <w:rPr>
                <w:rFonts w:ascii="Arial" w:hAnsi="Arial"/>
                <w:b w:val="0"/>
                <w:i w:val="0"/>
                <w:sz w:val="20"/>
              </w:rPr>
              <w:t>Home institution SSO via InCommon</w:t>
            </w:r>
          </w:p>
        </w:tc>
        <w:tc>
          <w:tcPr>
            <w:tcW w:type="dxa" w:w="3168"/>
            <w:shd w:val="clear" w:color="auto" w:fill="FFFFFF"/>
          </w:tcPr>
          <w:p>
            <w:pPr>
              <w:spacing w:before="20" w:after="20"/>
            </w:pPr>
            <w:r/>
            <w:r>
              <w:rPr>
                <w:rFonts w:ascii="Arial" w:hAnsi="Arial"/>
                <w:b w:val="0"/>
                <w:i w:val="0"/>
                <w:sz w:val="20"/>
              </w:rPr>
              <w:t>Assigned cases only, blinded plan labels</w:t>
            </w:r>
          </w:p>
        </w:tc>
        <w:tc>
          <w:tcPr>
            <w:tcW w:type="dxa" w:w="3168"/>
            <w:shd w:val="clear" w:color="auto" w:fill="FFFFFF"/>
          </w:tcPr>
          <w:p>
            <w:pPr>
              <w:spacing w:before="20" w:after="20"/>
            </w:pPr>
            <w:r/>
            <w:r>
              <w:rPr>
                <w:rFonts w:ascii="Arial" w:hAnsi="Arial"/>
                <w:b w:val="0"/>
                <w:i w:val="0"/>
                <w:sz w:val="20"/>
              </w:rPr>
              <w:t>Same access as WashU reviewers; institution verified via SSO assertion</w:t>
            </w:r>
          </w:p>
        </w:tc>
      </w:tr>
      <w:tr>
        <w:tc>
          <w:tcPr>
            <w:tcW w:type="dxa" w:w="2160"/>
            <w:shd w:val="clear" w:color="auto" w:fill="F0F6FB"/>
          </w:tcPr>
          <w:p>
            <w:pPr>
              <w:spacing w:before="20" w:after="20"/>
            </w:pPr>
            <w:r/>
            <w:r>
              <w:rPr>
                <w:rFonts w:ascii="Arial" w:hAnsi="Arial"/>
                <w:b w:val="0"/>
                <w:i w:val="0"/>
                <w:sz w:val="20"/>
              </w:rPr>
              <w:t>Submitter</w:t>
            </w:r>
          </w:p>
        </w:tc>
        <w:tc>
          <w:tcPr>
            <w:tcW w:type="dxa" w:w="2304"/>
            <w:shd w:val="clear" w:color="auto" w:fill="F0F6FB"/>
          </w:tcPr>
          <w:p>
            <w:pPr>
              <w:spacing w:before="20" w:after="20"/>
            </w:pPr>
            <w:r/>
            <w:r>
              <w:rPr>
                <w:rFonts w:ascii="Arial" w:hAnsi="Arial"/>
                <w:b w:val="0"/>
                <w:i w:val="0"/>
                <w:sz w:val="20"/>
              </w:rPr>
              <w:t>Globus identity (institutional)</w:t>
            </w:r>
          </w:p>
        </w:tc>
        <w:tc>
          <w:tcPr>
            <w:tcW w:type="dxa" w:w="3168"/>
            <w:shd w:val="clear" w:color="auto" w:fill="F0F6FB"/>
          </w:tcPr>
          <w:p>
            <w:pPr>
              <w:spacing w:before="20" w:after="20"/>
            </w:pPr>
            <w:r/>
            <w:r>
              <w:rPr>
                <w:rFonts w:ascii="Arial" w:hAnsi="Arial"/>
                <w:b w:val="0"/>
                <w:i w:val="0"/>
                <w:sz w:val="20"/>
              </w:rPr>
              <w:t>Write to /intake/ only; no read access to other cases</w:t>
            </w:r>
          </w:p>
        </w:tc>
        <w:tc>
          <w:tcPr>
            <w:tcW w:type="dxa" w:w="3168"/>
            <w:shd w:val="clear" w:color="auto" w:fill="F0F6FB"/>
          </w:tcPr>
          <w:p>
            <w:pPr>
              <w:spacing w:before="20" w:after="20"/>
            </w:pPr>
            <w:r/>
            <w:r>
              <w:rPr>
                <w:rFonts w:ascii="Arial" w:hAnsi="Arial"/>
                <w:b w:val="0"/>
                <w:i w:val="0"/>
                <w:sz w:val="20"/>
              </w:rPr>
              <w:t>Contributing sites; cannot review their own institution's cases</w:t>
            </w:r>
          </w:p>
        </w:tc>
      </w:tr>
      <w:tr>
        <w:tc>
          <w:tcPr>
            <w:tcW w:type="dxa" w:w="2160"/>
            <w:shd w:val="clear" w:color="auto" w:fill="FFFFFF"/>
          </w:tcPr>
          <w:p>
            <w:pPr>
              <w:spacing w:before="20" w:after="20"/>
            </w:pPr>
            <w:r/>
            <w:r>
              <w:rPr>
                <w:rFonts w:ascii="Arial" w:hAnsi="Arial"/>
                <w:b w:val="0"/>
                <w:i w:val="0"/>
                <w:sz w:val="20"/>
              </w:rPr>
              <w:t>Web server process</w:t>
            </w:r>
          </w:p>
        </w:tc>
        <w:tc>
          <w:tcPr>
            <w:tcW w:type="dxa" w:w="2304"/>
            <w:shd w:val="clear" w:color="auto" w:fill="FFFFFF"/>
          </w:tcPr>
          <w:p>
            <w:pPr>
              <w:spacing w:before="20" w:after="20"/>
            </w:pPr>
            <w:r/>
            <w:r>
              <w:rPr>
                <w:rFonts w:ascii="Arial" w:hAnsi="Arial"/>
                <w:b w:val="0"/>
                <w:i w:val="0"/>
                <w:sz w:val="20"/>
              </w:rPr>
              <w:t>Service account</w:t>
            </w:r>
          </w:p>
        </w:tc>
        <w:tc>
          <w:tcPr>
            <w:tcW w:type="dxa" w:w="3168"/>
            <w:shd w:val="clear" w:color="auto" w:fill="FFFFFF"/>
          </w:tcPr>
          <w:p>
            <w:pPr>
              <w:spacing w:before="20" w:after="20"/>
            </w:pPr>
            <w:r/>
            <w:r>
              <w:rPr>
                <w:rFonts w:ascii="Arial" w:hAnsi="Arial"/>
                <w:b w:val="0"/>
                <w:i w:val="0"/>
                <w:sz w:val="20"/>
              </w:rPr>
              <w:t>Read from /processed/; write to /rankings/ and /logs/</w:t>
            </w:r>
          </w:p>
        </w:tc>
        <w:tc>
          <w:tcPr>
            <w:tcW w:type="dxa" w:w="3168"/>
            <w:shd w:val="clear" w:color="auto" w:fill="FFFFFF"/>
          </w:tcPr>
          <w:p>
            <w:pPr>
              <w:spacing w:before="20" w:after="20"/>
            </w:pPr>
            <w:r/>
            <w:r>
              <w:rPr>
                <w:rFonts w:ascii="Arial" w:hAnsi="Arial"/>
                <w:b w:val="0"/>
                <w:i w:val="0"/>
                <w:sz w:val="20"/>
              </w:rPr>
              <w:t>Principle of least privilege</w:t>
            </w:r>
          </w:p>
        </w:tc>
      </w:tr>
    </w:tbl>
    <w:p/>
    <w:p>
      <w:pPr>
        <w:spacing w:before="0" w:after="40"/>
        <w:jc w:val="left"/>
      </w:pPr>
      <w:r>
        <w:rPr>
          <w:rFonts w:ascii="Arial" w:hAnsi="Arial"/>
          <w:b/>
          <w:i w:val="0"/>
          <w:sz w:val="20"/>
        </w:rPr>
        <w:t>Additional Security Requirements</w:t>
      </w:r>
    </w:p>
    <w:p>
      <w:pPr>
        <w:pStyle w:val="ListBullet"/>
        <w:spacing w:after="40"/>
        <w:ind w:left="360"/>
      </w:pPr>
      <w:r>
        <w:rPr>
          <w:rFonts w:ascii="Arial" w:hAnsi="Arial"/>
          <w:b w:val="0"/>
          <w:i w:val="0"/>
          <w:sz w:val="20"/>
        </w:rPr>
        <w:t>All data in transit encrypted via TLS 1.2+</w:t>
      </w:r>
    </w:p>
    <w:p>
      <w:pPr>
        <w:pStyle w:val="ListBullet"/>
        <w:spacing w:after="40"/>
        <w:ind w:left="360"/>
      </w:pPr>
      <w:r>
        <w:rPr>
          <w:rFonts w:ascii="Arial" w:hAnsi="Arial"/>
          <w:b w:val="0"/>
          <w:i w:val="0"/>
          <w:sz w:val="20"/>
        </w:rPr>
        <w:t>All access events logged with timestamp, user identity, and resource accessed</w:t>
      </w:r>
    </w:p>
    <w:p>
      <w:pPr>
        <w:pStyle w:val="ListBullet"/>
        <w:spacing w:after="40"/>
        <w:ind w:left="360"/>
      </w:pPr>
      <w:r>
        <w:rPr>
          <w:rFonts w:ascii="Arial" w:hAnsi="Arial"/>
          <w:b w:val="0"/>
          <w:i w:val="0"/>
          <w:sz w:val="20"/>
        </w:rPr>
        <w:t>Audit logs retained for duration of study plus 3 years (research records requirement)</w:t>
      </w:r>
    </w:p>
    <w:p>
      <w:pPr>
        <w:pStyle w:val="ListBullet"/>
        <w:spacing w:after="40"/>
        <w:ind w:left="360"/>
      </w:pPr>
      <w:r>
        <w:rPr>
          <w:rFonts w:ascii="Arial" w:hAnsi="Arial"/>
          <w:b w:val="0"/>
          <w:i w:val="0"/>
          <w:sz w:val="20"/>
        </w:rPr>
        <w:t>No PHI stored at any layer; de-identification verified at intake before processing</w:t>
      </w:r>
    </w:p>
    <w:p>
      <w:pPr>
        <w:pStyle w:val="ListBullet"/>
        <w:spacing w:after="40"/>
        <w:ind w:left="360"/>
      </w:pPr>
      <w:r>
        <w:rPr>
          <w:rFonts w:ascii="Arial" w:hAnsi="Arial"/>
          <w:b w:val="0"/>
          <w:i w:val="0"/>
          <w:sz w:val="20"/>
        </w:rPr>
        <w:t>Reviewer whitelist managed by study administrator; access can be revoked individually</w:t>
      </w:r>
    </w:p>
    <w:p>
      <w:pPr>
        <w:spacing w:before="280" w:after="80"/>
        <w:jc w:val="left"/>
        <w:pBdr>
          <w:bottom w:val="single" w:sz="6" w:space="1" w:color="1F4E79"/>
        </w:pBdr>
      </w:pPr>
      <w:r>
        <w:rPr>
          <w:rFonts w:ascii="Arial" w:hAnsi="Arial"/>
          <w:b/>
          <w:i w:val="0"/>
          <w:color w:val="1F4E79"/>
          <w:sz w:val="28"/>
        </w:rPr>
        <w:t>6.  Data Flow Summary</w:t>
      </w:r>
    </w:p>
    <w:p>
      <w:pPr>
        <w:spacing w:after="80"/>
        <w:ind w:left="504" w:hanging="504"/>
      </w:pPr>
      <w:r>
        <w:rPr>
          <w:rFonts w:ascii="Arial" w:hAnsi="Arial"/>
          <w:b w:val="0"/>
          <w:i w:val="0"/>
          <w:sz w:val="20"/>
        </w:rPr>
        <w:t>1.</w:t>
        <w:tab/>
        <w:t>Contributing Site: De-identifies DICOM data locally, then transfers via Globus to /intake/{site}/{subject}/</w:t>
      </w:r>
    </w:p>
    <w:p>
      <w:pPr>
        <w:spacing w:after="80"/>
        <w:ind w:left="504" w:hanging="504"/>
      </w:pPr>
      <w:r>
        <w:rPr>
          <w:rFonts w:ascii="Arial" w:hAnsi="Arial"/>
          <w:b w:val="0"/>
          <w:i w:val="0"/>
          <w:sz w:val="20"/>
        </w:rPr>
        <w:t>2.</w:t>
        <w:tab/>
        <w:t>Intake Processing (RIS Compute, scheduled): Validates and processes DICOM, generates compressed viewer files, writes to /processed/{site}/{subject}/</w:t>
      </w:r>
    </w:p>
    <w:p>
      <w:pPr>
        <w:spacing w:after="80"/>
        <w:ind w:left="504" w:hanging="504"/>
      </w:pPr>
      <w:r>
        <w:rPr>
          <w:rFonts w:ascii="Arial" w:hAnsi="Arial"/>
          <w:b w:val="0"/>
          <w:i w:val="0"/>
          <w:sz w:val="20"/>
        </w:rPr>
        <w:t>3.</w:t>
        <w:tab/>
        <w:t>Web Server: Serves viewer files to authenticated browsers, receives ranking submissions, writes to /rankings/</w:t>
      </w:r>
    </w:p>
    <w:p>
      <w:pPr>
        <w:spacing w:after="80"/>
        <w:ind w:left="504" w:hanging="504"/>
      </w:pPr>
      <w:r>
        <w:rPr>
          <w:rFonts w:ascii="Arial" w:hAnsi="Arial"/>
          <w:b w:val="0"/>
          <w:i w:val="0"/>
          <w:sz w:val="20"/>
        </w:rPr>
        <w:t>4.</w:t>
        <w:tab/>
        <w:t>Study Team: Accesses aggregate rankings and audit logs via administrator interface</w:t>
      </w:r>
    </w:p>
    <w:p>
      <w:pPr>
        <w:spacing w:before="280" w:after="80"/>
        <w:jc w:val="left"/>
        <w:pBdr>
          <w:bottom w:val="single" w:sz="6" w:space="1" w:color="1F4E79"/>
        </w:pBdr>
      </w:pPr>
      <w:r>
        <w:rPr>
          <w:rFonts w:ascii="Arial" w:hAnsi="Arial"/>
          <w:b/>
          <w:i w:val="0"/>
          <w:color w:val="1F4E79"/>
          <w:sz w:val="28"/>
        </w:rPr>
        <w:t>7.  Questions for the RIS Team</w:t>
      </w:r>
    </w:p>
    <w:p>
      <w:pPr>
        <w:spacing w:after="80"/>
        <w:ind w:left="504" w:hanging="504"/>
      </w:pPr>
      <w:r>
        <w:rPr>
          <w:rFonts w:ascii="Arial" w:hAnsi="Arial"/>
          <w:b w:val="0"/>
          <w:i w:val="0"/>
          <w:sz w:val="20"/>
        </w:rPr>
        <w:t>1.</w:t>
        <w:tab/>
        <w:t>Can RIS Compute support a persistent (always-on) containerized web service, or is the infrastructure primarily designed for batch/scheduled jobs? If not, what is the recommended path for hosting a persistent web application with access to RIS storage?</w:t>
      </w:r>
    </w:p>
    <w:p>
      <w:pPr>
        <w:spacing w:after="80"/>
        <w:ind w:left="504" w:hanging="504"/>
      </w:pPr>
      <w:r>
        <w:rPr>
          <w:rFonts w:ascii="Arial" w:hAnsi="Arial"/>
          <w:b w:val="0"/>
          <w:i w:val="0"/>
          <w:sz w:val="20"/>
        </w:rPr>
        <w:t>2.</w:t>
        <w:tab/>
        <w:t>What is the process for requesting a named Globus collection mapped to a specific subdirectory of a RIS storage allocation, with per-user write permissions managed by the project team?</w:t>
      </w:r>
    </w:p>
    <w:p>
      <w:pPr>
        <w:spacing w:after="80"/>
        <w:ind w:left="504" w:hanging="504"/>
      </w:pPr>
      <w:r>
        <w:rPr>
          <w:rFonts w:ascii="Arial" w:hAnsi="Arial"/>
          <w:b w:val="0"/>
          <w:i w:val="0"/>
          <w:sz w:val="20"/>
        </w:rPr>
        <w:t>3.</w:t>
        <w:tab/>
        <w:t>Can the RIS environment support NFS or POSIX filesystem access from a WashU IT-hosted VM, as a fallback for Option B compute hosting?</w:t>
      </w:r>
    </w:p>
    <w:p>
      <w:pPr>
        <w:spacing w:after="80"/>
        <w:ind w:left="504" w:hanging="504"/>
      </w:pPr>
      <w:r>
        <w:rPr>
          <w:rFonts w:ascii="Arial" w:hAnsi="Arial"/>
          <w:b w:val="0"/>
          <w:i w:val="0"/>
          <w:sz w:val="20"/>
        </w:rPr>
        <w:t>4.</w:t>
        <w:tab/>
        <w:t>What is the estimated lead time for storage allocation provisioning once a project is approved?</w:t>
      </w:r>
    </w:p>
    <w:p>
      <w:pPr>
        <w:spacing w:after="80"/>
        <w:ind w:left="504" w:hanging="504"/>
      </w:pPr>
      <w:r>
        <w:rPr>
          <w:rFonts w:ascii="Arial" w:hAnsi="Arial"/>
          <w:b w:val="0"/>
          <w:i w:val="0"/>
          <w:sz w:val="20"/>
        </w:rPr>
        <w:t>5.</w:t>
        <w:tab/>
        <w:t>Is there a standard process for requesting a project-specific subdomain (e.g., rtviewer.research.wustl.edu) and SSL certificate for a research web application?</w:t>
      </w:r>
    </w:p>
    <w:p>
      <w:pPr>
        <w:spacing w:after="80"/>
        <w:ind w:left="504" w:hanging="504"/>
      </w:pPr>
      <w:r>
        <w:rPr>
          <w:rFonts w:ascii="Arial" w:hAnsi="Arial"/>
          <w:b w:val="0"/>
          <w:i w:val="0"/>
          <w:sz w:val="20"/>
        </w:rPr>
        <w:t>6.</w:t>
        <w:tab/>
        <w:t>What compliance documentation is required for hosting de-identified medical imaging research data on RIS? Is a data classification form or security review required?</w:t>
      </w:r>
    </w:p>
    <w:p>
      <w:pPr>
        <w:spacing w:before="280" w:after="80"/>
        <w:jc w:val="left"/>
        <w:pBdr>
          <w:bottom w:val="single" w:sz="6" w:space="1" w:color="1F4E79"/>
        </w:pBdr>
      </w:pPr>
      <w:r>
        <w:rPr>
          <w:rFonts w:ascii="Arial" w:hAnsi="Arial"/>
          <w:b/>
          <w:i w:val="0"/>
          <w:color w:val="1F4E79"/>
          <w:sz w:val="28"/>
        </w:rPr>
        <w:t>8.  Summary of Requests</w:t>
      </w:r>
    </w:p>
    <w:tbl>
      <w:tblPr>
        <w:tblStyle w:val="TableGrid"/>
        <w:tblW w:type="auto" w:w="0"/>
        <w:jc w:val="left"/>
        <w:tblLook w:firstColumn="1" w:firstRow="1" w:lastColumn="0" w:lastRow="0" w:noHBand="0" w:noVBand="1" w:val="04A0"/>
      </w:tblPr>
      <w:tblGrid>
        <w:gridCol w:w="3120"/>
        <w:gridCol w:w="3120"/>
        <w:gridCol w:w="3120"/>
      </w:tblGrid>
      <w:tr>
        <w:tc>
          <w:tcPr>
            <w:tcW w:type="dxa" w:w="6480"/>
            <w:shd w:val="clear" w:color="auto" w:fill="D5E8F0"/>
          </w:tcPr>
          <w:p>
            <w:pPr>
              <w:spacing w:before="20" w:after="20"/>
            </w:pPr>
            <w:r/>
            <w:r>
              <w:rPr>
                <w:rFonts w:ascii="Arial" w:hAnsi="Arial"/>
                <w:b/>
                <w:i w:val="0"/>
                <w:color w:val="1F4E79"/>
                <w:sz w:val="20"/>
              </w:rPr>
              <w:t>Request</w:t>
            </w:r>
          </w:p>
        </w:tc>
        <w:tc>
          <w:tcPr>
            <w:tcW w:type="dxa" w:w="1440"/>
            <w:shd w:val="clear" w:color="auto" w:fill="D5E8F0"/>
          </w:tcPr>
          <w:p>
            <w:pPr>
              <w:spacing w:before="20" w:after="20"/>
            </w:pPr>
            <w:r/>
            <w:r>
              <w:rPr>
                <w:rFonts w:ascii="Arial" w:hAnsi="Arial"/>
                <w:b/>
                <w:i w:val="0"/>
                <w:color w:val="1F4E79"/>
                <w:sz w:val="20"/>
              </w:rPr>
              <w:t>Priority</w:t>
            </w:r>
          </w:p>
        </w:tc>
        <w:tc>
          <w:tcPr>
            <w:tcW w:type="dxa" w:w="2880"/>
            <w:shd w:val="clear" w:color="auto" w:fill="D5E8F0"/>
          </w:tcPr>
          <w:p>
            <w:pPr>
              <w:spacing w:before="20" w:after="20"/>
            </w:pPr>
            <w:r/>
            <w:r>
              <w:rPr>
                <w:rFonts w:ascii="Arial" w:hAnsi="Arial"/>
                <w:b/>
                <w:i w:val="0"/>
                <w:color w:val="1F4E79"/>
                <w:sz w:val="20"/>
              </w:rPr>
              <w:t>Dependency</w:t>
            </w:r>
          </w:p>
        </w:tc>
      </w:tr>
      <w:tr>
        <w:tc>
          <w:tcPr>
            <w:tcW w:type="dxa" w:w="6480"/>
            <w:shd w:val="clear" w:color="auto" w:fill="FFFFFF"/>
          </w:tcPr>
          <w:p>
            <w:pPr>
              <w:spacing w:before="20" w:after="20"/>
            </w:pPr>
            <w:r/>
            <w:r>
              <w:rPr>
                <w:rFonts w:ascii="Arial" w:hAnsi="Arial"/>
                <w:b w:val="0"/>
                <w:i w:val="0"/>
                <w:sz w:val="20"/>
              </w:rPr>
              <w:t>RIS storage allocation (~50 GB active, ~200 GB archive, expandable)</w:t>
            </w:r>
          </w:p>
        </w:tc>
        <w:tc>
          <w:tcPr>
            <w:tcW w:type="dxa" w:w="1440"/>
            <w:shd w:val="clear" w:color="auto" w:fill="FFFFFF"/>
          </w:tcPr>
          <w:p>
            <w:pPr>
              <w:spacing w:before="20" w:after="20"/>
            </w:pPr>
            <w:r/>
            <w:r>
              <w:rPr>
                <w:rFonts w:ascii="Arial" w:hAnsi="Arial"/>
                <w:b w:val="0"/>
                <w:i w:val="0"/>
                <w:sz w:val="20"/>
              </w:rPr>
              <w:t>High</w:t>
            </w:r>
          </w:p>
        </w:tc>
        <w:tc>
          <w:tcPr>
            <w:tcW w:type="dxa" w:w="2880"/>
            <w:shd w:val="clear" w:color="auto" w:fill="FFFFFF"/>
          </w:tcPr>
          <w:p>
            <w:pPr>
              <w:spacing w:before="20" w:after="20"/>
            </w:pPr>
            <w:r/>
            <w:r>
              <w:rPr>
                <w:rFonts w:ascii="Arial" w:hAnsi="Arial"/>
                <w:b w:val="0"/>
                <w:i w:val="0"/>
                <w:sz w:val="20"/>
              </w:rPr>
              <w:t>Project approval</w:t>
            </w:r>
          </w:p>
        </w:tc>
      </w:tr>
      <w:tr>
        <w:tc>
          <w:tcPr>
            <w:tcW w:type="dxa" w:w="6480"/>
            <w:shd w:val="clear" w:color="auto" w:fill="F0F6FB"/>
          </w:tcPr>
          <w:p>
            <w:pPr>
              <w:spacing w:before="20" w:after="20"/>
            </w:pPr>
            <w:r/>
            <w:r>
              <w:rPr>
                <w:rFonts w:ascii="Arial" w:hAnsi="Arial"/>
                <w:b w:val="0"/>
                <w:i w:val="0"/>
                <w:sz w:val="20"/>
              </w:rPr>
              <w:t>Globus collection on RIS endpoint mapped to /intake/ with configurable write permissions</w:t>
            </w:r>
          </w:p>
        </w:tc>
        <w:tc>
          <w:tcPr>
            <w:tcW w:type="dxa" w:w="1440"/>
            <w:shd w:val="clear" w:color="auto" w:fill="F0F6FB"/>
          </w:tcPr>
          <w:p>
            <w:pPr>
              <w:spacing w:before="20" w:after="20"/>
            </w:pPr>
            <w:r/>
            <w:r>
              <w:rPr>
                <w:rFonts w:ascii="Arial" w:hAnsi="Arial"/>
                <w:b w:val="0"/>
                <w:i w:val="0"/>
                <w:sz w:val="20"/>
              </w:rPr>
              <w:t>High</w:t>
            </w:r>
          </w:p>
        </w:tc>
        <w:tc>
          <w:tcPr>
            <w:tcW w:type="dxa" w:w="2880"/>
            <w:shd w:val="clear" w:color="auto" w:fill="F0F6FB"/>
          </w:tcPr>
          <w:p>
            <w:pPr>
              <w:spacing w:before="20" w:after="20"/>
            </w:pPr>
            <w:r/>
            <w:r>
              <w:rPr>
                <w:rFonts w:ascii="Arial" w:hAnsi="Arial"/>
                <w:b w:val="0"/>
                <w:i w:val="0"/>
                <w:sz w:val="20"/>
              </w:rPr>
              <w:t>Storage allocation</w:t>
            </w:r>
          </w:p>
        </w:tc>
      </w:tr>
      <w:tr>
        <w:tc>
          <w:tcPr>
            <w:tcW w:type="dxa" w:w="6480"/>
            <w:shd w:val="clear" w:color="auto" w:fill="FFFFFF"/>
          </w:tcPr>
          <w:p>
            <w:pPr>
              <w:spacing w:before="20" w:after="20"/>
            </w:pPr>
            <w:r/>
            <w:r>
              <w:rPr>
                <w:rFonts w:ascii="Arial" w:hAnsi="Arial"/>
                <w:b w:val="0"/>
                <w:i w:val="0"/>
                <w:sz w:val="20"/>
              </w:rPr>
              <w:t>Persistent web application hosting (Option A: RIS Compute container; Option B: IT VM with RIS mount)</w:t>
            </w:r>
          </w:p>
        </w:tc>
        <w:tc>
          <w:tcPr>
            <w:tcW w:type="dxa" w:w="1440"/>
            <w:shd w:val="clear" w:color="auto" w:fill="FFFFFF"/>
          </w:tcPr>
          <w:p>
            <w:pPr>
              <w:spacing w:before="20" w:after="20"/>
            </w:pPr>
            <w:r/>
            <w:r>
              <w:rPr>
                <w:rFonts w:ascii="Arial" w:hAnsi="Arial"/>
                <w:b w:val="0"/>
                <w:i w:val="0"/>
                <w:sz w:val="20"/>
              </w:rPr>
              <w:t>High</w:t>
            </w:r>
          </w:p>
        </w:tc>
        <w:tc>
          <w:tcPr>
            <w:tcW w:type="dxa" w:w="2880"/>
            <w:shd w:val="clear" w:color="auto" w:fill="FFFFFF"/>
          </w:tcPr>
          <w:p>
            <w:pPr>
              <w:spacing w:before="20" w:after="20"/>
            </w:pPr>
            <w:r/>
            <w:r>
              <w:rPr>
                <w:rFonts w:ascii="Arial" w:hAnsi="Arial"/>
                <w:b w:val="0"/>
                <w:i w:val="0"/>
                <w:sz w:val="20"/>
              </w:rPr>
              <w:t>Networking/DNS</w:t>
            </w:r>
          </w:p>
        </w:tc>
      </w:tr>
      <w:tr>
        <w:tc>
          <w:tcPr>
            <w:tcW w:type="dxa" w:w="6480"/>
            <w:shd w:val="clear" w:color="auto" w:fill="F0F6FB"/>
          </w:tcPr>
          <w:p>
            <w:pPr>
              <w:spacing w:before="20" w:after="20"/>
            </w:pPr>
            <w:r/>
            <w:r>
              <w:rPr>
                <w:rFonts w:ascii="Arial" w:hAnsi="Arial"/>
                <w:b w:val="0"/>
                <w:i w:val="0"/>
                <w:sz w:val="20"/>
              </w:rPr>
              <w:t>Public HTTPS DNS entry and SSL certificate</w:t>
            </w:r>
          </w:p>
        </w:tc>
        <w:tc>
          <w:tcPr>
            <w:tcW w:type="dxa" w:w="1440"/>
            <w:shd w:val="clear" w:color="auto" w:fill="F0F6FB"/>
          </w:tcPr>
          <w:p>
            <w:pPr>
              <w:spacing w:before="20" w:after="20"/>
            </w:pPr>
            <w:r/>
            <w:r>
              <w:rPr>
                <w:rFonts w:ascii="Arial" w:hAnsi="Arial"/>
                <w:b w:val="0"/>
                <w:i w:val="0"/>
                <w:sz w:val="20"/>
              </w:rPr>
              <w:t>High</w:t>
            </w:r>
          </w:p>
        </w:tc>
        <w:tc>
          <w:tcPr>
            <w:tcW w:type="dxa" w:w="2880"/>
            <w:shd w:val="clear" w:color="auto" w:fill="F0F6FB"/>
          </w:tcPr>
          <w:p>
            <w:pPr>
              <w:spacing w:before="20" w:after="20"/>
            </w:pPr>
            <w:r/>
            <w:r>
              <w:rPr>
                <w:rFonts w:ascii="Arial" w:hAnsi="Arial"/>
                <w:b w:val="0"/>
                <w:i w:val="0"/>
                <w:sz w:val="20"/>
              </w:rPr>
              <w:t>Compute hosting decision</w:t>
            </w:r>
          </w:p>
        </w:tc>
      </w:tr>
      <w:tr>
        <w:tc>
          <w:tcPr>
            <w:tcW w:type="dxa" w:w="6480"/>
            <w:shd w:val="clear" w:color="auto" w:fill="FFFFFF"/>
          </w:tcPr>
          <w:p>
            <w:pPr>
              <w:spacing w:before="20" w:after="20"/>
            </w:pPr>
            <w:r/>
            <w:r>
              <w:rPr>
                <w:rFonts w:ascii="Arial" w:hAnsi="Arial"/>
                <w:b w:val="0"/>
                <w:i w:val="0"/>
                <w:sz w:val="20"/>
              </w:rPr>
              <w:t>SAML SP registration with WashU Identity Services</w:t>
            </w:r>
          </w:p>
        </w:tc>
        <w:tc>
          <w:tcPr>
            <w:tcW w:type="dxa" w:w="1440"/>
            <w:shd w:val="clear" w:color="auto" w:fill="FFFFFF"/>
          </w:tcPr>
          <w:p>
            <w:pPr>
              <w:spacing w:before="20" w:after="20"/>
            </w:pPr>
            <w:r/>
            <w:r>
              <w:rPr>
                <w:rFonts w:ascii="Arial" w:hAnsi="Arial"/>
                <w:b w:val="0"/>
                <w:i w:val="0"/>
                <w:sz w:val="20"/>
              </w:rPr>
              <w:t>High</w:t>
            </w:r>
          </w:p>
        </w:tc>
        <w:tc>
          <w:tcPr>
            <w:tcW w:type="dxa" w:w="2880"/>
            <w:shd w:val="clear" w:color="auto" w:fill="FFFFFF"/>
          </w:tcPr>
          <w:p>
            <w:pPr>
              <w:spacing w:before="20" w:after="20"/>
            </w:pPr>
            <w:r/>
            <w:r>
              <w:rPr>
                <w:rFonts w:ascii="Arial" w:hAnsi="Arial"/>
                <w:b w:val="0"/>
                <w:i w:val="0"/>
                <w:sz w:val="20"/>
              </w:rPr>
              <w:t>DNS/hosting in place</w:t>
            </w:r>
          </w:p>
        </w:tc>
      </w:tr>
      <w:tr>
        <w:tc>
          <w:tcPr>
            <w:tcW w:type="dxa" w:w="6480"/>
            <w:shd w:val="clear" w:color="auto" w:fill="F0F6FB"/>
          </w:tcPr>
          <w:p>
            <w:pPr>
              <w:spacing w:before="20" w:after="20"/>
            </w:pPr>
            <w:r/>
            <w:r>
              <w:rPr>
                <w:rFonts w:ascii="Arial" w:hAnsi="Arial"/>
                <w:b w:val="0"/>
                <w:i w:val="0"/>
                <w:sz w:val="20"/>
              </w:rPr>
              <w:t>InCommon SP federation registration</w:t>
            </w:r>
          </w:p>
        </w:tc>
        <w:tc>
          <w:tcPr>
            <w:tcW w:type="dxa" w:w="1440"/>
            <w:shd w:val="clear" w:color="auto" w:fill="F0F6FB"/>
          </w:tcPr>
          <w:p>
            <w:pPr>
              <w:spacing w:before="20" w:after="20"/>
            </w:pPr>
            <w:r/>
            <w:r>
              <w:rPr>
                <w:rFonts w:ascii="Arial" w:hAnsi="Arial"/>
                <w:b w:val="0"/>
                <w:i w:val="0"/>
                <w:sz w:val="20"/>
              </w:rPr>
              <w:t>Medium</w:t>
            </w:r>
          </w:p>
        </w:tc>
        <w:tc>
          <w:tcPr>
            <w:tcW w:type="dxa" w:w="2880"/>
            <w:shd w:val="clear" w:color="auto" w:fill="F0F6FB"/>
          </w:tcPr>
          <w:p>
            <w:pPr>
              <w:spacing w:before="20" w:after="20"/>
            </w:pPr>
            <w:r/>
            <w:r>
              <w:rPr>
                <w:rFonts w:ascii="Arial" w:hAnsi="Arial"/>
                <w:b w:val="0"/>
                <w:i w:val="0"/>
                <w:sz w:val="20"/>
              </w:rPr>
              <w:t>SAML integration working</w:t>
            </w:r>
          </w:p>
        </w:tc>
      </w:tr>
      <w:tr>
        <w:tc>
          <w:tcPr>
            <w:tcW w:type="dxa" w:w="6480"/>
            <w:shd w:val="clear" w:color="auto" w:fill="FFFFFF"/>
          </w:tcPr>
          <w:p>
            <w:pPr>
              <w:spacing w:before="20" w:after="20"/>
            </w:pPr>
            <w:r/>
            <w:r>
              <w:rPr>
                <w:rFonts w:ascii="Arial" w:hAnsi="Arial"/>
                <w:b w:val="0"/>
                <w:i w:val="0"/>
                <w:sz w:val="20"/>
              </w:rPr>
              <w:t>Scheduled batch compute for pre-processing pipeline</w:t>
            </w:r>
          </w:p>
        </w:tc>
        <w:tc>
          <w:tcPr>
            <w:tcW w:type="dxa" w:w="1440"/>
            <w:shd w:val="clear" w:color="auto" w:fill="FFFFFF"/>
          </w:tcPr>
          <w:p>
            <w:pPr>
              <w:spacing w:before="20" w:after="20"/>
            </w:pPr>
            <w:r/>
            <w:r>
              <w:rPr>
                <w:rFonts w:ascii="Arial" w:hAnsi="Arial"/>
                <w:b w:val="0"/>
                <w:i w:val="0"/>
                <w:sz w:val="20"/>
              </w:rPr>
              <w:t>Medium</w:t>
            </w:r>
          </w:p>
        </w:tc>
        <w:tc>
          <w:tcPr>
            <w:tcW w:type="dxa" w:w="2880"/>
            <w:shd w:val="clear" w:color="auto" w:fill="FFFFFF"/>
          </w:tcPr>
          <w:p>
            <w:pPr>
              <w:spacing w:before="20" w:after="20"/>
            </w:pPr>
            <w:r/>
            <w:r>
              <w:rPr>
                <w:rFonts w:ascii="Arial" w:hAnsi="Arial"/>
                <w:b w:val="0"/>
                <w:i w:val="0"/>
                <w:sz w:val="20"/>
              </w:rPr>
              <w:t>Storage allocation</w:t>
            </w:r>
          </w:p>
        </w:tc>
      </w:tr>
    </w:tbl>
    <w:p/>
    <w:p>
      <w:r>
        <w:br w:type="page"/>
      </w:r>
    </w:p>
    <w:p>
      <w:pPr>
        <w:spacing w:before="280" w:after="80"/>
        <w:jc w:val="left"/>
        <w:pBdr>
          <w:bottom w:val="single" w:sz="6" w:space="1" w:color="1F4E79"/>
        </w:pBdr>
      </w:pPr>
      <w:r>
        <w:rPr>
          <w:rFonts w:ascii="Arial" w:hAnsi="Arial"/>
          <w:b/>
          <w:i w:val="0"/>
          <w:color w:val="1F4E79"/>
          <w:sz w:val="28"/>
        </w:rPr>
        <w:t>Appendix: Technology Stack Summary</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D5E8F0"/>
          </w:tcPr>
          <w:p>
            <w:pPr>
              <w:spacing w:before="20" w:after="20"/>
            </w:pPr>
            <w:r/>
            <w:r>
              <w:rPr>
                <w:rFonts w:ascii="Arial" w:hAnsi="Arial"/>
                <w:b/>
                <w:i w:val="0"/>
                <w:color w:val="1F4E79"/>
                <w:sz w:val="20"/>
              </w:rPr>
              <w:t>Component</w:t>
            </w:r>
          </w:p>
        </w:tc>
        <w:tc>
          <w:tcPr>
            <w:tcW w:type="dxa" w:w="3168"/>
            <w:shd w:val="clear" w:color="auto" w:fill="D5E8F0"/>
          </w:tcPr>
          <w:p>
            <w:pPr>
              <w:spacing w:before="20" w:after="20"/>
            </w:pPr>
            <w:r/>
            <w:r>
              <w:rPr>
                <w:rFonts w:ascii="Arial" w:hAnsi="Arial"/>
                <w:b/>
                <w:i w:val="0"/>
                <w:color w:val="1F4E79"/>
                <w:sz w:val="20"/>
              </w:rPr>
              <w:t>Technology</w:t>
            </w:r>
          </w:p>
        </w:tc>
        <w:tc>
          <w:tcPr>
            <w:tcW w:type="dxa" w:w="5040"/>
            <w:shd w:val="clear" w:color="auto" w:fill="D5E8F0"/>
          </w:tcPr>
          <w:p>
            <w:pPr>
              <w:spacing w:before="20" w:after="20"/>
            </w:pPr>
            <w:r/>
            <w:r>
              <w:rPr>
                <w:rFonts w:ascii="Arial" w:hAnsi="Arial"/>
                <w:b/>
                <w:i w:val="0"/>
                <w:color w:val="1F4E79"/>
                <w:sz w:val="20"/>
              </w:rPr>
              <w:t>Notes</w:t>
            </w:r>
          </w:p>
        </w:tc>
      </w:tr>
      <w:tr>
        <w:tc>
          <w:tcPr>
            <w:tcW w:type="dxa" w:w="2592"/>
            <w:shd w:val="clear" w:color="auto" w:fill="FFFFFF"/>
          </w:tcPr>
          <w:p>
            <w:pPr>
              <w:spacing w:before="20" w:after="20"/>
            </w:pPr>
            <w:r/>
            <w:r>
              <w:rPr>
                <w:rFonts w:ascii="Arial" w:hAnsi="Arial"/>
                <w:b w:val="0"/>
                <w:i w:val="0"/>
                <w:sz w:val="20"/>
              </w:rPr>
              <w:t>Web server</w:t>
            </w:r>
          </w:p>
        </w:tc>
        <w:tc>
          <w:tcPr>
            <w:tcW w:type="dxa" w:w="3168"/>
            <w:shd w:val="clear" w:color="auto" w:fill="FFFFFF"/>
          </w:tcPr>
          <w:p>
            <w:pPr>
              <w:spacing w:before="20" w:after="20"/>
            </w:pPr>
            <w:r/>
            <w:r>
              <w:rPr>
                <w:rFonts w:ascii="Arial" w:hAnsi="Arial"/>
                <w:b w:val="0"/>
                <w:i w:val="0"/>
                <w:sz w:val="20"/>
              </w:rPr>
              <w:t>Node.js (Express) or Python (FastAPI)</w:t>
            </w:r>
          </w:p>
        </w:tc>
        <w:tc>
          <w:tcPr>
            <w:tcW w:type="dxa" w:w="5040"/>
            <w:shd w:val="clear" w:color="auto" w:fill="FFFFFF"/>
          </w:tcPr>
          <w:p>
            <w:pPr>
              <w:spacing w:before="20" w:after="20"/>
            </w:pPr>
            <w:r/>
            <w:r>
              <w:rPr>
                <w:rFonts w:ascii="Arial" w:hAnsi="Arial"/>
                <w:b w:val="0"/>
                <w:i w:val="0"/>
                <w:sz w:val="20"/>
              </w:rPr>
              <w:t>Containerized via Docker/Singularity</w:t>
            </w:r>
          </w:p>
        </w:tc>
      </w:tr>
      <w:tr>
        <w:tc>
          <w:tcPr>
            <w:tcW w:type="dxa" w:w="2592"/>
            <w:shd w:val="clear" w:color="auto" w:fill="F0F6FB"/>
          </w:tcPr>
          <w:p>
            <w:pPr>
              <w:spacing w:before="20" w:after="20"/>
            </w:pPr>
            <w:r/>
            <w:r>
              <w:rPr>
                <w:rFonts w:ascii="Arial" w:hAnsi="Arial"/>
                <w:b w:val="0"/>
                <w:i w:val="0"/>
                <w:sz w:val="20"/>
              </w:rPr>
              <w:t>Frontend</w:t>
            </w:r>
          </w:p>
        </w:tc>
        <w:tc>
          <w:tcPr>
            <w:tcW w:type="dxa" w:w="3168"/>
            <w:shd w:val="clear" w:color="auto" w:fill="F0F6FB"/>
          </w:tcPr>
          <w:p>
            <w:pPr>
              <w:spacing w:before="20" w:after="20"/>
            </w:pPr>
            <w:r/>
            <w:r>
              <w:rPr>
                <w:rFonts w:ascii="Arial" w:hAnsi="Arial"/>
                <w:b w:val="0"/>
                <w:i w:val="0"/>
                <w:sz w:val="20"/>
              </w:rPr>
              <w:t>Vanilla HTML/CSS/JavaScript</w:t>
            </w:r>
          </w:p>
        </w:tc>
        <w:tc>
          <w:tcPr>
            <w:tcW w:type="dxa" w:w="5040"/>
            <w:shd w:val="clear" w:color="auto" w:fill="F0F6FB"/>
          </w:tcPr>
          <w:p>
            <w:pPr>
              <w:spacing w:before="20" w:after="20"/>
            </w:pPr>
            <w:r/>
            <w:r>
              <w:rPr>
                <w:rFonts w:ascii="Arial" w:hAnsi="Arial"/>
                <w:b w:val="0"/>
                <w:i w:val="0"/>
                <w:sz w:val="20"/>
              </w:rPr>
              <w:t>No framework dependencies; runs in any modern browser</w:t>
            </w:r>
          </w:p>
        </w:tc>
      </w:tr>
      <w:tr>
        <w:tc>
          <w:tcPr>
            <w:tcW w:type="dxa" w:w="2592"/>
            <w:shd w:val="clear" w:color="auto" w:fill="FFFFFF"/>
          </w:tcPr>
          <w:p>
            <w:pPr>
              <w:spacing w:before="20" w:after="20"/>
            </w:pPr>
            <w:r/>
            <w:r>
              <w:rPr>
                <w:rFonts w:ascii="Arial" w:hAnsi="Arial"/>
                <w:b w:val="0"/>
                <w:i w:val="0"/>
                <w:sz w:val="20"/>
              </w:rPr>
              <w:t>CT/Dose rendering</w:t>
            </w:r>
          </w:p>
        </w:tc>
        <w:tc>
          <w:tcPr>
            <w:tcW w:type="dxa" w:w="3168"/>
            <w:shd w:val="clear" w:color="auto" w:fill="FFFFFF"/>
          </w:tcPr>
          <w:p>
            <w:pPr>
              <w:spacing w:before="20" w:after="20"/>
            </w:pPr>
            <w:r/>
            <w:r>
              <w:rPr>
                <w:rFonts w:ascii="Arial" w:hAnsi="Arial"/>
                <w:b w:val="0"/>
                <w:i w:val="0"/>
                <w:sz w:val="20"/>
              </w:rPr>
              <w:t>HTML5 Canvas API</w:t>
            </w:r>
          </w:p>
        </w:tc>
        <w:tc>
          <w:tcPr>
            <w:tcW w:type="dxa" w:w="5040"/>
            <w:shd w:val="clear" w:color="auto" w:fill="FFFFFF"/>
          </w:tcPr>
          <w:p>
            <w:pPr>
              <w:spacing w:before="20" w:after="20"/>
            </w:pPr>
            <w:r/>
            <w:r>
              <w:rPr>
                <w:rFonts w:ascii="Arial" w:hAnsi="Arial"/>
                <w:b w:val="0"/>
                <w:i w:val="0"/>
                <w:sz w:val="20"/>
              </w:rPr>
              <w:t>No external rendering libraries required</w:t>
            </w:r>
          </w:p>
        </w:tc>
      </w:tr>
      <w:tr>
        <w:tc>
          <w:tcPr>
            <w:tcW w:type="dxa" w:w="2592"/>
            <w:shd w:val="clear" w:color="auto" w:fill="F0F6FB"/>
          </w:tcPr>
          <w:p>
            <w:pPr>
              <w:spacing w:before="20" w:after="20"/>
            </w:pPr>
            <w:r/>
            <w:r>
              <w:rPr>
                <w:rFonts w:ascii="Arial" w:hAnsi="Arial"/>
                <w:b w:val="0"/>
                <w:i w:val="0"/>
                <w:sz w:val="20"/>
              </w:rPr>
              <w:t>Data compression</w:t>
            </w:r>
          </w:p>
        </w:tc>
        <w:tc>
          <w:tcPr>
            <w:tcW w:type="dxa" w:w="3168"/>
            <w:shd w:val="clear" w:color="auto" w:fill="F0F6FB"/>
          </w:tcPr>
          <w:p>
            <w:pPr>
              <w:spacing w:before="20" w:after="20"/>
            </w:pPr>
            <w:r/>
            <w:r>
              <w:rPr>
                <w:rFonts w:ascii="Arial" w:hAnsi="Arial"/>
                <w:b w:val="0"/>
                <w:i w:val="0"/>
                <w:sz w:val="20"/>
              </w:rPr>
              <w:t>pako (gzip)</w:t>
            </w:r>
          </w:p>
        </w:tc>
        <w:tc>
          <w:tcPr>
            <w:tcW w:type="dxa" w:w="5040"/>
            <w:shd w:val="clear" w:color="auto" w:fill="F0F6FB"/>
          </w:tcPr>
          <w:p>
            <w:pPr>
              <w:spacing w:before="20" w:after="20"/>
            </w:pPr>
            <w:r/>
            <w:r>
              <w:rPr>
                <w:rFonts w:ascii="Arial" w:hAnsi="Arial"/>
                <w:b w:val="0"/>
                <w:i w:val="0"/>
                <w:sz w:val="20"/>
              </w:rPr>
              <w:t>Client-side decompression of binary volume data</w:t>
            </w:r>
          </w:p>
        </w:tc>
      </w:tr>
      <w:tr>
        <w:tc>
          <w:tcPr>
            <w:tcW w:type="dxa" w:w="2592"/>
            <w:shd w:val="clear" w:color="auto" w:fill="FFFFFF"/>
          </w:tcPr>
          <w:p>
            <w:pPr>
              <w:spacing w:before="20" w:after="20"/>
            </w:pPr>
            <w:r/>
            <w:r>
              <w:rPr>
                <w:rFonts w:ascii="Arial" w:hAnsi="Arial"/>
                <w:b w:val="0"/>
                <w:i w:val="0"/>
                <w:sz w:val="20"/>
              </w:rPr>
              <w:t>Authentication</w:t>
            </w:r>
          </w:p>
        </w:tc>
        <w:tc>
          <w:tcPr>
            <w:tcW w:type="dxa" w:w="3168"/>
            <w:shd w:val="clear" w:color="auto" w:fill="FFFFFF"/>
          </w:tcPr>
          <w:p>
            <w:pPr>
              <w:spacing w:before="20" w:after="20"/>
            </w:pPr>
            <w:r/>
            <w:r>
              <w:rPr>
                <w:rFonts w:ascii="Arial" w:hAnsi="Arial"/>
                <w:b w:val="0"/>
                <w:i w:val="0"/>
                <w:sz w:val="20"/>
              </w:rPr>
              <w:t>passport-saml (Node) or python3-saml</w:t>
            </w:r>
          </w:p>
        </w:tc>
        <w:tc>
          <w:tcPr>
            <w:tcW w:type="dxa" w:w="5040"/>
            <w:shd w:val="clear" w:color="auto" w:fill="FFFFFF"/>
          </w:tcPr>
          <w:p>
            <w:pPr>
              <w:spacing w:before="20" w:after="20"/>
            </w:pPr>
            <w:r/>
            <w:r>
              <w:rPr>
                <w:rFonts w:ascii="Arial" w:hAnsi="Arial"/>
                <w:b w:val="0"/>
                <w:i w:val="0"/>
                <w:sz w:val="20"/>
              </w:rPr>
              <w:t>SAML 2.0 SP implementation</w:t>
            </w:r>
          </w:p>
        </w:tc>
      </w:tr>
      <w:tr>
        <w:tc>
          <w:tcPr>
            <w:tcW w:type="dxa" w:w="2592"/>
            <w:shd w:val="clear" w:color="auto" w:fill="F0F6FB"/>
          </w:tcPr>
          <w:p>
            <w:pPr>
              <w:spacing w:before="20" w:after="20"/>
            </w:pPr>
            <w:r/>
            <w:r>
              <w:rPr>
                <w:rFonts w:ascii="Arial" w:hAnsi="Arial"/>
                <w:b w:val="0"/>
                <w:i w:val="0"/>
                <w:sz w:val="20"/>
              </w:rPr>
              <w:t>File transfer (inbound)</w:t>
            </w:r>
          </w:p>
        </w:tc>
        <w:tc>
          <w:tcPr>
            <w:tcW w:type="dxa" w:w="3168"/>
            <w:shd w:val="clear" w:color="auto" w:fill="F0F6FB"/>
          </w:tcPr>
          <w:p>
            <w:pPr>
              <w:spacing w:before="20" w:after="20"/>
            </w:pPr>
            <w:r/>
            <w:r>
              <w:rPr>
                <w:rFonts w:ascii="Arial" w:hAnsi="Arial"/>
                <w:b w:val="0"/>
                <w:i w:val="0"/>
                <w:sz w:val="20"/>
              </w:rPr>
              <w:t>Globus</w:t>
            </w:r>
          </w:p>
        </w:tc>
        <w:tc>
          <w:tcPr>
            <w:tcW w:type="dxa" w:w="5040"/>
            <w:shd w:val="clear" w:color="auto" w:fill="F0F6FB"/>
          </w:tcPr>
          <w:p>
            <w:pPr>
              <w:spacing w:before="20" w:after="20"/>
            </w:pPr>
            <w:r/>
            <w:r>
              <w:rPr>
                <w:rFonts w:ascii="Arial" w:hAnsi="Arial"/>
                <w:b w:val="0"/>
                <w:i w:val="0"/>
                <w:sz w:val="20"/>
              </w:rPr>
              <w:t>Industry standard for academic research data transfer</w:t>
            </w:r>
          </w:p>
        </w:tc>
      </w:tr>
      <w:tr>
        <w:tc>
          <w:tcPr>
            <w:tcW w:type="dxa" w:w="2592"/>
            <w:shd w:val="clear" w:color="auto" w:fill="FFFFFF"/>
          </w:tcPr>
          <w:p>
            <w:pPr>
              <w:spacing w:before="20" w:after="20"/>
            </w:pPr>
            <w:r/>
            <w:r>
              <w:rPr>
                <w:rFonts w:ascii="Arial" w:hAnsi="Arial"/>
                <w:b w:val="0"/>
                <w:i w:val="0"/>
                <w:sz w:val="20"/>
              </w:rPr>
              <w:t>Storage access</w:t>
            </w:r>
          </w:p>
        </w:tc>
        <w:tc>
          <w:tcPr>
            <w:tcW w:type="dxa" w:w="3168"/>
            <w:shd w:val="clear" w:color="auto" w:fill="FFFFFF"/>
          </w:tcPr>
          <w:p>
            <w:pPr>
              <w:spacing w:before="20" w:after="20"/>
            </w:pPr>
            <w:r/>
            <w:r>
              <w:rPr>
                <w:rFonts w:ascii="Arial" w:hAnsi="Arial"/>
                <w:b w:val="0"/>
                <w:i w:val="0"/>
                <w:sz w:val="20"/>
              </w:rPr>
              <w:t>POSIX filesystem (direct mount)</w:t>
            </w:r>
          </w:p>
        </w:tc>
        <w:tc>
          <w:tcPr>
            <w:tcW w:type="dxa" w:w="5040"/>
            <w:shd w:val="clear" w:color="auto" w:fill="FFFFFF"/>
          </w:tcPr>
          <w:p>
            <w:pPr>
              <w:spacing w:before="20" w:after="20"/>
            </w:pPr>
            <w:r/>
            <w:r>
              <w:rPr>
                <w:rFonts w:ascii="Arial" w:hAnsi="Arial"/>
                <w:b w:val="0"/>
                <w:i w:val="0"/>
                <w:sz w:val="20"/>
              </w:rPr>
              <w:t>No object storage API required</w:t>
            </w:r>
          </w:p>
        </w:tc>
      </w:tr>
      <w:tr>
        <w:tc>
          <w:tcPr>
            <w:tcW w:type="dxa" w:w="2592"/>
            <w:shd w:val="clear" w:color="auto" w:fill="F0F6FB"/>
          </w:tcPr>
          <w:p>
            <w:pPr>
              <w:spacing w:before="20" w:after="20"/>
            </w:pPr>
            <w:r/>
            <w:r>
              <w:rPr>
                <w:rFonts w:ascii="Arial" w:hAnsi="Arial"/>
                <w:b w:val="0"/>
                <w:i w:val="0"/>
                <w:sz w:val="20"/>
              </w:rPr>
              <w:t>Ranking persistence</w:t>
            </w:r>
          </w:p>
        </w:tc>
        <w:tc>
          <w:tcPr>
            <w:tcW w:type="dxa" w:w="3168"/>
            <w:shd w:val="clear" w:color="auto" w:fill="F0F6FB"/>
          </w:tcPr>
          <w:p>
            <w:pPr>
              <w:spacing w:before="20" w:after="20"/>
            </w:pPr>
            <w:r/>
            <w:r>
              <w:rPr>
                <w:rFonts w:ascii="Arial" w:hAnsi="Arial"/>
                <w:b w:val="0"/>
                <w:i w:val="0"/>
                <w:sz w:val="20"/>
              </w:rPr>
              <w:t>JSON files on RIS storage</w:t>
            </w:r>
          </w:p>
        </w:tc>
        <w:tc>
          <w:tcPr>
            <w:tcW w:type="dxa" w:w="5040"/>
            <w:shd w:val="clear" w:color="auto" w:fill="F0F6FB"/>
          </w:tcPr>
          <w:p>
            <w:pPr>
              <w:spacing w:before="20" w:after="20"/>
            </w:pPr>
            <w:r/>
            <w:r>
              <w:rPr>
                <w:rFonts w:ascii="Arial" w:hAnsi="Arial"/>
                <w:b w:val="0"/>
                <w:i w:val="0"/>
                <w:sz w:val="20"/>
              </w:rPr>
              <w:t>Simple, auditable, no database required for pilot scale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