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2D4532">
      <w:pPr>
        <w:rPr>
          <w:rFonts w:ascii="Arial" w:hAnsi="Arial"/>
          <w:b/>
          <w:bCs/>
        </w:rPr>
      </w:pPr>
      <w:r>
        <w:rPr>
          <w:rFonts w:ascii="Arial" w:hAnsi="Arial"/>
        </w:rPr>
        <w:t>1.</w:t>
      </w:r>
    </w:p>
    <w:p w:rsidR="00000000" w:rsidRDefault="002D4532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P-530/20       ŽS Bjelovar P-533/2020</w:t>
      </w:r>
    </w:p>
    <w:p w:rsidR="00000000" w:rsidRDefault="002D4532">
      <w:pPr>
        <w:rPr>
          <w:rFonts w:ascii="Arial" w:hAnsi="Arial"/>
          <w:b/>
          <w:bCs/>
        </w:rPr>
      </w:pPr>
    </w:p>
    <w:p w:rsidR="00000000" w:rsidRDefault="002D4532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Članak 5. Zakona o vlasništvu, članak 293. Zakona o obveznim odnosima</w:t>
      </w:r>
    </w:p>
    <w:p w:rsidR="00000000" w:rsidRDefault="002D4532">
      <w:pPr>
        <w:rPr>
          <w:rFonts w:ascii="Arial" w:hAnsi="Arial"/>
          <w:b/>
          <w:bCs/>
        </w:rPr>
      </w:pPr>
    </w:p>
    <w:p w:rsidR="00000000" w:rsidRDefault="002D4532">
      <w:pPr>
        <w:numPr>
          <w:ilvl w:val="0"/>
          <w:numId w:val="1"/>
        </w:num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pravo vlasništva</w:t>
      </w:r>
    </w:p>
    <w:p w:rsidR="00000000" w:rsidRDefault="002D4532">
      <w:pPr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  <w:b/>
          <w:bCs/>
        </w:rPr>
        <w:t>ometanje posjeda</w:t>
      </w:r>
    </w:p>
    <w:p w:rsidR="00000000" w:rsidRDefault="002D4532">
      <w:pPr>
        <w:rPr>
          <w:rFonts w:ascii="Arial" w:hAnsi="Arial"/>
        </w:rPr>
      </w:pPr>
    </w:p>
    <w:p w:rsidR="002D4532" w:rsidRDefault="002D4532">
      <w:r>
        <w:rPr>
          <w:rFonts w:ascii="Arial" w:hAnsi="Arial"/>
        </w:rPr>
        <w:t>Sud u gradu Metropolisu donosi presudu u predmetu broj 2023/089: Nakon detaljnog razmatranja svih dokaza i i</w:t>
      </w:r>
      <w:r>
        <w:rPr>
          <w:rFonts w:ascii="Arial" w:hAnsi="Arial"/>
        </w:rPr>
        <w:t>skaza svjedoka, sud je utvrdio da je optuženi, Ivan Horvat, počinio kazneno djelo teške krađe. Optuženi je nepravomoćno priznao da je u noći 15. travnja provalio u poslovnicu trgovinskog centra i ukrao robu u vrijednosti od 10.000 kuna. Sud smatra da su do</w:t>
      </w:r>
      <w:r>
        <w:rPr>
          <w:rFonts w:ascii="Arial" w:hAnsi="Arial"/>
        </w:rPr>
        <w:t>kazi čvrsti i da postoji jasna povezanost između optuženog i počinjenog djela. Uzimajući u obzir raniji život optuženog, njegovu suradnju s istragom te okolnosti da je djelo počinio iz financijskih razloga, sud mu izriče kaznu zatvora od 18 mjeseci, uz uvj</w:t>
      </w:r>
      <w:r>
        <w:rPr>
          <w:rFonts w:ascii="Arial" w:hAnsi="Arial"/>
        </w:rPr>
        <w:t>etnu kaznu od 3 godine. Također, naloženo mu je da nadoknadi štetu oštećenima u punom iznosu. Presuda je donesena u skladu sa zakonskim odredbama i s ciljem osiguranja pravde i prevencije.</w:t>
      </w:r>
    </w:p>
    <w:sectPr w:rsidR="002D4532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532"/>
    <w:rsid w:val="002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6A03E883-D3A8-4471-9A93-447F827C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Ari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4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</dc:creator>
  <cp:keywords/>
  <cp:lastModifiedBy>cloudconvert_6</cp:lastModifiedBy>
  <cp:revision>2</cp:revision>
  <cp:lastPrinted>1601-01-01T00:00:00Z</cp:lastPrinted>
  <dcterms:created xsi:type="dcterms:W3CDTF">2025-10-27T14:33:00Z</dcterms:created>
  <dcterms:modified xsi:type="dcterms:W3CDTF">2025-10-27T14:33:00Z</dcterms:modified>
</cp:coreProperties>
</file>