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DefaultParagraphFont"/>
        </w:rPr>
        <w:t xml:space="preserve">2. </w:t>
      </w:r>
    </w:p>
    <w:p>
      <w:r>
        <w:rPr>
          <w:rStyle w:val="DefaultParagraphFont"/>
          <w:b/>
        </w:rPr>
        <w:t>P-888/21       ŽS Split P-54/2020</w:t>
      </w:r>
    </w:p>
    <w:p>
      <w:r>
        <w:rPr>
          <w:rStyle w:val="DefaultParagraphFont"/>
          <w:b/>
        </w:rPr>
        <w:t>Članak 7. Zakona o vlasništvu, članak 301. Zakona o obveznim odnosima</w:t>
      </w:r>
    </w:p>
    <w:p>
      <w:r>
        <w:rPr>
          <w:rStyle w:val="DefaultParagraphFont"/>
          <w:b/>
        </w:rPr>
        <w:t>- remećenje javnog reda</w:t>
      </w:r>
    </w:p>
    <w:p>
      <w:r>
        <w:rPr>
          <w:rStyle w:val="DefaultParagraphFont"/>
          <w:b/>
        </w:rPr>
        <w:t>- smetanje posjeda</w:t>
      </w:r>
    </w:p>
    <w:p>
      <w:r>
        <w:rPr>
          <w:rStyle w:val="DefaultParagraphFont"/>
        </w:rPr>
        <w:t xml:space="preserve">Sud u gradu Rijeci donosi presudu u predmetu broj 2024/112: Nakon detaljnog razmatranja svih dokaza i </w:t>
      </w:r>
      <w:r>
        <w:rPr>
          <w:rStyle w:val="DefaultParagraphFont"/>
        </w:rPr>
        <w:t>iskaza svjedoka, sud je utvrdio da je optuženi, Marko Petrović, počinio kazneno djelo ometanja posjeda. Optuženi je nepravomoćno priznao da je 10. lipnja ove godine nasilno ušao u stan oštećenog i spriječio ga u posjedu. Sud smatra da su dokazi čvrsti i da</w:t>
      </w:r>
      <w:r>
        <w:rPr>
          <w:rStyle w:val="DefaultParagraphFont"/>
        </w:rPr>
        <w:t xml:space="preserve"> postoji jasna povezanost između optuženog i počinjenog djela. Uzimajući u obzir raniji život optuženog, njegovu suradnju s istragom te okolnosti da je djelo počinjeno radi sukoba oko granice na zemljištu, sud mu izriče uvjetnu kaznu zatvora od 12 mjeseci </w:t>
      </w:r>
      <w:r>
        <w:rPr>
          <w:rStyle w:val="DefaultParagraphFont"/>
        </w:rPr>
        <w:t>na rok od 2 godine. Također, naloženo mu je da ukloni sve prepreke i ometanja koja su nastala prilikom posjeda. Presuda je donesena u skladu sa zakonskim odredbama i s ciljem osiguranja pravde i očuvanja mirnog suživota.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