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B5E20"/>
          <w:sz w:val="40"/>
        </w:rPr>
        <w:t>BÁO CÁO ĐỒ ÁN TỐT NGHIỆP</w:t>
        <w:br/>
        <w:t>BÁO CÁO NÂNG CẤP VÀ HOÀN THIỆN HỆ THỐNG WEB BÁN NÔNG SẢN HỮU CƠ (FRUITABLES)</w:t>
      </w:r>
    </w:p>
    <w:p>
      <w:pPr>
        <w:jc w:val="center"/>
      </w:pPr>
      <w:r>
        <w:rPr>
          <w:i/>
          <w:sz w:val="24"/>
        </w:rPr>
        <w:t>Sinh viên thực hiện: Trịnh Văn Toàn</w:t>
        <w:br/>
        <w:t>Ngành: Công nghệ Thông tin - Phát triển Phần mềm</w:t>
        <w:br/>
        <w:t>Bổ sung chỉnh sửa theo nhận xét của Giảng viên hướng dẫn</w:t>
        <w:br/>
        <w:t>Năm 2026</w:t>
      </w:r>
    </w:p>
    <w:p>
      <w:r>
        <w:br w:type="page"/>
      </w:r>
    </w:p>
    <w:p>
      <w:pPr>
        <w:spacing w:before="280" w:after="160"/>
      </w:pPr>
      <w:r>
        <w:rPr>
          <w:b/>
          <w:color w:val="1B5E20"/>
          <w:sz w:val="32"/>
        </w:rPr>
        <w:t>MỤC LỤC BÁO CÁO CẬP NHẬT</w:t>
      </w:r>
    </w:p>
    <w:p>
      <w:pPr>
        <w:spacing w:line="312" w:lineRule="auto" w:after="120"/>
        <w:ind w:firstLine="720"/>
      </w:pPr>
      <w:r>
        <w:t>Báo cáo đã được chỉnh sửa, bổ sung hoàn chỉnh theo đúng nhận xét góp ý của Giảng viên hướng dẫn:</w:t>
      </w:r>
    </w:p>
    <w:p>
      <w:pPr>
        <w:pStyle w:val="ListBullet"/>
        <w:spacing w:after="80"/>
      </w:pPr>
      <w:r>
        <w:t>1. Sửa đổi triệt để lỗ hổng bảo mật phía Client: Thay thế phân quyền LocalStorage bằng cơ chế Xác thực &amp; Phân quyền phía Máy chủ sử dụng JWT Bearer Token Middleware [5], [6].</w:t>
      </w:r>
    </w:p>
    <w:p>
      <w:pPr>
        <w:pStyle w:val="ListBullet"/>
        <w:spacing w:after="80"/>
      </w:pPr>
      <w:r>
        <w:t>2. Bổ sung trích dẫn Tài liệu tham khảo theo định dạng ngoặc vuông [1], [2], [3],... xuyên suốt các chương nội dung báo cáo.</w:t>
      </w:r>
    </w:p>
    <w:p>
      <w:pPr>
        <w:pStyle w:val="ListBullet"/>
        <w:spacing w:after="80"/>
      </w:pPr>
      <w:r>
        <w:t>3. Đặt tả và thiết kế bổ sung 3 chức năng nâng cấp mới: Thanh toán chuyển khoản trước qua VietQR ngân hàng Techcombank [7], Quy trình duyệt đơn hàng &amp; xác nhận đã nhận hàng chuẩn Shopee, Hệ thống đánh giá sản phẩm (Rating 1 - 5 sao kèm bình luận).</w:t>
      </w:r>
    </w:p>
    <w:p>
      <w:r>
        <w:br w:type="page"/>
      </w:r>
    </w:p>
    <w:p>
      <w:pPr>
        <w:spacing w:before="280" w:after="160"/>
      </w:pPr>
      <w:r>
        <w:rPr>
          <w:b/>
          <w:color w:val="1B5E20"/>
          <w:sz w:val="32"/>
        </w:rPr>
        <w:t>CHƯƠNG 1: TỔNG QUAN ĐỒ ÁN VÀ CƠ SỞ LÝ THUYẾT</w:t>
      </w:r>
    </w:p>
    <w:p>
      <w:pPr>
        <w:spacing w:before="200" w:after="120"/>
      </w:pPr>
      <w:r>
        <w:rPr>
          <w:b/>
          <w:color w:val="2E7D32"/>
          <w:sz w:val="28"/>
        </w:rPr>
        <w:t>1.1. Đặt vấn đề</w:t>
      </w:r>
    </w:p>
    <w:p>
      <w:pPr>
        <w:spacing w:line="312" w:lineRule="auto" w:after="120"/>
        <w:ind w:firstLine="720"/>
      </w:pPr>
      <w:r>
        <w:t>Trong kỷ nguyên số hóa hiện nay, việc ứng dụng công nghệ thông tin vào thương mại nông sản hữu cơ không chỉ giúp nâng cao hiệu quả kinh doanh mà còn bảo vệ sức khỏe người tiêu dùng [1]. Hệ thống bán hàng trực tuyến Fruitables được xây dựng với mục tiêu mang đến cho khách hàng nguồn thực phẩm tươi sạch đạt tiêu chuẩn VietGAP, đồng thời tối ưu hóa trải nghiệm người dùng từ khâu tìm kiếm, lựa chọn sản phẩm, gợi ý món ăn tới khâu thanh toán và đánh giá sau khi mua hàng [8].</w:t>
      </w:r>
    </w:p>
    <w:p>
      <w:pPr>
        <w:spacing w:before="200" w:after="120"/>
      </w:pPr>
      <w:r>
        <w:rPr>
          <w:b/>
          <w:color w:val="2E7D32"/>
          <w:sz w:val="28"/>
        </w:rPr>
        <w:t>1.2. Tổng quan tình hình nghiên cứu và So sánh sản phẩm</w:t>
      </w:r>
    </w:p>
    <w:p>
      <w:pPr>
        <w:spacing w:line="312" w:lineRule="auto" w:after="120"/>
        <w:ind w:firstLine="720"/>
      </w:pPr>
      <w:r>
        <w:t>Các hệ thống thương mại điện tử hàng đầu hiện nay như Shopee, Lazada hay Tiki đều chú trọng vào trải nghiệm thanh toán linh hoạt và quy trình bảo vệ người mua hàng [10]. Khách hàng chỉ đánh giá sản phẩm sau khi đã nhận được hàng và chuyển đơn sang trạng thái hoàn thành [7]. Việc áp dụng cơ chế này giúp nâng cao độ tin cậy và minh bạch cho sàn thương mại nông sản Fruitables.</w:t>
      </w:r>
    </w:p>
    <w:p>
      <w:pPr>
        <w:spacing w:before="200" w:after="120"/>
      </w:pPr>
      <w:r>
        <w:rPr>
          <w:b/>
          <w:color w:val="2E7D32"/>
          <w:sz w:val="28"/>
        </w:rPr>
        <w:t>1.3. Cơ sở lý thuyết và công nghệ áp dụng</w:t>
      </w:r>
    </w:p>
    <w:p>
      <w:pPr>
        <w:spacing w:before="160" w:after="80"/>
      </w:pPr>
      <w:r>
        <w:rPr>
          <w:b/>
          <w:color w:val="333333"/>
          <w:sz w:val="26"/>
        </w:rPr>
        <w:t>1.3.1. Kiến trúc phát triển ứng dụng Web Thương mại điện tử</w:t>
      </w:r>
    </w:p>
    <w:p>
      <w:pPr>
        <w:spacing w:line="312" w:lineRule="auto" w:after="120"/>
        <w:ind w:firstLine="720"/>
      </w:pPr>
      <w:r>
        <w:t>Đồ án áp dụng mô hình kiến trúc ứng dụng Web đơn trang (Single Page Application - SPA) kết hợp RESTful API [2], [3]. Kiến trúc này tách biệt rõ ràng giữa lớp hiển thị Frontend (ReactJS) và lớp xử lý dịch vụ Backend (Node.js/Express), giúp hệ thống đạt hiệu năng cao, mở rộng linh hoạt và phản hồi mượt mà [6].</w:t>
      </w:r>
    </w:p>
    <w:p>
      <w:pPr>
        <w:spacing w:before="160" w:after="80"/>
      </w:pPr>
      <w:r>
        <w:rPr>
          <w:b/>
          <w:color w:val="333333"/>
          <w:sz w:val="26"/>
        </w:rPr>
        <w:t>1.3.2. Cơ chế Xác thực và Phân quyền dựa trên JSON Web Token (JWT)</w:t>
      </w:r>
    </w:p>
    <w:p>
      <w:pPr>
        <w:spacing w:line="312" w:lineRule="auto" w:after="120"/>
        <w:ind w:firstLine="720"/>
      </w:pPr>
      <w:r>
        <w:t>Nhằm giải quyết triệt để lỗ hổng bảo mật nghiêm trọng khi chỉ bảo vệ tuyến đường ở phía Client (LocalStorage) [6], hệ thống áp dụng tiêu chuẩn mã hóa định danh JSON Web Token (RFC 7519) [5]. Khi người dùng đăng nhập thành công, Server tạo ra một chuỗi chữ ký điện tử mã hóa chứa ID người dùng và Vai trò (`vai_tro: 'admin'` hoặc `'khach'`). Mọi yêu cầu truy xuất dữ liệu nhạy cảm đều phải đính kèm Token trong HTTP Header (`Authorization: Bearer &lt;token&gt;`) và được xác minh trực tiếp tại Server Middleware [5], [12].</w:t>
      </w:r>
    </w:p>
    <w:p>
      <w:pPr>
        <w:spacing w:before="160" w:after="80"/>
      </w:pPr>
      <w:r>
        <w:rPr>
          <w:b/>
          <w:color w:val="333333"/>
          <w:sz w:val="26"/>
        </w:rPr>
        <w:t>1.3.3. Chuẩn Mã QR Ngân Hàng Quốc Gia VietQR</w:t>
      </w:r>
    </w:p>
    <w:p>
      <w:pPr>
        <w:spacing w:line="312" w:lineRule="auto" w:after="120"/>
        <w:ind w:firstLine="720"/>
      </w:pPr>
      <w:r>
        <w:t>VietQR là giải pháp thanh toán số theo chuẩn của Ngân hàng Nhà nước Việt Nam, cho phép tự động tạo mã QR chứa chính xác số tiền, nội dung chuyển khoản và thông tin tài khoản ngân hàng nhận tiền [7]. Việc tích hợp VietQR giúp quy trình thanh toán chuyển khoản trước diễn ra nhanh chóng, chính xác 100% không bị nhầm lẫn [7].</w:t>
      </w:r>
    </w:p>
    <w:p>
      <w:pPr>
        <w:spacing w:before="280" w:after="160"/>
      </w:pPr>
      <w:r>
        <w:rPr>
          <w:b/>
          <w:color w:val="1B5E20"/>
          <w:sz w:val="32"/>
        </w:rPr>
        <w:t>CHƯƠNG 2: KHẢO SÁT VÀ PHÂN TÍCH YÊU CẦU</w:t>
      </w:r>
    </w:p>
    <w:p>
      <w:pPr>
        <w:spacing w:before="200" w:after="120"/>
      </w:pPr>
      <w:r>
        <w:rPr>
          <w:b/>
          <w:color w:val="2E7D32"/>
          <w:sz w:val="28"/>
        </w:rPr>
        <w:t>2.4. Đặc tả chức năng hệ thống nâng cấp</w:t>
      </w:r>
    </w:p>
    <w:p>
      <w:pPr>
        <w:spacing w:before="160" w:after="80"/>
      </w:pPr>
      <w:r>
        <w:rPr>
          <w:b/>
          <w:color w:val="333333"/>
          <w:sz w:val="26"/>
        </w:rPr>
        <w:t>2.4.2.3. Đặt hàng và Thanh toán Chuyển khoản VietQR</w:t>
      </w:r>
    </w:p>
    <w:p>
      <w:pPr>
        <w:spacing w:line="312" w:lineRule="auto" w:after="120"/>
        <w:ind w:firstLine="720"/>
      </w:pPr>
      <w:r>
        <w:t>Chức năng đặt hàng hỗ trợ 2 hình thức thanh toán chính [7]:</w:t>
      </w:r>
    </w:p>
    <w:p>
      <w:pPr>
        <w:pStyle w:val="ListBullet"/>
        <w:spacing w:after="80"/>
      </w:pPr>
      <w:r>
        <w:t>1. Thanh toán khi nhận hàng (COD): Đơn hàng khởi tạo với trạng thái 'Chờ xử lý' và trạng thái thanh toán 'Chưa thanh toán'.</w:t>
      </w:r>
    </w:p>
    <w:p>
      <w:pPr>
        <w:pStyle w:val="ListBullet"/>
        <w:spacing w:after="80"/>
      </w:pPr>
      <w:r>
        <w:t>2. Thanh toán chuyển khoản trước qua VietQR: Hệ thống gọi API VietQR [7] tạo mã QR ngân hàng Techcombank (STK: 9974838304, Chủ tài khoản: TRINH VAN TOAN) chứa số tiền chính xác và cú pháp nội dung chuyển khoản. Đơn hàng lưu trạng thái thanh toán 'Chờ xác nhận chuyển khoản'. Admin kiểm tra tài khoản và bấm nút '[✔ Xác nhận tiền]' để duyệt đơn.</w:t>
      </w:r>
    </w:p>
    <w:p>
      <w:pPr>
        <w:spacing w:before="160" w:after="80"/>
      </w:pPr>
      <w:r>
        <w:rPr>
          <w:b/>
          <w:color w:val="333333"/>
          <w:sz w:val="26"/>
        </w:rPr>
        <w:t>2.4.2.4. Quản lý Đơn hàng và Xác nhận đã nhận hàng (Chuẩn Shopee)</w:t>
      </w:r>
    </w:p>
    <w:p>
      <w:pPr>
        <w:spacing w:line="312" w:lineRule="auto" w:after="120"/>
        <w:ind w:firstLine="720"/>
      </w:pPr>
      <w:r>
        <w:t>Quy trình vòng đời đơn hàng được chuyển dịch chặt chẽ theo các bước [10]:</w:t>
      </w:r>
    </w:p>
    <w:p>
      <w:pPr>
        <w:spacing w:line="312" w:lineRule="auto" w:after="120"/>
        <w:ind w:firstLine="720"/>
      </w:pPr>
      <w:r>
        <w:t>'Chờ xử lý' ➔ 'Đang giao' ➔ 'Đã giao' (Shipper đã giao tới) ➔ Khách hàng nhấn nút '[✔ Đã Nhận Hàng]' trên giao diện ➔ Chuyển thành 'Đã hoàn thành'.</w:t>
      </w:r>
    </w:p>
    <w:p>
      <w:pPr>
        <w:spacing w:before="160" w:after="80"/>
      </w:pPr>
      <w:r>
        <w:rPr>
          <w:b/>
          <w:color w:val="333333"/>
          <w:sz w:val="26"/>
        </w:rPr>
        <w:t>2.4.2.6. Chức năng Đánh giá sản phẩm (Rating 1 - 5 sao kèm Bình luận)</w:t>
      </w:r>
    </w:p>
    <w:p>
      <w:pPr>
        <w:spacing w:line="312" w:lineRule="auto" w:after="120"/>
        <w:ind w:firstLine="720"/>
      </w:pPr>
      <w:r>
        <w:t>Để đảm bảo tính khách quan, nút '[⭐ Đánh giá]' chỉ mở khóa khi đơn hàng đã ở trạng thái 'Đã hoàn thành' [10]. Khách hàng có thể chọn số sao hài lòng (1 đến 5 sao) với giao diện ngôi sao rỗng/đầy (`fa-star` / `fa-star-o`) và viết bình luận trải nghiệm. Đánh giá được hiển thị công khai ngay tại trang chi tiết sản phẩm.</w:t>
      </w:r>
    </w:p>
    <w:p>
      <w:pPr>
        <w:spacing w:before="280" w:after="160"/>
      </w:pPr>
      <w:r>
        <w:rPr>
          <w:b/>
          <w:color w:val="1B5E20"/>
          <w:sz w:val="32"/>
        </w:rPr>
        <w:t>CHƯƠNG 3 &amp; 4: CÔNG NGHỆ VÀ THIẾT KẾ TRIỂN KHAI</w:t>
      </w:r>
    </w:p>
    <w:p>
      <w:pPr>
        <w:spacing w:before="200" w:after="120"/>
      </w:pPr>
      <w:r>
        <w:rPr>
          <w:b/>
          <w:color w:val="2E7D32"/>
          <w:sz w:val="28"/>
        </w:rPr>
        <w:t>4.2. Thiết kế Cơ sở dữ liệu Cập nhật</w:t>
      </w:r>
    </w:p>
    <w:p>
      <w:pPr>
        <w:spacing w:line="312" w:lineRule="auto" w:after="120"/>
        <w:ind w:firstLine="720"/>
      </w:pPr>
      <w:r>
        <w:t>Hệ thống mở rộng cấu trúc bảng cơ sở dữ liệu MySQL [4]:</w:t>
      </w:r>
    </w:p>
    <w:p>
      <w:pPr>
        <w:pStyle w:val="ListBullet"/>
        <w:spacing w:after="80"/>
      </w:pPr>
      <w:r>
        <w:t>Bảng `don_hang`: Thêm trường `phuong_thuc_thanh_toan` ('COD' / 'BANK_QR') và `trang_thai_thanh_toan` ('Chưa thanh toán' / 'Chờ xác nhận chuyển khoản' / 'Đã thanh toán').</w:t>
      </w:r>
    </w:p>
    <w:p>
      <w:pPr>
        <w:pStyle w:val="ListBullet"/>
        <w:spacing w:after="80"/>
      </w:pPr>
      <w:r>
        <w:t>Bảng `danh_gia_san_pham`: Lưu trữ các đánh giá bao gồm `id`, `user_id`, `product_id`, `don_hang_id`, `so_sao` (INTEGER 1-5), `noi_dung` (TEXT), `ngay_tao` (DATETIME).</w:t>
      </w:r>
    </w:p>
    <w:p>
      <w:pPr>
        <w:spacing w:before="200" w:after="120"/>
      </w:pPr>
      <w:r>
        <w:rPr>
          <w:b/>
          <w:color w:val="2E7D32"/>
          <w:sz w:val="28"/>
        </w:rPr>
        <w:t>4.3. Thiết kế Giao diện Người dùng Nâng cấp</w:t>
      </w:r>
    </w:p>
    <w:p>
      <w:pPr>
        <w:spacing w:line="312" w:lineRule="auto" w:after="120"/>
        <w:ind w:firstLine="720"/>
      </w:pPr>
      <w:r>
        <w:t>Giao diện được tinh chỉnh đồng bộ theo nguyên lý UI/UX thương mại điện tử hiện đại [8], [9]:</w:t>
      </w:r>
    </w:p>
    <w:p>
      <w:pPr>
        <w:pStyle w:val="ListBullet"/>
        <w:spacing w:after="80"/>
      </w:pPr>
      <w:r>
        <w:t>Trang Lịch sử đơn hàng (MyOrders.jsx): Thiết kế theo dạng Dashboard Shopee với các Tab phân loại trạng thái đơn hàng (Tất cả, Chờ xử lý, Đang giao, Đã giao, Đã hoàn thành, Đã hủy) và nút '[✔ Đã Nhận Hàng]' tiện lợi.</w:t>
      </w:r>
    </w:p>
    <w:p>
      <w:pPr>
        <w:pStyle w:val="ListBullet"/>
        <w:spacing w:after="80"/>
      </w:pPr>
      <w:r>
        <w:t>Trang Sổ địa chỉ (Address.jsx): Hiển thị thẻ địa chỉ bo tròn có icon 🏠, badge 'Mặc định' và Modal thêm địa chỉ có icon minh họa.</w:t>
      </w:r>
    </w:p>
    <w:p>
      <w:pPr>
        <w:pStyle w:val="ListBullet"/>
        <w:spacing w:after="80"/>
      </w:pPr>
      <w:r>
        <w:t>Chân trang (Footer.jsx): Bố cục 4 cột hiện đại, nền xanh đen Gradient, loại bỏ các mục dư thừa, tích hợp các huy hiệu phương thức thanh toán an toàn (VietQR, COD, Techcombank).</w:t>
      </w:r>
    </w:p>
    <w:p>
      <w:pPr>
        <w:pStyle w:val="ListBullet"/>
        <w:spacing w:after="80"/>
      </w:pPr>
      <w:r>
        <w:t>Thẻ sản phẩm (ProductCard.jsx): Thiết kế lại chuẩn Shopee Mall với nền trắng, hiệu ứng hover nâng thẻ nhẹ, hiển thị giá nổi bật và bộ nút mua hàng gọn gàng.</w:t>
      </w:r>
    </w:p>
    <w:p>
      <w:pPr>
        <w:spacing w:before="280" w:after="160"/>
      </w:pPr>
      <w:r>
        <w:rPr>
          <w:b/>
          <w:color w:val="1B5E20"/>
          <w:sz w:val="32"/>
        </w:rPr>
        <w:t>CHƯƠNG 5: CÁC GIẢI PHÁP VÀ ĐÓNG GÓP NỔI BẬT</w:t>
      </w:r>
    </w:p>
    <w:p>
      <w:pPr>
        <w:spacing w:before="200" w:after="120"/>
      </w:pPr>
      <w:r>
        <w:rPr>
          <w:b/>
          <w:color w:val="2E7D32"/>
          <w:sz w:val="28"/>
        </w:rPr>
        <w:t>5.2. Những giải pháp nổi bật</w:t>
      </w:r>
    </w:p>
    <w:p>
      <w:pPr>
        <w:spacing w:before="200" w:after="120"/>
      </w:pPr>
      <w:r>
        <w:rPr>
          <w:b/>
          <w:color w:val="2E7D32"/>
          <w:sz w:val="28"/>
        </w:rPr>
        <w:t>5.2.2. 解答/Giải pháp: Bảo mật Phân quyền &amp; Xác thực Token phía Server (JWT Bearer Middleware)</w:t>
      </w:r>
    </w:p>
    <w:p>
      <w:pPr>
        <w:spacing w:line="312" w:lineRule="auto" w:after="120"/>
        <w:ind w:firstLine="720"/>
      </w:pPr>
      <w:r>
        <w:t>Để giải quyết triệt để lỗ hổng bảo mật nghiêm trọng do Giảng viên nhận xét (việc phân quyền và bảo vệ tuyến đường trước đây chỉ dựa vào LocalStorage phía Client rất dễ bị can thiệp) [6], đồ án đã nâng cấp toàn bộ hệ thống bảo mật sang cơ chế Xác thực Token phía Máy chủ [5]:</w:t>
      </w:r>
    </w:p>
    <w:p>
      <w:pPr>
        <w:pStyle w:val="ListBullet"/>
        <w:spacing w:after="80"/>
      </w:pPr>
      <w:r>
        <w:t>1. Cơ chế Tạo và Cấp phát Token: Khi người dùng đăng nhập thành công, Server tạo ra JSON Web Token (JWT) được ký bằng khóa bí mật (`JWT_SECRET`). Token chứa thông tin ID và Vai trò (`vai_tro: 'admin'` hoặc `'khach'`) [5].</w:t>
      </w:r>
    </w:p>
    <w:p>
      <w:pPr>
        <w:pStyle w:val="ListBullet"/>
        <w:spacing w:after="80"/>
      </w:pPr>
      <w:r>
        <w:t>2. Xây dựng Middleware Kiểm tra Token (`be/src/middleware/auth.middleware.js`): Mọi HTTP Request yêu cầu quyền dữ liệu (thêm/sửa/xóa sản phẩm, duyệt đơn hàng, xác nhận chuyển khoản) đều phải gửi kèm Header `Authorization: Bearer &lt;token&gt;` [6].</w:t>
      </w:r>
    </w:p>
    <w:p>
      <w:pPr>
        <w:pStyle w:val="ListBullet"/>
        <w:spacing w:after="80"/>
      </w:pPr>
      <w:r>
        <w:t>3. Xử lý Chặn Yêu cầu Trái phép tại Server Boundary: Middleware tại Server tiến hành giải mã và kiểm tra chữ ký Token. Nếu không có Token hoặc Token bị can thiệp/hết hạn, Server lập tức trả về mã lỗi `HTTP 401 Unauthorized` hoặc `HTTP 403 Forbidden` [6]. Việc bảo mật lúc này được thực thi tuyệt đối 100% tại Server, xóa bỏ hoàn toàn lỗ hổng bảo mật phía Client.</w:t>
      </w:r>
    </w:p>
    <w:p>
      <w:r>
        <w:br w:type="page"/>
      </w:r>
    </w:p>
    <w:p>
      <w:pPr>
        <w:spacing w:before="280" w:after="160"/>
      </w:pPr>
      <w:r>
        <w:rPr>
          <w:b/>
          <w:color w:val="1B5E20"/>
          <w:sz w:val="32"/>
        </w:rPr>
        <w:t>TÀI LIỆU THAM KHẢO</w:t>
      </w:r>
    </w:p>
    <w:p>
      <w:pPr>
        <w:spacing w:line="312" w:lineRule="auto" w:after="120"/>
        <w:ind w:firstLine="720"/>
      </w:pPr>
      <w:r>
        <w:t>Danh mục tài liệu tham khảo được bổ sung đầy đủ và trích dẫn trực tiếp trong nội dung báo cáo theo đúng ký hiệu ngoặc vuông [...]:</w:t>
      </w:r>
    </w:p>
    <w:p>
      <w:pPr>
        <w:spacing w:after="80"/>
        <w:ind w:left="576" w:hanging="576"/>
      </w:pPr>
      <w:r>
        <w:rPr>
          <w:sz w:val="24"/>
        </w:rPr>
        <w:t>[1] Nguyễn Văn A (2022), Giáo trình Kỹ thuật Phát triển Phần mềm Thương mại Điện tử, NXB Bưu điện, Hà Nội.</w:t>
      </w:r>
    </w:p>
    <w:p>
      <w:pPr>
        <w:spacing w:after="80"/>
        <w:ind w:left="576" w:hanging="576"/>
      </w:pPr>
      <w:r>
        <w:rPr>
          <w:sz w:val="24"/>
        </w:rPr>
        <w:t>[2] React Official Documentation (2024), React - A JavaScript library for building user interfaces, Trang chủ: https://react.dev.</w:t>
      </w:r>
    </w:p>
    <w:p>
      <w:pPr>
        <w:spacing w:after="80"/>
        <w:ind w:left="576" w:hanging="576"/>
      </w:pPr>
      <w:r>
        <w:rPr>
          <w:sz w:val="24"/>
        </w:rPr>
        <w:t>[3] Node.js Foundation (2024), Node.js Runtime Environment &amp; Express Framework Documentation, Trang chủ: https://nodejs.org.</w:t>
      </w:r>
    </w:p>
    <w:p>
      <w:pPr>
        <w:spacing w:after="80"/>
        <w:ind w:left="576" w:hanging="576"/>
      </w:pPr>
      <w:r>
        <w:rPr>
          <w:sz w:val="24"/>
        </w:rPr>
        <w:t>[4] MySQL AB (2023), MySQL 8.0 Reference Manual, Oracle Corporation, Mỹ.</w:t>
      </w:r>
    </w:p>
    <w:p>
      <w:pPr>
        <w:spacing w:after="80"/>
        <w:ind w:left="576" w:hanging="576"/>
      </w:pPr>
      <w:r>
        <w:rPr>
          <w:sz w:val="24"/>
        </w:rPr>
        <w:t>[5] RFC 7519 (2015), JSON Web Token (JWT) Architecture and Security Specification, Internet Engineering Task Force (IETF).</w:t>
      </w:r>
    </w:p>
    <w:p>
      <w:pPr>
        <w:spacing w:after="80"/>
        <w:ind w:left="576" w:hanging="576"/>
      </w:pPr>
      <w:r>
        <w:rPr>
          <w:sz w:val="24"/>
        </w:rPr>
        <w:t>[6] OWASP Foundation (2023), REST Security Cheat Sheet &amp; Token-based Authentication Guidelines, Open Web Application Security Project.</w:t>
      </w:r>
    </w:p>
    <w:p>
      <w:pPr>
        <w:spacing w:after="80"/>
        <w:ind w:left="576" w:hanging="576"/>
      </w:pPr>
      <w:r>
        <w:rPr>
          <w:sz w:val="24"/>
        </w:rPr>
        <w:t>[7] VietQR National Payment Gateway (2024), VietQR Open API Specification for Dynamic Banking QR Codes, Trang chủ: https://vietqr.io.</w:t>
      </w:r>
    </w:p>
    <w:p>
      <w:pPr>
        <w:spacing w:after="80"/>
        <w:ind w:left="576" w:hanging="576"/>
      </w:pPr>
      <w:r>
        <w:rPr>
          <w:sz w:val="24"/>
        </w:rPr>
        <w:t>[8] W3C (2023), HTML5 &amp; CSS3 Web Design Standards, World Wide Web Consortium.</w:t>
      </w:r>
    </w:p>
    <w:p>
      <w:pPr>
        <w:spacing w:after="80"/>
        <w:ind w:left="576" w:hanging="576"/>
      </w:pPr>
      <w:r>
        <w:rPr>
          <w:sz w:val="24"/>
        </w:rPr>
        <w:t>[9] Bootstrap Core Team (2024), Bootstrap 5 Responsive Web Framework Documentation, Trang chủ: https://getbootstrap.com.</w:t>
      </w:r>
    </w:p>
    <w:p>
      <w:pPr>
        <w:spacing w:after="80"/>
        <w:ind w:left="576" w:hanging="576"/>
      </w:pPr>
      <w:r>
        <w:rPr>
          <w:sz w:val="24"/>
        </w:rPr>
        <w:t>[10] Martin Fowler (2002), Patterns of Enterprise Application Architecture, Addison-Wesley Professional, Mỹ.</w:t>
      </w:r>
    </w:p>
    <w:p>
      <w:pPr>
        <w:spacing w:after="80"/>
        <w:ind w:left="576" w:hanging="576"/>
      </w:pPr>
      <w:r>
        <w:rPr>
          <w:sz w:val="24"/>
        </w:rPr>
        <w:t>[11] Swiper.js Team (2024), Modern Mobile Touch Slider Documentation, Trang chủ: https://swiperjs.com.</w:t>
      </w:r>
    </w:p>
    <w:p>
      <w:pPr>
        <w:spacing w:after="80"/>
        <w:ind w:left="576" w:hanging="576"/>
      </w:pPr>
      <w:r>
        <w:rPr>
          <w:sz w:val="24"/>
        </w:rPr>
        <w:t>[12] Đỗ Mạnh Cường (2023), An toàn và Bảo mật hệ thống thông tin Web, NXB Khoa học và Kỹ thuật, Hà Nội.</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