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Composite Cathode Microstructure Pipeline</w:t>
      </w:r>
    </w:p>
    <w:p>
      <w:pPr>
        <w:spacing w:after="80"/>
      </w:pPr>
      <w:r>
        <w:rPr>
          <w:color w:val="404040"/>
          <w:sz w:val="26"/>
          <w:szCs w:val="26"/>
        </w:rPr>
        <w:t xml:space="preserve">Methods description of the cathode_analysis code (workstation package v21)</w:t>
      </w:r>
    </w:p>
    <w:p>
      <w:pPr>
        <w:pBdr>
          <w:bottom w:val="single" w:color="4472C4" w:sz="8" w:space="4"/>
        </w:pBdr>
        <w:spacing w:after="240"/>
      </w:pPr>
      <w:r>
        <w:rPr>
          <w:color w:val="666666"/>
          <w:sz w:val="20"/>
          <w:szCs w:val="20"/>
        </w:rPr>
        <w:t xml:space="preserve">Package version 0.1.0  ·  Prepared October 2026</w:t>
      </w:r>
    </w:p>
    <w:p>
      <w:pPr>
        <w:pStyle w:val="Heading1"/>
        <w:spacing w:after="160" w:before="360"/>
      </w:pPr>
      <w:r>
        <w:t xml:space="preserve">1. Purpose and scope</w:t>
      </w:r>
    </w:p>
    <w:p>
      <w:pPr>
        <w:spacing w:after="120" w:line="276"/>
      </w:pPr>
      <w:r>
        <w:t xml:space="preserve">This document explains how the </w:t>
      </w:r>
      <w:r>
        <w:rPr>
          <w:rFonts w:ascii="Consolas" w:cs="Consolas" w:eastAsia="Consolas" w:hAnsi="Consolas"/>
          <w:sz w:val="19"/>
          <w:szCs w:val="19"/>
        </w:rPr>
        <w:t xml:space="preserve">cathode_analysis</w:t>
      </w:r>
      <w:r>
        <w:t xml:space="preserve"> Python pipeline turns FIB-SEM (focused ion beam scanning electron microscopy) slice stacks of all-solid-state battery composite cathodes into quantitative microstructure results. The cathodes contain three phases: LiCoO₂ (LCO) as the cathode active material, the garnet solid electrolyte Li₇La₃Zr₂O₁₂ doped with tantalum (LLZTO), and pores.</w:t>
      </w:r>
    </w:p>
    <w:p>
      <w:pPr>
        <w:spacing w:after="120" w:line="276"/>
      </w:pPr>
      <w:r>
        <w:t xml:space="preserve">The code states that it reproduces the geometric analysis of Clausnitzer et al. [1]. It computes volume fractions, phase connectivity, total and active LCO–LLZTO interface area, tortuosity, grain sizes and through-thickness profiles, then writes summary tables and figures.</w:t>
      </w:r>
    </w:p>
    <w:p>
      <w:pPr>
        <w:spacing w:after="120" w:line="276"/>
      </w:pPr>
      <w:r>
        <w:t xml:space="preserve">Each section below describes one processing step: what goes in, the algorithm, the formulas, the parameters used in the production configurations, and what comes out. Section 12 lists every software library the code uses. Section 14 lists the references cited as [n].</w:t>
      </w:r>
    </w:p>
    <w:p>
      <w:pPr>
        <w:pBdr>
          <w:left w:val="single" w:color="4472C4" w:sz="18" w:space="8"/>
        </w:pBdr>
        <w:shd w:fill="F2F4F7" w:color="auto" w:val="clear"/>
        <w:spacing w:after="160" w:before="80"/>
        <w:ind w:left="200" w:right="200"/>
      </w:pPr>
      <w:r>
        <w:rPr>
          <w:b/>
          <w:bCs/>
          <w:color w:val="444444"/>
          <w:sz w:val="20"/>
          <w:szCs w:val="20"/>
        </w:rPr>
        <w:t xml:space="preserve">Source of this description.</w:t>
      </w:r>
      <w:r>
        <w:rPr>
          <w:color w:val="444444"/>
          <w:sz w:val="20"/>
          <w:szCs w:val="20"/>
        </w:rPr>
        <w:t xml:space="preserve"> Everything here was read from the source code and configuration files in the package. The pipeline was not executed while preparing this document, so no numerical results are quoted.</w:t>
      </w:r>
    </w:p>
    <w:p>
      <w:pPr>
        <w:pStyle w:val="Heading1"/>
        <w:spacing w:after="160" w:before="360"/>
      </w:pPr>
      <w:r>
        <w:t xml:space="preserve">2. Workflow overview</w:t>
      </w:r>
    </w:p>
    <w:p>
      <w:pPr>
        <w:spacing w:after="120" w:line="276"/>
      </w:pPr>
      <w:r>
        <w:t xml:space="preserve">The pipeline is driven by a single YAML configuration file and run from the command line. It runs seven stages in a fixed order. Six stages run once per sample. The final report stage runs once across all samples. A stage is skipped when all its output files already exist, unless the user forces a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500"/>
        <w:gridCol w:w="3126"/>
        <w:gridCol w:w="2950"/>
      </w:tblGrid>
      <w:tr>
        <w:trPr>
          <w:tblHeader/>
        </w:trPr>
        <w:tc>
          <w:tcPr>
            <w:tcW w:type="dxa" w:w="14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Stage</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Needs</w:t>
            </w:r>
          </w:p>
        </w:tc>
        <w:tc>
          <w:tcPr>
            <w:tcW w:type="dxa" w:w="31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What it does</w:t>
            </w:r>
          </w:p>
        </w:tc>
        <w:tc>
          <w:tcPr>
            <w:tcW w:type="dxa" w:w="2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Main outputs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segment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slices or masks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Turns grey values into a three-phase label volume</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labels.npy</w:t>
            </w:r>
            <w:r>
              <w:rPr>
                <w:sz w:val="19"/>
                <w:szCs w:val="19"/>
              </w:rPr>
              <w:t xml:space="preserve">, </w:t>
            </w:r>
            <w:r>
              <w:rPr>
                <w:rFonts w:ascii="Consolas" w:cs="Consolas" w:eastAsia="Consolas" w:hAnsi="Consolas"/>
                <w:sz w:val="19"/>
                <w:szCs w:val="19"/>
              </w:rPr>
              <w:t xml:space="preserve">segment.json</w:t>
            </w:r>
            <w:r>
              <w:rPr>
                <w:sz w:val="19"/>
                <w:szCs w:val="19"/>
              </w:rPr>
              <w:t xml:space="preserve">, QC images</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connectivity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Finds clusters of each phase that reach the current collector or separator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connectivity.json</w:t>
            </w:r>
            <w:r>
              <w:rPr>
                <w:sz w:val="19"/>
                <w:szCs w:val="19"/>
              </w:rPr>
              <w:t xml:space="preserve">, </w:t>
            </w:r>
            <w:r>
              <w:rPr>
                <w:rFonts w:ascii="Consolas" w:cs="Consolas" w:eastAsia="Consolas" w:hAnsi="Consolas"/>
                <w:sz w:val="19"/>
                <w:szCs w:val="19"/>
              </w:rPr>
              <w:t xml:space="preserve">labels_connected.npy</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surface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connectivity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Measures LCO–LLZTO interface area, total and active</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surface.json</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tortuosity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connectivity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Solves steady-state diffusion through each phase</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tortuosity.json</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grains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Splits each solid phase into individual grains and measures them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grains_&lt;phase&gt;.csv</w:t>
            </w:r>
            <w:r>
              <w:rPr>
                <w:sz w:val="19"/>
                <w:szCs w:val="19"/>
              </w:rPr>
              <w:t xml:space="preserve">, </w:t>
            </w:r>
            <w:r>
              <w:rPr>
                <w:rFonts w:ascii="Consolas" w:cs="Consolas" w:eastAsia="Consolas" w:hAnsi="Consolas"/>
                <w:sz w:val="19"/>
                <w:szCs w:val="19"/>
              </w:rPr>
              <w:t xml:space="preserve">grains.json</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profiles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connectivity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Resolves quantities in slabs from collector to separator</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profiles.csv</w:t>
            </w:r>
            <w:r>
              <w:rPr>
                <w:sz w:val="19"/>
                <w:szCs w:val="19"/>
              </w:rPr>
              <w:t xml:space="preserve">, profile plot</w:t>
            </w:r>
          </w:p>
        </w:tc>
      </w:tr>
      <w:t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report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of the above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Collects all samples into tables and comparison figures</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summary.csv</w:t>
            </w:r>
            <w:r>
              <w:rPr>
                <w:sz w:val="19"/>
                <w:szCs w:val="19"/>
              </w:rPr>
              <w:t xml:space="preserve">, </w:t>
            </w:r>
            <w:r>
              <w:rPr>
                <w:rFonts w:ascii="Consolas" w:cs="Consolas" w:eastAsia="Consolas" w:hAnsi="Consolas"/>
                <w:sz w:val="19"/>
                <w:szCs w:val="19"/>
              </w:rPr>
              <w:t xml:space="preserve">summary_long.csv</w:t>
            </w:r>
            <w:r>
              <w:rPr>
                <w:sz w:val="19"/>
                <w:szCs w:val="19"/>
              </w:rPr>
              <w:t xml:space="preserve">, </w:t>
            </w:r>
            <w:r>
              <w:rPr>
                <w:rFonts w:ascii="Consolas" w:cs="Consolas" w:eastAsia="Consolas" w:hAnsi="Consolas"/>
                <w:sz w:val="19"/>
                <w:szCs w:val="19"/>
              </w:rPr>
              <w:t xml:space="preserve">figures/</w:t>
            </w:r>
          </w:p>
        </w:tc>
      </w:tr>
    </w:tbl>
    <w:p>
      <w:pPr>
        <w:spacing w:after="200" w:before="60"/>
      </w:pPr>
      <w:r>
        <w:rPr>
          <w:i/>
          <w:iCs/>
          <w:color w:val="555555"/>
          <w:sz w:val="18"/>
          <w:szCs w:val="18"/>
        </w:rPr>
        <w:t xml:space="preserve">Table 1. Pipeline stages in execution order.</w:t>
      </w:r>
    </w:p>
    <w:p>
      <w:pPr>
        <w:spacing w:after="120" w:line="276"/>
      </w:pPr>
      <w:r>
        <w:t xml:space="preserve">The command used for a full run is shown below. The helper scripts </w:t>
      </w:r>
      <w:r>
        <w:rPr>
          <w:rFonts w:ascii="Consolas" w:cs="Consolas" w:eastAsia="Consolas" w:hAnsi="Consolas"/>
          <w:sz w:val="19"/>
          <w:szCs w:val="19"/>
        </w:rPr>
        <w:t xml:space="preserve">run_all</w:t>
      </w:r>
      <w:r>
        <w:t xml:space="preserve"> and </w:t>
      </w:r>
      <w:r>
        <w:rPr>
          <w:rFonts w:ascii="Consolas" w:cs="Consolas" w:eastAsia="Consolas" w:hAnsi="Consolas"/>
          <w:sz w:val="19"/>
          <w:szCs w:val="19"/>
        </w:rPr>
        <w:t xml:space="preserve">run_segmented</w:t>
      </w:r>
      <w:r>
        <w:t xml:space="preserve"> wrap this command for the two production configurations.</w:t>
      </w:r>
    </w:p>
    <w:p>
      <w:pPr>
        <w:shd w:fill="F5F5F5" w:color="auto" w:val="clear"/>
        <w:spacing w:after="160"/>
      </w:pPr>
      <w:r>
        <w:rPr>
          <w:rFonts w:ascii="Consolas" w:cs="Consolas" w:eastAsia="Consolas" w:hAnsi="Consolas"/>
          <w:sz w:val="18"/>
          <w:szCs w:val="18"/>
        </w:rPr>
        <w:t xml:space="preserve">python -m cathode_analysis.cli run --config config/workstation.yaml --stage all</w:t>
      </w:r>
    </w:p>
    <w:p>
      <w:pPr>
        <w:pStyle w:val="Heading1"/>
        <w:spacing w:after="160" w:before="360"/>
      </w:pPr>
      <w:r>
        <w:t xml:space="preserve">3. Conventions and analysis volume</w:t>
      </w:r>
    </w:p>
    <w:p>
      <w:pPr>
        <w:pStyle w:val="Heading2"/>
        <w:spacing w:after="120" w:before="240"/>
      </w:pPr>
      <w:r>
        <w:t xml:space="preserve">3.1 Phase codes</w:t>
      </w:r>
    </w:p>
    <w:p>
      <w:pPr>
        <w:spacing w:after="120" w:line="276"/>
      </w:pPr>
      <w:r>
        <w:t xml:space="preserve">Every label volume is stored as unsigned 8-bit integers with fixed codes. After the connectivity stage, a second volume marks the isolated part of each phase with a separate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rPr>
          <w:tblHeader/>
        </w:trPr>
        <w:tc>
          <w:tcPr>
            <w:tcW w:type="dxa" w:w="3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Phase</w:t>
            </w:r>
          </w:p>
        </w:tc>
        <w:tc>
          <w:tcPr>
            <w:tcW w:type="dxa" w:w="26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Code (connected or all)</w:t>
            </w:r>
          </w:p>
        </w:tc>
        <w:tc>
          <w:tcPr>
            <w:tcW w:type="dxa" w:w="26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Code (isolated)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Pore</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LCO (active material)</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LLZTO (solid electrolyte)</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200" w:before="60"/>
      </w:pPr>
      <w:r>
        <w:rPr>
          <w:i/>
          <w:iCs/>
          <w:color w:val="555555"/>
          <w:sz w:val="18"/>
          <w:szCs w:val="18"/>
        </w:rPr>
        <w:t xml:space="preserve">Table 2. Label codes used throughout the code.</w:t>
      </w:r>
    </w:p>
    <w:p>
      <w:pPr>
        <w:pStyle w:val="Heading2"/>
        <w:spacing w:after="120" w:before="240"/>
      </w:pPr>
      <w:r>
        <w:t xml:space="preserve">3.2 Axes and cell orientation</w:t>
      </w:r>
    </w:p>
    <w:p>
      <w:pPr>
        <w:pStyle w:val="ListParagraph"/>
        <w:numPr>
          <w:ilvl w:val="0"/>
          <w:numId w:val="2"/>
        </w:numPr>
        <w:spacing w:after="80" w:line="264"/>
      </w:pPr>
      <w:r>
        <w:t xml:space="preserve">Arrays are ordered (z, y, x). The z axis is the slice index, which is the FIB milling direction. The y axis is image rows and x is image columns.</w:t>
      </w:r>
    </w:p>
    <w:p>
      <w:pPr>
        <w:pStyle w:val="ListParagraph"/>
        <w:numPr>
          <w:ilvl w:val="0"/>
          <w:numId w:val="2"/>
        </w:numPr>
        <w:spacing w:after="80" w:line="264"/>
      </w:pPr>
      <w:r>
        <w:t xml:space="preserve">Voxels are isotropic with an edge length of 50 nm in both production configurations.</w:t>
      </w:r>
    </w:p>
    <w:p>
      <w:pPr>
        <w:pStyle w:val="ListParagraph"/>
        <w:numPr>
          <w:ilvl w:val="0"/>
          <w:numId w:val="2"/>
        </w:numPr>
        <w:spacing w:after="80" w:line="264"/>
      </w:pPr>
      <w:r>
        <w:t xml:space="preserve">The through-thickness direction is the y axis. The current collector is assumed at the top image edge (y minimum) and the LLZTO separator at the bottom (y maximum).</w:t>
      </w:r>
    </w:p>
    <w:p>
      <w:pPr>
        <w:pStyle w:val="Heading2"/>
        <w:spacing w:after="120" w:before="240"/>
      </w:pPr>
      <w:r>
        <w:t xml:space="preserve">3.3 Identical analysis volume</w:t>
      </w:r>
    </w:p>
    <w:p>
      <w:pPr>
        <w:spacing w:after="120" w:line="276"/>
      </w:pPr>
      <w:r>
        <w:t xml:space="preserve">All samples are cropped to exactly the same number of voxels so their results can be compared directly. The validator refuses a configuration where any crop spans a different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26"/>
        <w:gridCol w:w="2400"/>
      </w:tblGrid>
      <w:tr>
        <w:trPr>
          <w:tblHeader/>
        </w:trPr>
        <w:tc>
          <w:tcPr>
            <w:tcW w:type="dxa" w:w="2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Configuration</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Input</w:t>
            </w:r>
          </w:p>
        </w:tc>
        <w:tc>
          <w:tcPr>
            <w:tcW w:type="dxa" w:w="2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Samples</w:t>
            </w:r>
          </w:p>
        </w:tc>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Analysis volume (z × y × x)</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workstation.yaml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Grey-level slices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LCO50, LCO60, LCO60_2, LCO70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 × 680 × 1680 voxels = 25 × 34 × 84 µm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workstation_segmented.yaml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binary mask stack per phase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LCO50, LCO60, LCO70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 × 700 × 1700 voxels = 35 × 35 × 85 µm</w:t>
            </w:r>
          </w:p>
        </w:tc>
      </w:tr>
    </w:tbl>
    <w:p>
      <w:pPr>
        <w:spacing w:after="200" w:before="60"/>
      </w:pPr>
      <w:r>
        <w:rPr>
          <w:i/>
          <w:iCs/>
          <w:color w:val="555555"/>
          <w:sz w:val="18"/>
          <w:szCs w:val="18"/>
        </w:rPr>
        <w:t xml:space="preserve">Table 3. The two production configurations.</w:t>
      </w:r>
    </w:p>
    <w:p>
      <w:pPr>
        <w:pStyle w:val="Heading1"/>
        <w:spacing w:after="160" w:before="360"/>
      </w:pPr>
      <w:r>
        <w:t xml:space="preserve">4. Step 1: Loading and grey-level normalisation</w:t>
      </w:r>
    </w:p>
    <w:p>
      <w:pPr>
        <w:spacing w:after="120" w:line="276"/>
      </w:pPr>
      <w:r>
        <w:t xml:space="preserve">The loader reads 2D TIFF slices one at a time into a pre-allocated array, so two full copies of the volume never exist at once. Files are sorted by the trailing number in the file name. A single multipage TIFF is also accepted. Slice reading runs in parallel threads.</w:t>
      </w:r>
    </w:p>
    <w:p>
      <w:pPr>
        <w:spacing w:after="120" w:line="276"/>
      </w:pPr>
      <w:r>
        <w:t xml:space="preserve">Each slice is cropped at read time and converted to 8 bits on the fly. The grey range [lo, hi] is mapped linearly onto 0–255, and values outside are clipped:</w:t>
      </w:r>
    </w:p>
    <w:p>
      <w:pPr>
        <w:spacing w:after="160" w:before="80"/>
        <w:jc w:val="center"/>
      </w:pPr>
      <w:r>
        <w:rPr>
          <w:rFonts w:ascii="Cambria Math" w:cs="Cambria Math" w:eastAsia="Cambria Math" w:hAnsi="Cambria Math"/>
          <w:sz w:val="23"/>
          <w:szCs w:val="23"/>
        </w:rPr>
        <w:t xml:space="preserve">g</w:t>
      </w:r>
      <w:r>
        <w:rPr>
          <w:rFonts w:ascii="Cambria Math" w:cs="Cambria Math" w:eastAsia="Cambria Math" w:hAnsi="Cambria Math"/>
          <w:sz w:val="23"/>
          <w:szCs w:val="23"/>
          <w:vertAlign w:val="subscript"/>
        </w:rPr>
        <w:t xml:space="preserve">8-bit</w:t>
      </w:r>
      <w:r>
        <w:rPr>
          <w:rFonts w:ascii="Cambria Math" w:cs="Cambria Math" w:eastAsia="Cambria Math" w:hAnsi="Cambria Math"/>
          <w:sz w:val="23"/>
          <w:szCs w:val="23"/>
        </w:rPr>
        <w:t xml:space="preserve"> = clip( 255 · (g − lo) / (hi − lo), 0, 255 )</w:t>
      </w:r>
    </w:p>
    <w:p>
      <w:pPr>
        <w:pStyle w:val="ListParagraph"/>
        <w:numPr>
          <w:ilvl w:val="0"/>
          <w:numId w:val="2"/>
        </w:numPr>
        <w:spacing w:after="80" w:line="264"/>
      </w:pPr>
      <w:r>
        <w:rPr>
          <w:b/>
          <w:bCs/>
        </w:rPr>
        <w:t xml:space="preserve">Range estimation.</w:t>
      </w:r>
      <w:r>
        <w:t xml:space="preserve"> lo and hi are the 0.1th and 99.9th percentiles of the grey values. They are estimated from every 8th slice, using every 4th pixel in each direction.</w:t>
      </w:r>
    </w:p>
    <w:p>
      <w:pPr>
        <w:pStyle w:val="ListParagraph"/>
        <w:numPr>
          <w:ilvl w:val="0"/>
          <w:numId w:val="2"/>
        </w:numPr>
        <w:spacing w:after="80" w:line="264"/>
      </w:pPr>
      <w:r>
        <w:rPr>
          <w:b/>
          <w:bCs/>
        </w:rPr>
        <w:t xml:space="preserve">Per-slice normalisation.</w:t>
      </w:r>
      <w:r>
        <w:t xml:space="preserve"> For sample LCO60_2 the percentiles are computed separately for each slice. The configuration notes that its brightness drifts by about 30 % along z.</w:t>
      </w:r>
    </w:p>
    <w:p>
      <w:pPr>
        <w:pStyle w:val="ListParagraph"/>
        <w:numPr>
          <w:ilvl w:val="0"/>
          <w:numId w:val="2"/>
        </w:numPr>
        <w:spacing w:after="80" w:line="264"/>
      </w:pPr>
      <w:r>
        <w:rPr>
          <w:b/>
          <w:bCs/>
        </w:rPr>
        <w:t xml:space="preserve">Optional downsampling.</w:t>
      </w:r>
      <w:r>
        <w:t xml:space="preserve"> A factor k averages k × k × k blocks. Both production configurations use k = 1 for loading, so the full 50 nm resolution is kept.</w:t>
      </w:r>
    </w:p>
    <w:p>
      <w:pPr>
        <w:pStyle w:val="ListParagraph"/>
        <w:numPr>
          <w:ilvl w:val="0"/>
          <w:numId w:val="2"/>
        </w:numPr>
        <w:spacing w:after="80" w:line="264"/>
      </w:pPr>
      <w:r>
        <w:rPr>
          <w:b/>
          <w:bCs/>
        </w:rPr>
        <w:t xml:space="preserve">Optional smoothing.</w:t>
      </w:r>
      <w:r>
        <w:t xml:space="preserve"> A 3D Gaussian or median filter can be applied. It is switched off in both production configurations.</w:t>
      </w:r>
    </w:p>
    <w:p>
      <w:pPr>
        <w:pStyle w:val="Heading1"/>
        <w:spacing w:after="160" w:before="360"/>
      </w:pPr>
      <w:r>
        <w:t xml:space="preserve">5. Step 2: Segmentation into three phases</w:t>
      </w:r>
    </w:p>
    <w:p>
      <w:pPr>
        <w:pStyle w:val="Heading2"/>
        <w:spacing w:after="120" w:before="240"/>
      </w:pPr>
      <w:r>
        <w:t xml:space="preserve">5.1 Threshold selection</w:t>
      </w:r>
    </w:p>
    <w:p>
      <w:pPr>
        <w:spacing w:after="120" w:line="276"/>
      </w:pPr>
      <w:r>
        <w:t xml:space="preserve">An exact 256-bin histogram of the whole 8-bit volume is computed. Two thresholds then split it into three grey classes. The production run uses multi-level Otsu thresholding [2], computed with the fast algorithm of Liao et al. [3] as implemented in scikit-image. This method chooses the thresholds that maximise the between-class variance of the histogram:</w:t>
      </w:r>
    </w:p>
    <w:p>
      <w:pPr>
        <w:spacing w:after="160" w:before="80"/>
        <w:jc w:val="center"/>
      </w:pPr>
      <w:r>
        <w:rPr>
          <w:rFonts w:ascii="Cambria Math" w:cs="Cambria Math" w:eastAsia="Cambria Math" w:hAnsi="Cambria Math"/>
          <w:sz w:val="23"/>
          <w:szCs w:val="23"/>
        </w:rPr>
        <w:t xml:space="preserve">(t</w:t>
      </w:r>
      <w:r>
        <w:rPr>
          <w:rFonts w:ascii="Cambria Math" w:cs="Cambria Math" w:eastAsia="Cambria Math" w:hAnsi="Cambria Math"/>
          <w:sz w:val="23"/>
          <w:szCs w:val="23"/>
          <w:vertAlign w:val="subscript"/>
        </w:rPr>
        <w:t xml:space="preserve">1</w:t>
      </w:r>
      <w:r>
        <w:rPr>
          <w:rFonts w:ascii="Cambria Math" w:cs="Cambria Math" w:eastAsia="Cambria Math" w:hAnsi="Cambria Math"/>
          <w:sz w:val="23"/>
          <w:szCs w:val="23"/>
        </w:rPr>
        <w:t xml:space="preserve">, t</w:t>
      </w:r>
      <w:r>
        <w:rPr>
          <w:rFonts w:ascii="Cambria Math" w:cs="Cambria Math" w:eastAsia="Cambria Math" w:hAnsi="Cambria Math"/>
          <w:sz w:val="23"/>
          <w:szCs w:val="23"/>
          <w:vertAlign w:val="subscript"/>
        </w:rPr>
        <w:t xml:space="preserve">2</w:t>
      </w:r>
      <w:r>
        <w:rPr>
          <w:rFonts w:ascii="Cambria Math" w:cs="Cambria Math" w:eastAsia="Cambria Math" w:hAnsi="Cambria Math"/>
          <w:sz w:val="23"/>
          <w:szCs w:val="23"/>
        </w:rPr>
        <w:t xml:space="preserve">) = argmax  Σ</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ω</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(μ</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 μ)²</w:t>
      </w:r>
    </w:p>
    <w:p>
      <w:pPr>
        <w:spacing w:after="120" w:line="276"/>
      </w:pPr>
      <w:r>
        <w:t xml:space="preserve">Here ω</w:t>
      </w:r>
      <w:r>
        <w:rPr>
          <w:vertAlign w:val="subscript"/>
        </w:rPr>
        <w:t xml:space="preserve">k</w:t>
      </w:r>
      <w:r>
        <w:t xml:space="preserve"> is the fraction of voxels in class k, μ</w:t>
      </w:r>
      <w:r>
        <w:rPr>
          <w:vertAlign w:val="subscript"/>
        </w:rPr>
        <w:t xml:space="preserve">k</w:t>
      </w:r>
      <w:r>
        <w:t xml:space="preserve"> is the class mean grey value and μ is the overall mean. Two alternatives can be configured. One is a one-dimensional k-means clustering of the histogram [4], with thresholds at the midpoints between cluster means. The other is manual thresholds.</w:t>
      </w:r>
    </w:p>
    <w:p>
      <w:pPr>
        <w:pStyle w:val="Heading2"/>
        <w:spacing w:after="120" w:before="240"/>
      </w:pPr>
      <w:r>
        <w:t xml:space="preserve">5.2 Mapping grey classes to phases</w:t>
      </w:r>
    </w:p>
    <w:p>
      <w:pPr>
        <w:spacing w:after="120" w:line="276"/>
      </w:pPr>
      <w:r>
        <w:t xml:space="preserve">The three grey classes are assigned to phases by brightness order. In the backscattered electron images, pores are darkest, LCO is the grey matrix and LLZTO grains are brightest. The mapping is applied through a 256-entry look-up table, in place.</w:t>
      </w:r>
    </w:p>
    <w:p>
      <w:pPr>
        <w:pStyle w:val="Heading2"/>
        <w:spacing w:after="120" w:before="240"/>
      </w:pPr>
      <w:r>
        <w:t xml:space="preserve">5.3 Clean-up</w:t>
      </w:r>
    </w:p>
    <w:p>
      <w:pPr>
        <w:spacing w:after="120" w:line="276"/>
      </w:pPr>
      <w:r>
        <w:t xml:space="preserve">Three morphological clean-up steps follow. They work on z-chunks of 96 slices with a 16-slice overlap to limit memory.</w:t>
      </w:r>
    </w:p>
    <w:p>
      <w:pPr>
        <w:pStyle w:val="ListParagraph"/>
        <w:numPr>
          <w:ilvl w:val="0"/>
          <w:numId w:val="3"/>
        </w:numPr>
        <w:spacing w:after="80" w:line="264"/>
      </w:pPr>
      <w:r>
        <w:rPr>
          <w:b/>
          <w:bCs/>
        </w:rPr>
        <w:t xml:space="preserve">Small-island removal.</w:t>
      </w:r>
      <w:r>
        <w:t xml:space="preserve"> Connected components are found with 6-connectivity [5]. Islands smaller than 27 voxels (pore) or 125 voxels (LCO, LLZTO) are removed. At 50 nm voxels, 125 voxels is a 250 nm cube. Removed voxels take the most common phase among their 26 neighbours, growing inwards iteratively.</w:t>
      </w:r>
    </w:p>
    <w:p>
      <w:pPr>
        <w:pStyle w:val="ListParagraph"/>
        <w:numPr>
          <w:ilvl w:val="0"/>
          <w:numId w:val="3"/>
        </w:numPr>
        <w:spacing w:after="80" w:line="264"/>
      </w:pPr>
      <w:r>
        <w:rPr>
          <w:b/>
          <w:bCs/>
        </w:rPr>
        <w:t xml:space="preserve">Cavity filling.</w:t>
      </w:r>
      <w:r>
        <w:t xml:space="preserve"> Pore cavities of at most 1000 voxels that are completely enclosed by LCO or by LLZTO are filled with that phase. Enclosed particles of the third phase are never filled.</w:t>
      </w:r>
    </w:p>
    <w:p>
      <w:pPr>
        <w:pStyle w:val="ListParagraph"/>
        <w:numPr>
          <w:ilvl w:val="0"/>
          <w:numId w:val="3"/>
        </w:numPr>
        <w:spacing w:after="80" w:line="264"/>
      </w:pPr>
      <w:r>
        <w:rPr>
          <w:b/>
          <w:bCs/>
        </w:rPr>
        <w:t xml:space="preserve">Majority filter.</w:t>
      </w:r>
      <w:r>
        <w:t xml:space="preserve"> A 3D majority vote in a ball can smooth the labels. It is switched off in the production runs (radius 0).</w:t>
      </w:r>
    </w:p>
    <w:p>
      <w:pPr>
        <w:spacing w:after="120" w:line="276"/>
      </w:pPr>
      <w:r>
        <w:t xml:space="preserve">Objects that cross a chunk border are treated conservatively. They are kept, not removed or filled, because their true size is unknown.</w:t>
      </w:r>
    </w:p>
    <w:p>
      <w:pPr>
        <w:pStyle w:val="Heading2"/>
        <w:spacing w:after="120" w:before="240"/>
      </w:pPr>
      <w:r>
        <w:t xml:space="preserve">5.4 Volume fractions</w:t>
      </w:r>
    </w:p>
    <w:p>
      <w:pPr>
        <w:spacing w:after="120" w:line="276"/>
      </w:pPr>
      <w:r>
        <w:t xml:space="preserve">The volume fraction of each phase is its voxel count divided by the total voxel count. Fractions are recorded before and after clean-up.</w:t>
      </w:r>
    </w:p>
    <w:p>
      <w:pPr>
        <w:spacing w:after="160" w:before="80"/>
        <w:jc w:val="center"/>
      </w:pPr>
      <w:r>
        <w:rPr>
          <w:rFonts w:ascii="Cambria Math" w:cs="Cambria Math" w:eastAsia="Cambria Math" w:hAnsi="Cambria Math"/>
          <w:sz w:val="23"/>
          <w:szCs w:val="23"/>
        </w:rPr>
        <w:t xml:space="preserve">ε</w:t>
      </w:r>
      <w:r>
        <w:rPr>
          <w:rFonts w:ascii="Cambria Math" w:cs="Cambria Math" w:eastAsia="Cambria Math" w:hAnsi="Cambria Math"/>
          <w:sz w:val="23"/>
          <w:szCs w:val="23"/>
          <w:vertAlign w:val="subscript"/>
        </w:rPr>
        <w:t xml:space="preserve">p</w:t>
      </w:r>
      <w:r>
        <w:rPr>
          <w:rFonts w:ascii="Cambria Math" w:cs="Cambria Math" w:eastAsia="Cambria Math" w:hAnsi="Cambria Math"/>
          <w:sz w:val="23"/>
          <w:szCs w:val="23"/>
        </w:rPr>
        <w:t xml:space="preserve"> = N</w:t>
      </w:r>
      <w:r>
        <w:rPr>
          <w:rFonts w:ascii="Cambria Math" w:cs="Cambria Math" w:eastAsia="Cambria Math" w:hAnsi="Cambria Math"/>
          <w:sz w:val="23"/>
          <w:szCs w:val="23"/>
          <w:vertAlign w:val="subscript"/>
        </w:rPr>
        <w:t xml:space="preserve">p</w:t>
      </w:r>
      <w:r>
        <w:rPr>
          <w:rFonts w:ascii="Cambria Math" w:cs="Cambria Math" w:eastAsia="Cambria Math" w:hAnsi="Cambria Math"/>
          <w:sz w:val="23"/>
          <w:szCs w:val="23"/>
        </w:rPr>
        <w:t xml:space="preserve"> / N</w:t>
      </w:r>
      <w:r>
        <w:rPr>
          <w:rFonts w:ascii="Cambria Math" w:cs="Cambria Math" w:eastAsia="Cambria Math" w:hAnsi="Cambria Math"/>
          <w:sz w:val="23"/>
          <w:szCs w:val="23"/>
          <w:vertAlign w:val="subscript"/>
        </w:rPr>
        <w:t xml:space="preserve">total</w:t>
      </w:r>
    </w:p>
    <w:p>
      <w:pPr>
        <w:pStyle w:val="Heading2"/>
        <w:spacing w:after="120" w:before="240"/>
      </w:pPr>
      <w:r>
        <w:t xml:space="preserve">5.5 Pre-segmented input</w:t>
      </w:r>
    </w:p>
    <w:p>
      <w:pPr>
        <w:spacing w:after="120" w:line="276"/>
      </w:pPr>
      <w:r>
        <w:t xml:space="preserve">In </w:t>
      </w:r>
      <w:r>
        <w:rPr>
          <w:rFonts w:ascii="Consolas" w:cs="Consolas" w:eastAsia="Consolas" w:hAnsi="Consolas"/>
          <w:sz w:val="19"/>
          <w:szCs w:val="19"/>
        </w:rPr>
        <w:t xml:space="preserve">workstation_segmented.yaml</w:t>
      </w:r>
      <w:r>
        <w:t xml:space="preserve">, the grey-level steps above are replaced by importing one binary stack per phase.</w:t>
      </w:r>
    </w:p>
    <w:p>
      <w:pPr>
        <w:pStyle w:val="ListParagraph"/>
        <w:numPr>
          <w:ilvl w:val="0"/>
          <w:numId w:val="2"/>
        </w:numPr>
        <w:spacing w:after="80" w:line="264"/>
      </w:pPr>
      <w:r>
        <w:t xml:space="preserve">Where masks overlap, the phase listed first in the priority order LLZTO, LCO, pore wins.</w:t>
      </w:r>
    </w:p>
    <w:p>
      <w:pPr>
        <w:pStyle w:val="ListParagraph"/>
        <w:numPr>
          <w:ilvl w:val="0"/>
          <w:numId w:val="2"/>
        </w:numPr>
        <w:spacing w:after="80" w:line="264"/>
      </w:pPr>
      <w:r>
        <w:t xml:space="preserve">Voxels covered by no mask take the majority phase of their 26 neighbours. If none is available, they take the highest-priority phase.</w:t>
      </w:r>
    </w:p>
    <w:p>
      <w:pPr>
        <w:pStyle w:val="ListParagraph"/>
        <w:numPr>
          <w:ilvl w:val="0"/>
          <w:numId w:val="2"/>
        </w:numPr>
        <w:spacing w:after="80" w:line="264"/>
      </w:pPr>
      <w:r>
        <w:t xml:space="preserve">Clean-up is switched off for this mode. The configuration records about 1 % to 3 % uncovered voxels per sample.</w:t>
      </w:r>
    </w:p>
    <w:p>
      <w:pPr>
        <w:pStyle w:val="Heading2"/>
        <w:spacing w:after="120" w:before="240"/>
      </w:pPr>
      <w:r>
        <w:t xml:space="preserve">5.6 Quality control</w:t>
      </w:r>
    </w:p>
    <w:p>
      <w:pPr>
        <w:spacing w:after="120" w:line="276"/>
      </w:pPr>
      <w:r>
        <w:t xml:space="preserve">The stage saves the histogram with the chosen thresholds and overlay images at 25 %, 50 % and 75 % of the stack depth. All thresholds, fractions and clean-up counts go to </w:t>
      </w:r>
      <w:r>
        <w:rPr>
          <w:rFonts w:ascii="Consolas" w:cs="Consolas" w:eastAsia="Consolas" w:hAnsi="Consolas"/>
          <w:sz w:val="19"/>
          <w:szCs w:val="19"/>
        </w:rPr>
        <w:t xml:space="preserve">segment.json</w:t>
      </w:r>
      <w:r>
        <w:t xml:space="preserve">.</w:t>
      </w:r>
    </w:p>
    <w:p>
      <w:pPr>
        <w:pStyle w:val="Heading1"/>
        <w:spacing w:after="160" w:before="360"/>
      </w:pPr>
      <w:r>
        <w:t xml:space="preserve">6. Step 3: Connectivity and percolation</w:t>
      </w:r>
    </w:p>
    <w:p>
      <w:pPr>
        <w:spacing w:after="120" w:line="276"/>
      </w:pPr>
      <w:r>
        <w:t xml:space="preserve">A cluster is useful for the cell only if it is connected to the right boundary. Electrons enter LCO from the current collector, and lithium ions enter LLZTO from the separator.</w:t>
      </w:r>
    </w:p>
    <w:p>
      <w:pPr>
        <w:pStyle w:val="ListParagraph"/>
        <w:numPr>
          <w:ilvl w:val="0"/>
          <w:numId w:val="4"/>
        </w:numPr>
        <w:spacing w:after="80" w:line="264"/>
      </w:pPr>
      <w:r>
        <w:t xml:space="preserve">For each analysed phase, all connected components are labelled with 6-connectivity, meaning voxels count as connected only through shared faces [5].</w:t>
      </w:r>
    </w:p>
    <w:p>
      <w:pPr>
        <w:pStyle w:val="ListParagraph"/>
        <w:numPr>
          <w:ilvl w:val="0"/>
          <w:numId w:val="4"/>
        </w:numPr>
        <w:spacing w:after="80" w:line="264"/>
      </w:pPr>
      <w:r>
        <w:t xml:space="preserve">A cluster is </w:t>
      </w:r>
      <w:r>
        <w:rPr>
          <w:b/>
          <w:bCs/>
        </w:rPr>
        <w:t xml:space="preserve">connected</w:t>
      </w:r>
      <w:r>
        <w:t xml:space="preserve"> if it touches its reference face. LCO uses the current-collector face and LLZTO uses the separator face. Pores are not analysed in the production runs.</w:t>
      </w:r>
    </w:p>
    <w:p>
      <w:pPr>
        <w:pStyle w:val="ListParagraph"/>
        <w:numPr>
          <w:ilvl w:val="0"/>
          <w:numId w:val="4"/>
        </w:numPr>
        <w:spacing w:after="80" w:line="264"/>
      </w:pPr>
      <w:r>
        <w:t xml:space="preserve">The </w:t>
      </w:r>
      <w:r>
        <w:rPr>
          <w:b/>
          <w:bCs/>
        </w:rPr>
        <w:t xml:space="preserve">connected fraction</w:t>
      </w:r>
      <w:r>
        <w:t xml:space="preserve"> is the share of the phase that belongs to connected clusters.</w:t>
      </w:r>
    </w:p>
    <w:p>
      <w:pPr>
        <w:pStyle w:val="ListParagraph"/>
        <w:numPr>
          <w:ilvl w:val="0"/>
          <w:numId w:val="4"/>
        </w:numPr>
        <w:spacing w:after="80" w:line="264"/>
      </w:pPr>
      <w:r>
        <w:t xml:space="preserve">The phase </w:t>
      </w:r>
      <w:r>
        <w:rPr>
          <w:b/>
          <w:bCs/>
        </w:rPr>
        <w:t xml:space="preserve">percolates</w:t>
      </w:r>
      <w:r>
        <w:t xml:space="preserve"> if at least one cluster touches both the collector and the separator faces.</w:t>
      </w:r>
    </w:p>
    <w:p>
      <w:pPr>
        <w:spacing w:after="160" w:before="80"/>
        <w:jc w:val="center"/>
      </w:pPr>
      <w:r>
        <w:rPr>
          <w:rFonts w:ascii="Cambria Math" w:cs="Cambria Math" w:eastAsia="Cambria Math" w:hAnsi="Cambria Math"/>
          <w:sz w:val="23"/>
          <w:szCs w:val="23"/>
        </w:rPr>
        <w:t xml:space="preserve">connected fraction = V</w:t>
      </w:r>
      <w:r>
        <w:rPr>
          <w:rFonts w:ascii="Cambria Math" w:cs="Cambria Math" w:eastAsia="Cambria Math" w:hAnsi="Cambria Math"/>
          <w:sz w:val="23"/>
          <w:szCs w:val="23"/>
          <w:vertAlign w:val="subscript"/>
        </w:rPr>
        <w:t xml:space="preserve">p, connected</w:t>
      </w:r>
      <w:r>
        <w:rPr>
          <w:rFonts w:ascii="Cambria Math" w:cs="Cambria Math" w:eastAsia="Cambria Math" w:hAnsi="Cambria Math"/>
          <w:sz w:val="23"/>
          <w:szCs w:val="23"/>
        </w:rPr>
        <w:t xml:space="preserve"> / V</w:t>
      </w:r>
      <w:r>
        <w:rPr>
          <w:rFonts w:ascii="Cambria Math" w:cs="Cambria Math" w:eastAsia="Cambria Math" w:hAnsi="Cambria Math"/>
          <w:sz w:val="23"/>
          <w:szCs w:val="23"/>
          <w:vertAlign w:val="subscript"/>
        </w:rPr>
        <w:t xml:space="preserve">p</w:t>
      </w:r>
    </w:p>
    <w:p>
      <w:pPr>
        <w:spacing w:after="120" w:line="276"/>
      </w:pPr>
      <w:r>
        <w:t xml:space="preserve">The stage also reports cluster counts and the ten largest clusters. It writes </w:t>
      </w:r>
      <w:r>
        <w:rPr>
          <w:rFonts w:ascii="Consolas" w:cs="Consolas" w:eastAsia="Consolas" w:hAnsi="Consolas"/>
          <w:sz w:val="19"/>
          <w:szCs w:val="19"/>
        </w:rPr>
        <w:t xml:space="preserve">labels_connected.npy</w:t>
      </w:r>
      <w:r>
        <w:t xml:space="preserve">, in which isolated voxels carry codes 3–5. Later stages use this volume to restrict tortuosity to connected material and to define the active interface.</w:t>
      </w:r>
    </w:p>
    <w:p>
      <w:pPr>
        <w:pStyle w:val="Heading1"/>
        <w:spacing w:after="160" w:before="360"/>
      </w:pPr>
      <w:r>
        <w:t xml:space="preserve">7. Step 4: Interface area</w:t>
      </w:r>
    </w:p>
    <w:p>
      <w:pPr>
        <w:pStyle w:val="Heading2"/>
        <w:spacing w:after="120" w:before="240"/>
      </w:pPr>
      <w:r>
        <w:t xml:space="preserve">7.1 Marching cubes surface</w:t>
      </w:r>
    </w:p>
    <w:p>
      <w:pPr>
        <w:spacing w:after="120" w:line="276"/>
      </w:pPr>
      <w:r>
        <w:t xml:space="preserve">The production runs use the marching cubes method. Each phase mask is smoothed with a Gaussian filter (σ = 0.7 voxels) to reduce staircase artefacts. A triangle mesh of the iso-surface at level 0.5 is then extracted with marching cubes [6]. scikit-image uses the Lewiner variant, which guarantees topologically consistent meshes [7]. The total mesh area gives the surface S</w:t>
      </w:r>
      <w:r>
        <w:rPr>
          <w:vertAlign w:val="subscript"/>
        </w:rPr>
        <w:t xml:space="preserve">p</w:t>
      </w:r>
      <w:r>
        <w:t xml:space="preserve"> of each phase.</w:t>
      </w:r>
    </w:p>
    <w:p>
      <w:pPr>
        <w:spacing w:after="120" w:line="276"/>
      </w:pPr>
      <w:r>
        <w:t xml:space="preserve">With exactly three phases, every phase surface is the sum of its two interfaces. For example, S</w:t>
      </w:r>
      <w:r>
        <w:rPr>
          <w:vertAlign w:val="subscript"/>
        </w:rPr>
        <w:t xml:space="preserve">LCO</w:t>
      </w:r>
      <w:r>
        <w:t xml:space="preserve"> = A</w:t>
      </w:r>
      <w:r>
        <w:rPr>
          <w:vertAlign w:val="subscript"/>
        </w:rPr>
        <w:t xml:space="preserve">LCO–LLZTO</w:t>
      </w:r>
      <w:r>
        <w:t xml:space="preserve"> + A</w:t>
      </w:r>
      <w:r>
        <w:rPr>
          <w:vertAlign w:val="subscript"/>
        </w:rPr>
        <w:t xml:space="preserve">LCO–pore</w:t>
      </w:r>
      <w:r>
        <w:t xml:space="preserve">. Solving the three equations gives each pairwise interface area:</w:t>
      </w:r>
    </w:p>
    <w:p>
      <w:pPr>
        <w:spacing w:after="160" w:before="80"/>
        <w:jc w:val="center"/>
      </w:pP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ab</w:t>
      </w:r>
      <w:r>
        <w:rPr>
          <w:rFonts w:ascii="Cambria Math" w:cs="Cambria Math" w:eastAsia="Cambria Math" w:hAnsi="Cambria Math"/>
          <w:sz w:val="23"/>
          <w:szCs w:val="23"/>
        </w:rPr>
        <w:t xml:space="preserve"> = ( S</w:t>
      </w:r>
      <w:r>
        <w:rPr>
          <w:rFonts w:ascii="Cambria Math" w:cs="Cambria Math" w:eastAsia="Cambria Math" w:hAnsi="Cambria Math"/>
          <w:sz w:val="23"/>
          <w:szCs w:val="23"/>
          <w:vertAlign w:val="subscript"/>
        </w:rPr>
        <w:t xml:space="preserve">a</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b</w:t>
      </w:r>
      <w:r>
        <w:rPr>
          <w:rFonts w:ascii="Cambria Math" w:cs="Cambria Math" w:eastAsia="Cambria Math" w:hAnsi="Cambria Math"/>
          <w:sz w:val="23"/>
          <w:szCs w:val="23"/>
        </w:rPr>
        <w:t xml:space="preserve"> − S</w:t>
      </w:r>
      <w:r>
        <w:rPr>
          <w:rFonts w:ascii="Cambria Math" w:cs="Cambria Math" w:eastAsia="Cambria Math" w:hAnsi="Cambria Math"/>
          <w:sz w:val="23"/>
          <w:szCs w:val="23"/>
          <w:vertAlign w:val="subscript"/>
        </w:rPr>
        <w:t xml:space="preserve">c</w:t>
      </w:r>
      <w:r>
        <w:rPr>
          <w:rFonts w:ascii="Cambria Math" w:cs="Cambria Math" w:eastAsia="Cambria Math" w:hAnsi="Cambria Math"/>
          <w:sz w:val="23"/>
          <w:szCs w:val="23"/>
        </w:rPr>
        <w:t xml:space="preserve"> ) / 2</w:t>
      </w:r>
    </w:p>
    <w:p>
      <w:pPr>
        <w:pStyle w:val="Heading2"/>
        <w:spacing w:after="120" w:before="240"/>
      </w:pPr>
      <w:r>
        <w:t xml:space="preserve">7.2 Voxel-face estimator and the 2/3 factor</w:t>
      </w:r>
    </w:p>
    <w:p>
      <w:pPr>
        <w:spacing w:after="120" w:line="276"/>
      </w:pPr>
      <w:r>
        <w:t xml:space="preserve">A second, simpler estimator counts voxel faces shared by two phases and multiplies by the face area. Face counting overestimates the area of a tilted surface because the surface is approximated by steps. For a plane with unit normal n, the counted area is larger by the factor |n</w:t>
      </w:r>
      <w:r>
        <w:rPr>
          <w:vertAlign w:val="subscript"/>
        </w:rPr>
        <w:t xml:space="preserve">x</w:t>
      </w:r>
      <w:r>
        <w:t xml:space="preserve">| + |n</w:t>
      </w:r>
      <w:r>
        <w:rPr>
          <w:vertAlign w:val="subscript"/>
        </w:rPr>
        <w:t xml:space="preserve">y</w:t>
      </w:r>
      <w:r>
        <w:t xml:space="preserve">| + |n</w:t>
      </w:r>
      <w:r>
        <w:rPr>
          <w:vertAlign w:val="subscript"/>
        </w:rPr>
        <w:t xml:space="preserve">z</w:t>
      </w:r>
      <w:r>
        <w:t xml:space="preserve">|. Averaged over random orientations, this factor is 3/2, so the code multiplies by a correction of 0.667. Lindblad [8] treats this problem and more accurate local estimators in detail.</w:t>
      </w:r>
    </w:p>
    <w:p>
      <w:pPr>
        <w:spacing w:after="160" w:before="80"/>
        <w:jc w:val="center"/>
      </w:pP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ab</w:t>
      </w:r>
      <w:r>
        <w:rPr>
          <w:rFonts w:ascii="Cambria Math" w:cs="Cambria Math" w:eastAsia="Cambria Math" w:hAnsi="Cambria Math"/>
          <w:sz w:val="23"/>
          <w:szCs w:val="23"/>
        </w:rPr>
        <w:t xml:space="preserve"> ≈ 0.667 · n</w:t>
      </w:r>
      <w:r>
        <w:rPr>
          <w:rFonts w:ascii="Cambria Math" w:cs="Cambria Math" w:eastAsia="Cambria Math" w:hAnsi="Cambria Math"/>
          <w:sz w:val="23"/>
          <w:szCs w:val="23"/>
          <w:vertAlign w:val="subscript"/>
        </w:rPr>
        <w:t xml:space="preserve">faces</w:t>
      </w:r>
      <w:r>
        <w:rPr>
          <w:rFonts w:ascii="Cambria Math" w:cs="Cambria Math" w:eastAsia="Cambria Math" w:hAnsi="Cambria Math"/>
          <w:sz w:val="23"/>
          <w:szCs w:val="23"/>
        </w:rPr>
        <w:t xml:space="preserve"> · (voxel size)²</w:t>
      </w:r>
    </w:p>
    <w:p>
      <w:pPr>
        <w:spacing w:after="120" w:line="276"/>
      </w:pPr>
      <w:r>
        <w:t xml:space="preserve">This corrected face count is used for the grain surface and contact areas in Section 9 and for the interface density profiles in Section 10.</w:t>
      </w:r>
    </w:p>
    <w:p>
      <w:pPr>
        <w:pStyle w:val="Heading2"/>
        <w:spacing w:after="120" w:before="240"/>
      </w:pPr>
      <w:r>
        <w:t xml:space="preserve">7.3 Active interface</w:t>
      </w:r>
    </w:p>
    <w:p>
      <w:pPr>
        <w:spacing w:after="120" w:line="276"/>
      </w:pPr>
      <w:r>
        <w:t xml:space="preserve">Only interface where both sides are connected can carry current, so this part is called the active interface. Using the connectivity labels, the code counts LCO–LLZTO voxel faces where both voxels belong to connected clusters. It divides this by all LCO–LLZTO faces. That ratio is applied to the marching cubes area:</w:t>
      </w:r>
    </w:p>
    <w:p>
      <w:pPr>
        <w:spacing w:after="160" w:before="80"/>
        <w:jc w:val="center"/>
      </w:pPr>
      <w:r>
        <w:rPr>
          <w:rFonts w:ascii="Cambria Math" w:cs="Cambria Math" w:eastAsia="Cambria Math" w:hAnsi="Cambria Math"/>
          <w:sz w:val="23"/>
          <w:szCs w:val="23"/>
        </w:rPr>
        <w:t xml:space="preserve">A</w:t>
      </w:r>
      <w:r>
        <w:rPr>
          <w:rFonts w:ascii="Cambria Math" w:cs="Cambria Math" w:eastAsia="Cambria Math" w:hAnsi="Cambria Math"/>
          <w:sz w:val="23"/>
          <w:szCs w:val="23"/>
          <w:vertAlign w:val="subscript"/>
        </w:rPr>
        <w:t xml:space="preserve">active</w:t>
      </w:r>
      <w:r>
        <w:rPr>
          <w:rFonts w:ascii="Cambria Math" w:cs="Cambria Math" w:eastAsia="Cambria Math" w:hAnsi="Cambria Math"/>
          <w:sz w:val="23"/>
          <w:szCs w:val="23"/>
        </w:rPr>
        <w:t xml:space="preserve"> = A</w:t>
      </w:r>
      <w:r>
        <w:rPr>
          <w:rFonts w:ascii="Cambria Math" w:cs="Cambria Math" w:eastAsia="Cambria Math" w:hAnsi="Cambria Math"/>
          <w:sz w:val="23"/>
          <w:szCs w:val="23"/>
          <w:vertAlign w:val="subscript"/>
        </w:rPr>
        <w:t xml:space="preserve">LCO–LLZTO</w:t>
      </w:r>
      <w:r>
        <w:rPr>
          <w:rFonts w:ascii="Cambria Math" w:cs="Cambria Math" w:eastAsia="Cambria Math" w:hAnsi="Cambria Math"/>
          <w:sz w:val="23"/>
          <w:szCs w:val="23"/>
        </w:rPr>
        <w:t xml:space="preserve"> · ( faces with both sides connected / all LCO–LLZTO faces )</w:t>
      </w:r>
    </w:p>
    <w:p>
      <w:pPr>
        <w:spacing w:after="120" w:line="276"/>
      </w:pPr>
      <w:r>
        <w:t xml:space="preserve">Areas are reported in µm², as specific area per total volume in 1/µm, and per volume of each phase of the pair.</w:t>
      </w:r>
    </w:p>
    <w:p>
      <w:pPr>
        <w:pStyle w:val="Heading1"/>
        <w:spacing w:after="160" w:before="360"/>
      </w:pPr>
      <w:r>
        <w:t xml:space="preserve">8. Step 5: Tortuosity</w:t>
      </w:r>
    </w:p>
    <w:p>
      <w:pPr>
        <w:pStyle w:val="Heading2"/>
        <w:spacing w:after="120" w:before="240"/>
      </w:pPr>
      <w:r>
        <w:t xml:space="preserve">8.1 Definition</w:t>
      </w:r>
    </w:p>
    <w:p>
      <w:pPr>
        <w:spacing w:after="120" w:line="276"/>
      </w:pPr>
      <w:r>
        <w:t xml:space="preserve">The tortuosity factor τ describes how much a phase's geometry slows transport compared with a straight, open path of the same volume fraction [9]. The code uses the TauFactor definition [10, 11]:</w:t>
      </w:r>
    </w:p>
    <w:p>
      <w:pPr>
        <w:spacing w:after="160" w:before="80"/>
        <w:jc w:val="center"/>
      </w:pPr>
      <w:r>
        <w:rPr>
          <w:rFonts w:ascii="Cambria Math" w:cs="Cambria Math" w:eastAsia="Cambria Math" w:hAnsi="Cambria Math"/>
          <w:sz w:val="23"/>
          <w:szCs w:val="23"/>
        </w:rPr>
        <w:t xml:space="preserve">τ = ε · D</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eff</w:t>
      </w:r>
      <w:r>
        <w:rPr>
          <w:rFonts w:ascii="Cambria Math" w:cs="Cambria Math" w:eastAsia="Cambria Math" w:hAnsi="Cambria Math"/>
          <w:sz w:val="23"/>
          <w:szCs w:val="23"/>
        </w:rPr>
        <w:t xml:space="preserve">        and        D</w:t>
      </w:r>
      <w:r>
        <w:rPr>
          <w:rFonts w:ascii="Cambria Math" w:cs="Cambria Math" w:eastAsia="Cambria Math" w:hAnsi="Cambria Math"/>
          <w:sz w:val="23"/>
          <w:szCs w:val="23"/>
          <w:vertAlign w:val="subscript"/>
        </w:rPr>
        <w:t xml:space="preserve">eff</w:t>
      </w:r>
      <w:r>
        <w:rPr>
          <w:rFonts w:ascii="Cambria Math" w:cs="Cambria Math" w:eastAsia="Cambria Math" w:hAnsi="Cambria Math"/>
          <w:sz w:val="23"/>
          <w:szCs w:val="23"/>
        </w:rPr>
        <w:t xml:space="preserve"> / D</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ε / τ</w:t>
      </w:r>
    </w:p>
    <w:p>
      <w:pPr>
        <w:spacing w:after="120" w:line="276"/>
      </w:pPr>
      <w:r>
        <w:t xml:space="preserve">Here ε is the volume fraction of the conducting phase, D</w:t>
      </w:r>
      <w:r>
        <w:rPr>
          <w:vertAlign w:val="subscript"/>
        </w:rPr>
        <w:t xml:space="preserve">0</w:t>
      </w:r>
      <w:r>
        <w:t xml:space="preserve"> is the intrinsic diffusivity or conductivity and D</w:t>
      </w:r>
      <w:r>
        <w:rPr>
          <w:vertAlign w:val="subscript"/>
        </w:rPr>
        <w:t xml:space="preserve">eff</w:t>
      </w:r>
      <w:r>
        <w:t xml:space="preserve"> is the effective value of the structure. The same ratio is the normalised effective conductivity σ</w:t>
      </w:r>
      <w:r>
        <w:rPr>
          <w:vertAlign w:val="subscript"/>
        </w:rPr>
        <w:t xml:space="preserve">eff</w:t>
      </w:r>
      <w:r>
        <w:t xml:space="preserve">/σ used in the figures. A phase that does not connect the two opposite faces gets τ = ∞ and D</w:t>
      </w:r>
      <w:r>
        <w:rPr>
          <w:vertAlign w:val="subscript"/>
        </w:rPr>
        <w:t xml:space="preserve">eff</w:t>
      </w:r>
      <w:r>
        <w:t xml:space="preserve">/D</w:t>
      </w:r>
      <w:r>
        <w:rPr>
          <w:vertAlign w:val="subscript"/>
        </w:rPr>
        <w:t xml:space="preserve">0</w:t>
      </w:r>
      <w:r>
        <w:t xml:space="preserve"> = 0.</w:t>
      </w:r>
    </w:p>
    <w:p>
      <w:pPr>
        <w:pStyle w:val="Heading2"/>
        <w:spacing w:after="120" w:before="240"/>
      </w:pPr>
      <w:r>
        <w:t xml:space="preserve">8.2 Procedure</w:t>
      </w:r>
    </w:p>
    <w:p>
      <w:pPr>
        <w:pStyle w:val="ListParagraph"/>
        <w:numPr>
          <w:ilvl w:val="0"/>
          <w:numId w:val="5"/>
        </w:numPr>
        <w:spacing w:after="80" w:line="264"/>
      </w:pPr>
      <w:r>
        <w:rPr>
          <w:b/>
          <w:bCs/>
        </w:rPr>
        <w:t xml:space="preserve">Connected material only.</w:t>
      </w:r>
      <w:r>
        <w:t xml:space="preserve"> The solve uses the connectivity labels, so isolated clusters do not count.</w:t>
      </w:r>
    </w:p>
    <w:p>
      <w:pPr>
        <w:pStyle w:val="ListParagraph"/>
        <w:numPr>
          <w:ilvl w:val="0"/>
          <w:numId w:val="5"/>
        </w:numPr>
        <w:spacing w:after="80" w:line="264"/>
      </w:pPr>
      <w:r>
        <w:rPr>
          <w:b/>
          <w:bCs/>
        </w:rPr>
        <w:t xml:space="preserve">Volume-preserving downsampling.</w:t>
      </w:r>
      <w:r>
        <w:t xml:space="preserve"> The mask is reduced by a factor of 2 to 100 nm voxels. Each 2 × 2 × 2 block is set by a threshold chosen so the phase volume fraction stays the same, with reproducible random tie-breaking. A simple majority vote would erode thin necks of a minority phase and could break percolation.</w:t>
      </w:r>
    </w:p>
    <w:p>
      <w:pPr>
        <w:pStyle w:val="ListParagraph"/>
        <w:numPr>
          <w:ilvl w:val="0"/>
          <w:numId w:val="5"/>
        </w:numPr>
        <w:spacing w:after="80" w:line="264"/>
      </w:pPr>
      <w:r>
        <w:rPr>
          <w:b/>
          <w:bCs/>
        </w:rPr>
        <w:t xml:space="preserve">Spanning check.</w:t>
      </w:r>
      <w:r>
        <w:t xml:space="preserve"> If no single cluster touches both faces along the transport axis, τ = ∞ and no solve is run.</w:t>
      </w:r>
    </w:p>
    <w:p>
      <w:pPr>
        <w:pStyle w:val="ListParagraph"/>
        <w:numPr>
          <w:ilvl w:val="0"/>
          <w:numId w:val="5"/>
        </w:numPr>
        <w:spacing w:after="80" w:line="264"/>
      </w:pPr>
      <w:r>
        <w:rPr>
          <w:b/>
          <w:bCs/>
        </w:rPr>
        <w:t xml:space="preserve">Diffusion solve.</w:t>
      </w:r>
      <w:r>
        <w:t xml:space="preserve"> TauFactor solves the steady-state diffusion (Laplace) equation on the voxel grid by an iterative finite-difference method. It fixes the concentration on the two faces normal to the transport axis and applies no-flux conditions on the side faces. It runs on a GPU through PyTorch when one is available [11].</w:t>
      </w:r>
    </w:p>
    <w:p>
      <w:pPr>
        <w:pStyle w:val="ListParagraph"/>
        <w:numPr>
          <w:ilvl w:val="0"/>
          <w:numId w:val="5"/>
        </w:numPr>
        <w:spacing w:after="80" w:line="264"/>
      </w:pPr>
      <w:r>
        <w:rPr>
          <w:b/>
          <w:bCs/>
        </w:rPr>
        <w:t xml:space="preserve">Convergence.</w:t>
      </w:r>
      <w:r>
        <w:t xml:space="preserve"> A solve stops when the flux mismatch between layers falls below 2 %, after 30 000 iterations, or after an optional time limit. Unconverged results are flagged and drawn as open symbols in the figures.</w:t>
      </w:r>
    </w:p>
    <w:p>
      <w:pPr>
        <w:spacing w:after="120" w:line="276"/>
      </w:pPr>
      <w:r>
        <w:rPr>
          <w:rFonts w:ascii="Consolas" w:cs="Consolas" w:eastAsia="Consolas" w:hAnsi="Consolas"/>
          <w:sz w:val="19"/>
          <w:szCs w:val="19"/>
        </w:rPr>
        <w:t xml:space="preserve">workstation.yaml</w:t>
      </w:r>
      <w:r>
        <w:t xml:space="preserve"> solves along x, y and z. </w:t>
      </w:r>
      <w:r>
        <w:rPr>
          <w:rFonts w:ascii="Consolas" w:cs="Consolas" w:eastAsia="Consolas" w:hAnsi="Consolas"/>
          <w:sz w:val="19"/>
          <w:szCs w:val="19"/>
        </w:rPr>
        <w:t xml:space="preserve">workstation_segmented.yaml</w:t>
      </w:r>
      <w:r>
        <w:t xml:space="preserve"> solves only along y, the through-thickness direction that the paper-style figures use. A CPU alternative based on PoreSpy's finite-difference tortuosity solver [12] can be selected in the configuration.</w:t>
      </w:r>
    </w:p>
    <w:p>
      <w:pPr>
        <w:pStyle w:val="Heading1"/>
        <w:spacing w:after="160" w:before="360"/>
      </w:pPr>
      <w:r>
        <w:t xml:space="preserve">9. Step 6: Grain segmentation and size analysis</w:t>
      </w:r>
    </w:p>
    <w:p>
      <w:pPr>
        <w:pStyle w:val="Heading2"/>
        <w:spacing w:after="120" w:before="240"/>
      </w:pPr>
      <w:r>
        <w:t xml:space="preserve">9.1 Splitting a phase into grains</w:t>
      </w:r>
    </w:p>
    <w:p>
      <w:pPr>
        <w:spacing w:after="120" w:line="276"/>
      </w:pPr>
      <w:r>
        <w:t xml:space="preserve">Touching particles of the same phase form one connected cluster. The production runs use a marker-controlled watershed to split them, based on scikit-image.</w:t>
      </w:r>
    </w:p>
    <w:p>
      <w:pPr>
        <w:pStyle w:val="ListParagraph"/>
        <w:numPr>
          <w:ilvl w:val="0"/>
          <w:numId w:val="6"/>
        </w:numPr>
        <w:spacing w:after="80" w:line="264"/>
      </w:pPr>
      <w:r>
        <w:t xml:space="preserve">The label volume is downsampled by 2 to 100 nm voxels for memory reasons, using the same volume-preserving rule as Section 8.</w:t>
      </w:r>
    </w:p>
    <w:p>
      <w:pPr>
        <w:pStyle w:val="ListParagraph"/>
        <w:numPr>
          <w:ilvl w:val="0"/>
          <w:numId w:val="6"/>
        </w:numPr>
        <w:spacing w:after="80" w:line="264"/>
      </w:pPr>
      <w:r>
        <w:t xml:space="preserve">The Euclidean distance transform gives each voxel its distance to the nearest voxel outside the phase. Particle centres become ridges in this map.</w:t>
      </w:r>
    </w:p>
    <w:p>
      <w:pPr>
        <w:pStyle w:val="ListParagraph"/>
        <w:numPr>
          <w:ilvl w:val="0"/>
          <w:numId w:val="6"/>
        </w:numPr>
        <w:spacing w:after="80" w:line="264"/>
      </w:pPr>
      <w:r>
        <w:t xml:space="preserve">The distance map is smoothed with a Gaussian filter (σ = 0.4 voxels).</w:t>
      </w:r>
    </w:p>
    <w:p>
      <w:pPr>
        <w:pStyle w:val="ListParagraph"/>
        <w:numPr>
          <w:ilvl w:val="0"/>
          <w:numId w:val="6"/>
        </w:numPr>
        <w:spacing w:after="80" w:line="264"/>
      </w:pPr>
      <w:r>
        <w:t xml:space="preserve">Markers are the h-maxima of the smoothed map with h = 2 voxels. These are regional maxima that rise at least h above their surroundings, which suppresses spurious peaks [15].</w:t>
      </w:r>
    </w:p>
    <w:p>
      <w:pPr>
        <w:pStyle w:val="ListParagraph"/>
        <w:numPr>
          <w:ilvl w:val="0"/>
          <w:numId w:val="6"/>
        </w:numPr>
        <w:spacing w:after="80" w:line="264"/>
      </w:pPr>
      <w:r>
        <w:t xml:space="preserve">A watershed of the inverted distance map, flooded from the markers and limited to the phase, assigns every voxel to one grain [14].</w:t>
      </w:r>
    </w:p>
    <w:p>
      <w:pPr>
        <w:pStyle w:val="ListParagraph"/>
        <w:numPr>
          <w:ilvl w:val="0"/>
          <w:numId w:val="6"/>
        </w:numPr>
        <w:spacing w:after="80" w:line="264"/>
      </w:pPr>
      <w:r>
        <w:t xml:space="preserve">Grains smaller than 64 voxels are merged into the neighbouring grain they share the most faces with. Those with no grain neighbour are dropped. Grains are then renumbered.</w:t>
      </w:r>
    </w:p>
    <w:p>
      <w:pPr>
        <w:spacing w:after="120" w:line="276"/>
      </w:pPr>
      <w:r>
        <w:t xml:space="preserve">An alternative, the SNOW algorithm of PoreSpy [13], can be selected. The code falls back to the watershed when PoreSpy is not installed.</w:t>
      </w:r>
    </w:p>
    <w:p>
      <w:pPr>
        <w:pStyle w:val="Heading2"/>
        <w:spacing w:after="120" w:before="240"/>
      </w:pPr>
      <w:r>
        <w:t xml:space="preserve">9.2 Per-grain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Quantity</w:t>
            </w:r>
          </w:p>
        </w:tc>
        <w:tc>
          <w:tcPr>
            <w:tcW w:type="dxa" w:w="62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Formula or method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Volume V</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voxel count × (voxel size)³</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Equivalent diameter 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diameter of a sphere with the same volume: d = (6V/π)</w:t>
            </w:r>
            <w:r>
              <w:rPr>
                <w:sz w:val="19"/>
                <w:szCs w:val="19"/>
                <w:vertAlign w:val="superscript"/>
              </w:rPr>
              <w:t xml:space="preserve">1/3</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Surface 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boundary voxel faces × (voxel size)² × 0.667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Sphericity ψ</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ψ = π</w:t>
            </w:r>
            <w:r>
              <w:rPr>
                <w:sz w:val="19"/>
                <w:szCs w:val="19"/>
                <w:vertAlign w:val="superscript"/>
              </w:rPr>
              <w:t xml:space="preserve">1/3</w:t>
            </w:r>
            <w:r>
              <w:rPr>
                <w:sz w:val="19"/>
                <w:szCs w:val="19"/>
              </w:rPr>
              <w:t xml:space="preserve"> · (6V)</w:t>
            </w:r>
            <w:r>
              <w:rPr>
                <w:sz w:val="19"/>
                <w:szCs w:val="19"/>
                <w:vertAlign w:val="superscript"/>
              </w:rPr>
              <w:t xml:space="preserve">2/3</w:t>
            </w:r>
            <w:r>
              <w:rPr>
                <w:sz w:val="19"/>
                <w:szCs w:val="19"/>
              </w:rPr>
              <w:t xml:space="preserve"> / S, which is 1 for a sphere [16]</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Contact area with phase p</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faces touching phase p × (voxel size)² × 0.667, and its share of 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Depth from collector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centroid position along y, measured from the collector face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Touches boundary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true if the grain touches any face of the volume, so its size is cut off</w:t>
            </w:r>
          </w:p>
        </w:tc>
      </w:tr>
    </w:tbl>
    <w:p>
      <w:pPr>
        <w:spacing w:after="200" w:before="60"/>
      </w:pPr>
      <w:r>
        <w:rPr>
          <w:i/>
          <w:iCs/>
          <w:color w:val="555555"/>
          <w:sz w:val="18"/>
          <w:szCs w:val="18"/>
        </w:rPr>
        <w:t xml:space="preserve">Table 4. Quantities written to grains_&lt;phase&gt;.csv, one row per grain.</w:t>
      </w:r>
    </w:p>
    <w:p>
      <w:pPr>
        <w:pStyle w:val="Heading2"/>
        <w:spacing w:after="120" w:before="240"/>
      </w:pPr>
      <w:r>
        <w:t xml:space="preserve">9.3 Size distribution</w:t>
      </w:r>
    </w:p>
    <w:p>
      <w:pPr>
        <w:spacing w:after="120" w:line="276"/>
      </w:pPr>
      <w:r>
        <w:t xml:space="preserve">Equivalent diameters are binned into 40 equal bins from zero to the largest grain. Both number-weighted and volume-weighted distributions are stored. The characteristic diameters d10, d50 and d90 are computed both ways. Number-weighted values are percentiles of the diameters. Volume-weighted values are read from the cumulative volume curve. The report uses the number-weighted d50.</w:t>
      </w:r>
    </w:p>
    <w:p>
      <w:pPr>
        <w:pStyle w:val="Heading1"/>
        <w:spacing w:after="160" w:before="360"/>
      </w:pPr>
      <w:r>
        <w:t xml:space="preserve">10. Step 7: Through-thickness profiles</w:t>
      </w:r>
    </w:p>
    <w:p>
      <w:pPr>
        <w:spacing w:after="120" w:line="276"/>
      </w:pPr>
      <w:r>
        <w:t xml:space="preserve">The volume is cut into slabs 1 µm thick along y, counted from the current-collector face. At 50 nm voxels, one slab is 20 voxels. Each slab gets the following values:</w:t>
      </w:r>
    </w:p>
    <w:p>
      <w:pPr>
        <w:pStyle w:val="ListParagraph"/>
        <w:numPr>
          <w:ilvl w:val="0"/>
          <w:numId w:val="2"/>
        </w:numPr>
        <w:spacing w:after="80" w:line="264"/>
      </w:pPr>
      <w:r>
        <w:t xml:space="preserve">Volume fraction of pore, LCO and LLZTO.</w:t>
      </w:r>
    </w:p>
    <w:p>
      <w:pPr>
        <w:pStyle w:val="ListParagraph"/>
        <w:numPr>
          <w:ilvl w:val="0"/>
          <w:numId w:val="2"/>
        </w:numPr>
        <w:spacing w:after="80" w:line="264"/>
      </w:pPr>
      <w:r>
        <w:t xml:space="preserve">Connected fraction of LCO and LLZTO, from the connectivity labels.</w:t>
      </w:r>
    </w:p>
    <w:p>
      <w:pPr>
        <w:pStyle w:val="ListParagraph"/>
        <w:numPr>
          <w:ilvl w:val="0"/>
          <w:numId w:val="2"/>
        </w:numPr>
        <w:spacing w:after="80" w:line="264"/>
      </w:pPr>
      <w:r>
        <w:t xml:space="preserve">LCO–LLZTO interface density in 1/µm, from the corrected voxel-face count divided by the slab volume.</w:t>
      </w:r>
    </w:p>
    <w:p>
      <w:pPr>
        <w:pStyle w:val="ListParagraph"/>
        <w:numPr>
          <w:ilvl w:val="0"/>
          <w:numId w:val="2"/>
        </w:numPr>
        <w:spacing w:after="80" w:line="264"/>
      </w:pPr>
      <w:r>
        <w:t xml:space="preserve">Grain count and grain density, counting grains whose centroid lies in the slab.</w:t>
      </w:r>
    </w:p>
    <w:p>
      <w:pPr>
        <w:spacing w:after="120" w:line="276"/>
      </w:pPr>
      <w:r>
        <w:t xml:space="preserve">Positions are given in µm and normalised to the cathode thickness from 0 to 1. The results are written as a long-format table in </w:t>
      </w:r>
      <w:r>
        <w:rPr>
          <w:rFonts w:ascii="Consolas" w:cs="Consolas" w:eastAsia="Consolas" w:hAnsi="Consolas"/>
          <w:sz w:val="19"/>
          <w:szCs w:val="19"/>
        </w:rPr>
        <w:t xml:space="preserve">profiles.csv</w:t>
      </w:r>
      <w:r>
        <w:t xml:space="preserve">.</w:t>
      </w:r>
    </w:p>
    <w:p>
      <w:pPr>
        <w:pStyle w:val="Heading1"/>
        <w:spacing w:after="160" w:before="360"/>
      </w:pPr>
      <w:r>
        <w:t xml:space="preserve">11. Step 8: Report and figures</w:t>
      </w:r>
    </w:p>
    <w:p>
      <w:pPr>
        <w:pStyle w:val="Heading2"/>
        <w:spacing w:after="120" w:before="240"/>
      </w:pPr>
      <w:r>
        <w:t xml:space="preserve">11.1 Summary tables</w:t>
      </w:r>
    </w:p>
    <w:p>
      <w:pPr>
        <w:spacing w:after="120" w:line="276"/>
      </w:pPr>
      <w:r>
        <w:t xml:space="preserve">The report stage reads every sample's JSON results and flattens them into one row per sample. It writes </w:t>
      </w:r>
      <w:r>
        <w:rPr>
          <w:rFonts w:ascii="Consolas" w:cs="Consolas" w:eastAsia="Consolas" w:hAnsi="Consolas"/>
          <w:sz w:val="19"/>
          <w:szCs w:val="19"/>
        </w:rPr>
        <w:t xml:space="preserve">summary.csv</w:t>
      </w:r>
      <w:r>
        <w:t xml:space="preserve"> in wide format, </w:t>
      </w:r>
      <w:r>
        <w:rPr>
          <w:rFonts w:ascii="Consolas" w:cs="Consolas" w:eastAsia="Consolas" w:hAnsi="Consolas"/>
          <w:sz w:val="19"/>
          <w:szCs w:val="19"/>
        </w:rPr>
        <w:t xml:space="preserve">summary_long.csv</w:t>
      </w:r>
      <w:r>
        <w:t xml:space="preserve"> with one row per sample and metric, and </w:t>
      </w:r>
      <w:r>
        <w:rPr>
          <w:rFonts w:ascii="Consolas" w:cs="Consolas" w:eastAsia="Consolas" w:hAnsi="Consolas"/>
          <w:sz w:val="19"/>
          <w:szCs w:val="19"/>
        </w:rPr>
        <w:t xml:space="preserve">summary.json</w:t>
      </w:r>
      <w:r>
        <w:t xml:space="preserve">. Missing stages are tolerated and appear as empty values.</w:t>
      </w:r>
    </w:p>
    <w:p>
      <w:pPr>
        <w:pStyle w:val="Heading2"/>
        <w:spacing w:after="120" w:before="240"/>
      </w:pPr>
      <w:r>
        <w:t xml:space="preserve">11.2 Comparison figures</w:t>
      </w:r>
    </w:p>
    <w:p>
      <w:pPr>
        <w:spacing w:after="120" w:line="276"/>
      </w:pPr>
      <w:r>
        <w:t xml:space="preserve">Bar charts compare samples for volume fractions against the nominal LCO fraction, connectivity, total and active interface area, tortuosity and grain size. Line plots overlay the through-thickness profiles of all samples.</w:t>
      </w:r>
    </w:p>
    <w:p>
      <w:pPr>
        <w:pStyle w:val="Heading2"/>
        <w:spacing w:after="120" w:before="240"/>
      </w:pPr>
      <w:r>
        <w:t xml:space="preserve">11.3 Figures in the style of Clausnitzer et al.</w:t>
      </w:r>
    </w:p>
    <w:p>
      <w:pPr>
        <w:spacing w:after="120" w:line="276"/>
      </w:pPr>
      <w:r>
        <w:t xml:space="preserve">Three figures follow Figures 2, 3 and 7 of [1] and use the through-thickness direction only. Samples are placed by the solid volume fraction of LCO, which ignores porosity:</w:t>
      </w:r>
    </w:p>
    <w:p>
      <w:pPr>
        <w:spacing w:after="160" w:before="80"/>
        <w:jc w:val="center"/>
      </w:pPr>
      <w:r>
        <w:rPr>
          <w:rFonts w:ascii="Cambria Math" w:cs="Cambria Math" w:eastAsia="Cambria Math" w:hAnsi="Cambria Math"/>
          <w:sz w:val="23"/>
          <w:szCs w:val="23"/>
        </w:rPr>
        <w:t xml:space="preserve">SVF</w:t>
      </w:r>
      <w:r>
        <w:rPr>
          <w:rFonts w:ascii="Cambria Math" w:cs="Cambria Math" w:eastAsia="Cambria Math" w:hAnsi="Cambria Math"/>
          <w:sz w:val="23"/>
          <w:szCs w:val="23"/>
          <w:vertAlign w:val="subscript"/>
        </w:rPr>
        <w:t xml:space="preserve">LCO</w:t>
      </w:r>
      <w:r>
        <w:rPr>
          <w:rFonts w:ascii="Cambria Math" w:cs="Cambria Math" w:eastAsia="Cambria Math" w:hAnsi="Cambria Math"/>
          <w:sz w:val="23"/>
          <w:szCs w:val="23"/>
        </w:rPr>
        <w:t xml:space="preserve"> = V</w:t>
      </w:r>
      <w:r>
        <w:rPr>
          <w:rFonts w:ascii="Cambria Math" w:cs="Cambria Math" w:eastAsia="Cambria Math" w:hAnsi="Cambria Math"/>
          <w:sz w:val="23"/>
          <w:szCs w:val="23"/>
          <w:vertAlign w:val="subscript"/>
        </w:rPr>
        <w:t xml:space="preserve">LCO</w:t>
      </w:r>
      <w:r>
        <w:rPr>
          <w:rFonts w:ascii="Cambria Math" w:cs="Cambria Math" w:eastAsia="Cambria Math" w:hAnsi="Cambria Math"/>
          <w:sz w:val="23"/>
          <w:szCs w:val="23"/>
        </w:rPr>
        <w:t xml:space="preserve"> / ( V</w:t>
      </w:r>
      <w:r>
        <w:rPr>
          <w:rFonts w:ascii="Cambria Math" w:cs="Cambria Math" w:eastAsia="Cambria Math" w:hAnsi="Cambria Math"/>
          <w:sz w:val="23"/>
          <w:szCs w:val="23"/>
          <w:vertAlign w:val="subscript"/>
        </w:rPr>
        <w:t xml:space="preserve">LCO</w:t>
      </w:r>
      <w:r>
        <w:rPr>
          <w:rFonts w:ascii="Cambria Math" w:cs="Cambria Math" w:eastAsia="Cambria Math" w:hAnsi="Cambria Math"/>
          <w:sz w:val="23"/>
          <w:szCs w:val="23"/>
        </w:rPr>
        <w:t xml:space="preserve"> + V</w:t>
      </w:r>
      <w:r>
        <w:rPr>
          <w:rFonts w:ascii="Cambria Math" w:cs="Cambria Math" w:eastAsia="Cambria Math" w:hAnsi="Cambria Math"/>
          <w:sz w:val="23"/>
          <w:szCs w:val="23"/>
          <w:vertAlign w:val="subscript"/>
        </w:rPr>
        <w:t xml:space="preserve">LLZTO</w:t>
      </w:r>
      <w:r>
        <w:rPr>
          <w:rFonts w:ascii="Cambria Math" w:cs="Cambria Math" w:eastAsia="Cambria Math" w:hAnsi="Cambria Math"/>
          <w:sz w:val="23"/>
          <w:szCs w:val="23"/>
        </w:rPr>
        <w:t xml:space="preserve"> ) × 100 %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Figure file</w:t>
            </w:r>
          </w:p>
        </w:tc>
        <w:tc>
          <w:tcPr>
            <w:tcW w:type="dxa" w:w="54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Content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clausnitzer_fig2_connectivity_tortuosity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Connected fraction of LLZTO and LCO, plus 1/τ, against SVF</w:t>
            </w:r>
            <w:r>
              <w:rPr>
                <w:sz w:val="19"/>
                <w:szCs w:val="19"/>
                <w:vertAlign w:val="subscript"/>
              </w:rPr>
              <w:t xml:space="preserve">LCO</w:t>
            </w:r>
            <w:r>
              <w:rPr>
                <w:sz w:val="19"/>
                <w:szCs w:val="19"/>
              </w:rPr>
              <w:t xml:space="preserve">. A non-percolating phase is drawn at 1/τ = 0.</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clausnitzer_fig3_effective_conductivity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Normalised effective ionic (LLZTO) and electronic (LCO) conductivity ε/τ, on a log scale, against each phase's volume fraction.</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clausnitzer_fig7_tortuosity_active_area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τ of LLZTO, plus active and total LCO–LLZTO area per cathode volume in 1/cm, against SVF</w:t>
            </w:r>
            <w:r>
              <w:rPr>
                <w:sz w:val="19"/>
                <w:szCs w:val="19"/>
                <w:vertAlign w:val="subscript"/>
              </w:rPr>
              <w:t xml:space="preserve">LCO</w:t>
            </w:r>
            <w:r>
              <w:rPr>
                <w:sz w:val="19"/>
                <w:szCs w:val="19"/>
              </w:rPr>
              <w:t xml:space="preserve">. The title gives sinter density as 1 − porosity.</w:t>
            </w:r>
          </w:p>
        </w:tc>
      </w:tr>
    </w:tbl>
    <w:p>
      <w:pPr>
        <w:spacing w:after="200" w:before="60"/>
      </w:pPr>
      <w:r>
        <w:rPr>
          <w:i/>
          <w:iCs/>
          <w:color w:val="555555"/>
          <w:sz w:val="18"/>
          <w:szCs w:val="18"/>
        </w:rPr>
        <w:t xml:space="preserve">Table 5. Paper-style figures written to the figures folder.</w:t>
      </w:r>
    </w:p>
    <w:p>
      <w:pPr>
        <w:pStyle w:val="Heading1"/>
        <w:spacing w:after="160" w:before="360"/>
      </w:pPr>
      <w:r>
        <w:t xml:space="preserve">12. Software libraries used</w:t>
      </w:r>
    </w:p>
    <w:p>
      <w:pPr>
        <w:spacing w:after="120" w:line="276"/>
      </w:pPr>
      <w:r>
        <w:t xml:space="preserve">The pinned versions come from </w:t>
      </w:r>
      <w:r>
        <w:rPr>
          <w:rFonts w:ascii="Consolas" w:cs="Consolas" w:eastAsia="Consolas" w:hAnsi="Consolas"/>
          <w:sz w:val="19"/>
          <w:szCs w:val="19"/>
        </w:rPr>
        <w:t xml:space="preserve">requirements.txt</w:t>
      </w:r>
      <w:r>
        <w:t xml:space="preserve">, which targets Python 3.10 to 3.12. A conda file builds the same environment with Python 3.11.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Library and version</w:t>
            </w:r>
          </w:p>
        </w:tc>
        <w:tc>
          <w:tcPr>
            <w:tcW w:type="dxa" w:w="44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Used for</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Where in the code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NumPy</w:t>
            </w:r>
            <w:r>
              <w:rPr>
                <w:sz w:val="19"/>
                <w:szCs w:val="19"/>
              </w:rPr>
              <w:t xml:space="preserve"> 1.26.4 [17]</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array storage and arithmetic, histograms, look-up tables, block averaging, percentiles, statistics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module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SciPy</w:t>
            </w:r>
            <w:r>
              <w:rPr>
                <w:sz w:val="19"/>
                <w:szCs w:val="19"/>
              </w:rPr>
              <w:t xml:space="preserve"> 1.13.1 [18]</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scipy.ndimage</w:t>
            </w:r>
            <w:r>
              <w:rPr>
                <w:sz w:val="19"/>
                <w:szCs w:val="19"/>
              </w:rPr>
              <w:t xml:space="preserve">: connected-component labelling, neighbourhood structures, Gaussian and median filters, convolution for majority votes, Euclidean distance transform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segmentation, volume_ops, connectivity, surface, tortuosity, grains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scikit-image</w:t>
            </w:r>
            <w:r>
              <w:rPr>
                <w:sz w:val="19"/>
                <w:szCs w:val="19"/>
              </w:rPr>
              <w:t xml:space="preserve"> 0.24.0 [19]</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Multi-Otsu thresholds, marching cubes and mesh area, h-maxima, watershed, region properties, label renumbering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segmentation, surface, grains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TauFactor</w:t>
            </w:r>
            <w:r>
              <w:rPr>
                <w:sz w:val="19"/>
                <w:szCs w:val="19"/>
              </w:rPr>
              <w:t xml:space="preserve"> 1.1.0 [11]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Tortuosity solver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tortuosity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PyTorch</w:t>
            </w:r>
            <w:r>
              <w:rPr>
                <w:sz w:val="19"/>
                <w:szCs w:val="19"/>
              </w:rPr>
              <w:t xml:space="preserve"> 2.4.1 [22]</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Computing back end for TauFactor and detection of a CUDA GPU</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tortuosity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PoreSpy</w:t>
            </w:r>
            <w:r>
              <w:rPr>
                <w:sz w:val="19"/>
                <w:szCs w:val="19"/>
              </w:rPr>
              <w:t xml:space="preserve"> 2.4.1 [12]</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Optional SNOW grain partitioning and optional CPU tortuosity solver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grains, tortuosity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pandas</w:t>
            </w:r>
            <w:r>
              <w:rPr>
                <w:sz w:val="19"/>
                <w:szCs w:val="19"/>
              </w:rPr>
              <w:t xml:space="preserve"> 2.2.3 [21]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Per-grain tables, profile tables, summary tables and CSV export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grains, profiles, report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Matplotlib</w:t>
            </w:r>
            <w:r>
              <w:rPr>
                <w:sz w:val="19"/>
                <w:szCs w:val="19"/>
              </w:rPr>
              <w:t xml:space="preserve"> 3.9.2 [20]</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figures, drawn headless with the Agg back end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plotting, paper_figures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tifffile</w:t>
            </w:r>
            <w:r>
              <w:rPr>
                <w:sz w:val="19"/>
                <w:szCs w:val="19"/>
              </w:rPr>
              <w:t xml:space="preserve"> 2024.8.30 [23]</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Reading TIFF slices and multipage stacks, writing compressed TIFF labels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imagecodecs</w:t>
            </w:r>
            <w:r>
              <w:rPr>
                <w:sz w:val="19"/>
                <w:szCs w:val="19"/>
              </w:rPr>
              <w:t xml:space="preserve"> 2024.6.1 [24]</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Compression codecs that tifffile needs for compressed TIFFs; not imported directly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indirect, through tifffile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PyYAML</w:t>
            </w:r>
            <w:r>
              <w:rPr>
                <w:sz w:val="19"/>
                <w:szCs w:val="19"/>
              </w:rPr>
              <w:t xml:space="preserve"> 6.0.2 [25]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Reading and writing the configuration files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psutil</w:t>
            </w:r>
            <w:r>
              <w:rPr>
                <w:sz w:val="19"/>
                <w:szCs w:val="19"/>
              </w:rPr>
              <w:t xml:space="preserve"> 6.0.0 [26]</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Logging peak memory use per stage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tqdm</w:t>
            </w:r>
            <w:r>
              <w:rPr>
                <w:sz w:val="19"/>
                <w:szCs w:val="19"/>
              </w:rPr>
              <w:t xml:space="preserve"> 4.66.5 [27]</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Listed in the requirements but not imported by the package code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found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pytest</w:t>
            </w:r>
            <w:r>
              <w:rPr>
                <w:sz w:val="19"/>
                <w:szCs w:val="19"/>
              </w:rPr>
              <w:t xml:space="preserve"> 8.3.3 [28]</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suite, including an end-to-end test on a synthetic phantom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standard library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Command line (argparse), logging, JSON output, parallel slice reading (concurrent.futures), memory monitor thread (threading), file paths (pathlib)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 pipeline, io</w:t>
            </w:r>
          </w:p>
        </w:tc>
      </w:tr>
    </w:tbl>
    <w:p>
      <w:pPr>
        <w:spacing w:after="200" w:before="60"/>
      </w:pPr>
      <w:r>
        <w:rPr>
          <w:i/>
          <w:iCs/>
          <w:color w:val="555555"/>
          <w:sz w:val="18"/>
          <w:szCs w:val="18"/>
        </w:rPr>
        <w:t xml:space="preserve">Table 6. Libraries, their role and the modules that use them.</w:t>
      </w:r>
    </w:p>
    <w:p>
      <w:pPr>
        <w:pStyle w:val="Heading1"/>
        <w:spacing w:after="160" w:before="360"/>
      </w:pPr>
      <w:r>
        <w:t xml:space="preserve">13. Notes and limitations</w:t>
      </w:r>
    </w:p>
    <w:p>
      <w:pPr>
        <w:pStyle w:val="ListParagraph"/>
        <w:numPr>
          <w:ilvl w:val="0"/>
          <w:numId w:val="2"/>
        </w:numPr>
        <w:spacing w:after="80" w:line="264"/>
      </w:pPr>
      <w:r>
        <w:rPr>
          <w:b/>
          <w:bCs/>
        </w:rPr>
        <w:t xml:space="preserve">Downsampling for two stages.</w:t>
      </w:r>
      <w:r>
        <w:t xml:space="preserve"> Tortuosity and grains run at 100 nm voxels while the other stages use 50 nm. Small grains and thin necks are resolved less finely there.</w:t>
      </w:r>
    </w:p>
    <w:p>
      <w:pPr>
        <w:pStyle w:val="ListParagraph"/>
        <w:numPr>
          <w:ilvl w:val="0"/>
          <w:numId w:val="2"/>
        </w:numPr>
        <w:spacing w:after="80" w:line="264"/>
      </w:pPr>
      <w:r>
        <w:rPr>
          <w:b/>
          <w:bCs/>
        </w:rPr>
        <w:t xml:space="preserve">Chunk borders.</w:t>
      </w:r>
      <w:r>
        <w:t xml:space="preserve"> Island removal and cavity filling keep any object that crosses a chunk border. A few small objects may therefore survive clean-up.</w:t>
      </w:r>
    </w:p>
    <w:p>
      <w:pPr>
        <w:pStyle w:val="ListParagraph"/>
        <w:numPr>
          <w:ilvl w:val="0"/>
          <w:numId w:val="2"/>
        </w:numPr>
        <w:spacing w:after="80" w:line="264"/>
      </w:pPr>
      <w:r>
        <w:rPr>
          <w:b/>
          <w:bCs/>
        </w:rPr>
        <w:t xml:space="preserve">Area correction.</w:t>
      </w:r>
      <w:r>
        <w:t xml:space="preserve"> The 0.667 factor is exact only on average over random orientations. It applies to the grain and profile areas, not to the main marching cubes interface area.</w:t>
      </w:r>
    </w:p>
    <w:p>
      <w:pPr>
        <w:pStyle w:val="ListParagraph"/>
        <w:numPr>
          <w:ilvl w:val="0"/>
          <w:numId w:val="2"/>
        </w:numPr>
        <w:spacing w:after="80" w:line="264"/>
      </w:pPr>
      <w:r>
        <w:rPr>
          <w:b/>
          <w:bCs/>
        </w:rPr>
        <w:t xml:space="preserve">Grain boundaries.</w:t>
      </w:r>
      <w:r>
        <w:t xml:space="preserve"> Grains touching the volume boundary are kept in the size distribution, and the flag allows them to be filtered later.</w:t>
      </w:r>
    </w:p>
    <w:p>
      <w:pPr>
        <w:pStyle w:val="ListParagraph"/>
        <w:numPr>
          <w:ilvl w:val="0"/>
          <w:numId w:val="2"/>
        </w:numPr>
        <w:spacing w:after="80" w:line="264"/>
      </w:pPr>
      <w:r>
        <w:rPr>
          <w:b/>
          <w:bCs/>
        </w:rPr>
        <w:t xml:space="preserve">Unused option.</w:t>
      </w:r>
      <w:r>
        <w:t xml:space="preserve"> The configuration key for overlaying literature values from a CSV is not read anywhere in the code, so setting it has no effect.</w:t>
      </w:r>
    </w:p>
    <w:p>
      <w:pPr>
        <w:pStyle w:val="ListParagraph"/>
        <w:numPr>
          <w:ilvl w:val="0"/>
          <w:numId w:val="2"/>
        </w:numPr>
        <w:spacing w:after="80" w:line="264"/>
      </w:pPr>
      <w:r>
        <w:rPr>
          <w:b/>
          <w:bCs/>
        </w:rPr>
        <w:t xml:space="preserve">Derived figure data.</w:t>
      </w:r>
      <w:r>
        <w:t xml:space="preserve"> The values plotted in the paper-style figures, such as SVF</w:t>
      </w:r>
      <w:r>
        <w:rPr>
          <w:vertAlign w:val="subscript"/>
        </w:rPr>
        <w:t xml:space="preserve">LCO</w:t>
      </w:r>
      <w:r>
        <w:t xml:space="preserve"> and 1/τ, are computed in memory and not saved to a file. They can be recomputed from </w:t>
      </w:r>
      <w:r>
        <w:rPr>
          <w:rFonts w:ascii="Consolas" w:cs="Consolas" w:eastAsia="Consolas" w:hAnsi="Consolas"/>
          <w:sz w:val="19"/>
          <w:szCs w:val="19"/>
        </w:rPr>
        <w:t xml:space="preserve">summary.csv</w:t>
      </w:r>
      <w:r>
        <w:t xml:space="preserve">.</w:t>
      </w:r>
    </w:p>
    <w:p>
      <w:pPr>
        <w:pStyle w:val="Heading1"/>
        <w:spacing w:after="160" w:before="360"/>
      </w:pPr>
      <w:r>
        <w:t xml:space="preserve">14. References</w:t>
      </w:r>
    </w:p>
    <w:p>
      <w:pPr>
        <w:tabs>
          <w:tab w:val="left" w:pos="540"/>
        </w:tabs>
        <w:spacing w:after="80" w:line="252"/>
        <w:ind w:left="540" w:hanging="540"/>
      </w:pPr>
      <w:r>
        <w:rPr>
          <w:sz w:val="19"/>
          <w:szCs w:val="19"/>
        </w:rPr>
        <w:t xml:space="preserve">[1]	</w:t>
      </w:r>
      <w:r>
        <w:rPr>
          <w:sz w:val="19"/>
          <w:szCs w:val="19"/>
        </w:rPr>
        <w:t xml:space="preserve">Clausnitzer, M., et al. (2023). Optimizing the composite cathode microstructure in all-solid-state batteries by structure-resolved simulations. </w:t>
      </w:r>
      <w:r>
        <w:rPr>
          <w:i/>
          <w:iCs/>
          <w:sz w:val="19"/>
          <w:szCs w:val="19"/>
        </w:rPr>
        <w:t xml:space="preserve">Batteries &amp; Supercaps</w:t>
      </w:r>
      <w:r>
        <w:rPr>
          <w:sz w:val="19"/>
          <w:szCs w:val="19"/>
        </w:rPr>
        <w:t xml:space="preserve">, 6(11), e202300167. https://doi.org/10.1002/batt.202300167</w:t>
      </w:r>
    </w:p>
    <w:p>
      <w:pPr>
        <w:tabs>
          <w:tab w:val="left" w:pos="540"/>
        </w:tabs>
        <w:spacing w:after="80" w:line="252"/>
        <w:ind w:left="540" w:hanging="540"/>
      </w:pPr>
      <w:r>
        <w:rPr>
          <w:sz w:val="19"/>
          <w:szCs w:val="19"/>
        </w:rPr>
        <w:t xml:space="preserve">[2]	</w:t>
      </w:r>
      <w:r>
        <w:rPr>
          <w:sz w:val="19"/>
          <w:szCs w:val="19"/>
        </w:rPr>
        <w:t xml:space="preserve">Otsu, N. (1979). A threshold selection method from gray-level histograms. </w:t>
      </w:r>
      <w:r>
        <w:rPr>
          <w:i/>
          <w:iCs/>
          <w:sz w:val="19"/>
          <w:szCs w:val="19"/>
        </w:rPr>
        <w:t xml:space="preserve">IEEE Transactions on Systems, Man, and Cybernetics</w:t>
      </w:r>
      <w:r>
        <w:rPr>
          <w:sz w:val="19"/>
          <w:szCs w:val="19"/>
        </w:rPr>
        <w:t xml:space="preserve">, 9(1), 62–66. https://doi.org/10.1109/TSMC.1979.4310076</w:t>
      </w:r>
    </w:p>
    <w:p>
      <w:pPr>
        <w:tabs>
          <w:tab w:val="left" w:pos="540"/>
        </w:tabs>
        <w:spacing w:after="80" w:line="252"/>
        <w:ind w:left="540" w:hanging="540"/>
      </w:pPr>
      <w:r>
        <w:rPr>
          <w:sz w:val="19"/>
          <w:szCs w:val="19"/>
        </w:rPr>
        <w:t xml:space="preserve">[3]	</w:t>
      </w:r>
      <w:r>
        <w:rPr>
          <w:sz w:val="19"/>
          <w:szCs w:val="19"/>
        </w:rPr>
        <w:t xml:space="preserve">Liao, P.-S., Chen, T.-S., &amp; Chung, P.-C. (2001). A fast algorithm for multilevel thresholding. </w:t>
      </w:r>
      <w:r>
        <w:rPr>
          <w:i/>
          <w:iCs/>
          <w:sz w:val="19"/>
          <w:szCs w:val="19"/>
        </w:rPr>
        <w:t xml:space="preserve">Journal of Information Science and Engineering</w:t>
      </w:r>
      <w:r>
        <w:rPr>
          <w:sz w:val="19"/>
          <w:szCs w:val="19"/>
        </w:rPr>
        <w:t xml:space="preserve">, 17(5), 713–727.</w:t>
      </w:r>
    </w:p>
    <w:p>
      <w:pPr>
        <w:tabs>
          <w:tab w:val="left" w:pos="540"/>
        </w:tabs>
        <w:spacing w:after="80" w:line="252"/>
        <w:ind w:left="540" w:hanging="540"/>
      </w:pPr>
      <w:r>
        <w:rPr>
          <w:sz w:val="19"/>
          <w:szCs w:val="19"/>
        </w:rPr>
        <w:t xml:space="preserve">[4]	</w:t>
      </w:r>
      <w:r>
        <w:rPr>
          <w:sz w:val="19"/>
          <w:szCs w:val="19"/>
        </w:rPr>
        <w:t xml:space="preserve">Lloyd, S. (1982). Least squares quantization in PCM. </w:t>
      </w:r>
      <w:r>
        <w:rPr>
          <w:i/>
          <w:iCs/>
          <w:sz w:val="19"/>
          <w:szCs w:val="19"/>
        </w:rPr>
        <w:t xml:space="preserve">IEEE Transactions on Information Theory</w:t>
      </w:r>
      <w:r>
        <w:rPr>
          <w:sz w:val="19"/>
          <w:szCs w:val="19"/>
        </w:rPr>
        <w:t xml:space="preserve">, 28(2), 129–137. https://doi.org/10.1109/TIT.1982.1056489</w:t>
      </w:r>
    </w:p>
    <w:p>
      <w:pPr>
        <w:tabs>
          <w:tab w:val="left" w:pos="540"/>
        </w:tabs>
        <w:spacing w:after="80" w:line="252"/>
        <w:ind w:left="540" w:hanging="540"/>
      </w:pPr>
      <w:r>
        <w:rPr>
          <w:sz w:val="19"/>
          <w:szCs w:val="19"/>
        </w:rPr>
        <w:t xml:space="preserve">[5]	</w:t>
      </w:r>
      <w:r>
        <w:rPr>
          <w:sz w:val="19"/>
          <w:szCs w:val="19"/>
        </w:rPr>
        <w:t xml:space="preserve">Rosenfeld, A., &amp; Pfaltz, J. L. (1966). Sequential operations in digital picture processing. </w:t>
      </w:r>
      <w:r>
        <w:rPr>
          <w:i/>
          <w:iCs/>
          <w:sz w:val="19"/>
          <w:szCs w:val="19"/>
        </w:rPr>
        <w:t xml:space="preserve">Journal of the ACM</w:t>
      </w:r>
      <w:r>
        <w:rPr>
          <w:sz w:val="19"/>
          <w:szCs w:val="19"/>
        </w:rPr>
        <w:t xml:space="preserve">, 13(4), 471–494. https://doi.org/10.1145/321356.321357</w:t>
      </w:r>
    </w:p>
    <w:p>
      <w:pPr>
        <w:tabs>
          <w:tab w:val="left" w:pos="540"/>
        </w:tabs>
        <w:spacing w:after="80" w:line="252"/>
        <w:ind w:left="540" w:hanging="540"/>
      </w:pPr>
      <w:r>
        <w:rPr>
          <w:sz w:val="19"/>
          <w:szCs w:val="19"/>
        </w:rPr>
        <w:t xml:space="preserve">[6]	</w:t>
      </w:r>
      <w:r>
        <w:rPr>
          <w:sz w:val="19"/>
          <w:szCs w:val="19"/>
        </w:rPr>
        <w:t xml:space="preserve">Lorensen, W. E., &amp; Cline, H. E. (1987). Marching cubes: A high resolution 3D surface construction algorithm. </w:t>
      </w:r>
      <w:r>
        <w:rPr>
          <w:i/>
          <w:iCs/>
          <w:sz w:val="19"/>
          <w:szCs w:val="19"/>
        </w:rPr>
        <w:t xml:space="preserve">ACM SIGGRAPH Computer Graphics</w:t>
      </w:r>
      <w:r>
        <w:rPr>
          <w:sz w:val="19"/>
          <w:szCs w:val="19"/>
        </w:rPr>
        <w:t xml:space="preserve">, 21(4), 163–169. https://doi.org/10.1145/37402.37422</w:t>
      </w:r>
    </w:p>
    <w:p>
      <w:pPr>
        <w:tabs>
          <w:tab w:val="left" w:pos="540"/>
        </w:tabs>
        <w:spacing w:after="80" w:line="252"/>
        <w:ind w:left="540" w:hanging="540"/>
      </w:pPr>
      <w:r>
        <w:rPr>
          <w:sz w:val="19"/>
          <w:szCs w:val="19"/>
        </w:rPr>
        <w:t xml:space="preserve">[7]	</w:t>
      </w:r>
      <w:r>
        <w:rPr>
          <w:sz w:val="19"/>
          <w:szCs w:val="19"/>
        </w:rPr>
        <w:t xml:space="preserve">Lewiner, T., Lopes, H., Vieira, A. W., &amp; Tavares, G. (2003). Efficient implementation of marching cubes' cases with topological guarantees. </w:t>
      </w:r>
      <w:r>
        <w:rPr>
          <w:i/>
          <w:iCs/>
          <w:sz w:val="19"/>
          <w:szCs w:val="19"/>
        </w:rPr>
        <w:t xml:space="preserve">Journal of Graphics Tools</w:t>
      </w:r>
      <w:r>
        <w:rPr>
          <w:sz w:val="19"/>
          <w:szCs w:val="19"/>
        </w:rPr>
        <w:t xml:space="preserve">, 8(2), 1–15. https://doi.org/10.1080/10867651.2003.10487582</w:t>
      </w:r>
    </w:p>
    <w:p>
      <w:pPr>
        <w:tabs>
          <w:tab w:val="left" w:pos="540"/>
        </w:tabs>
        <w:spacing w:after="80" w:line="252"/>
        <w:ind w:left="540" w:hanging="540"/>
      </w:pPr>
      <w:r>
        <w:rPr>
          <w:sz w:val="19"/>
          <w:szCs w:val="19"/>
        </w:rPr>
        <w:t xml:space="preserve">[8]	</w:t>
      </w:r>
      <w:r>
        <w:rPr>
          <w:sz w:val="19"/>
          <w:szCs w:val="19"/>
        </w:rPr>
        <w:t xml:space="preserve">Lindblad, J. (2005). Surface area estimation of digitized 3D objects using weighted local configurations. </w:t>
      </w:r>
      <w:r>
        <w:rPr>
          <w:i/>
          <w:iCs/>
          <w:sz w:val="19"/>
          <w:szCs w:val="19"/>
        </w:rPr>
        <w:t xml:space="preserve">Image and Vision Computing</w:t>
      </w:r>
      <w:r>
        <w:rPr>
          <w:sz w:val="19"/>
          <w:szCs w:val="19"/>
        </w:rPr>
        <w:t xml:space="preserve">, 23(2), 111–122. https://doi.org/10.1016/j.imavis.2004.06.012</w:t>
      </w:r>
    </w:p>
    <w:p>
      <w:pPr>
        <w:tabs>
          <w:tab w:val="left" w:pos="540"/>
        </w:tabs>
        <w:spacing w:after="80" w:line="252"/>
        <w:ind w:left="540" w:hanging="540"/>
      </w:pPr>
      <w:r>
        <w:rPr>
          <w:sz w:val="19"/>
          <w:szCs w:val="19"/>
        </w:rPr>
        <w:t xml:space="preserve">[9]	</w:t>
      </w:r>
      <w:r>
        <w:rPr>
          <w:sz w:val="19"/>
          <w:szCs w:val="19"/>
        </w:rPr>
        <w:t xml:space="preserve">Epstein, N. (1989). On tortuosity and the tortuosity factor in flow and diffusion through porous media. </w:t>
      </w:r>
      <w:r>
        <w:rPr>
          <w:i/>
          <w:iCs/>
          <w:sz w:val="19"/>
          <w:szCs w:val="19"/>
        </w:rPr>
        <w:t xml:space="preserve">Chemical Engineering Science</w:t>
      </w:r>
      <w:r>
        <w:rPr>
          <w:sz w:val="19"/>
          <w:szCs w:val="19"/>
        </w:rPr>
        <w:t xml:space="preserve">, 44(3), 777–779. https://doi.org/10.1016/0009-2509(89)85053-5</w:t>
      </w:r>
    </w:p>
    <w:p>
      <w:pPr>
        <w:tabs>
          <w:tab w:val="left" w:pos="540"/>
        </w:tabs>
        <w:spacing w:after="80" w:line="252"/>
        <w:ind w:left="540" w:hanging="540"/>
      </w:pPr>
      <w:r>
        <w:rPr>
          <w:sz w:val="19"/>
          <w:szCs w:val="19"/>
        </w:rPr>
        <w:t xml:space="preserve">[10]	</w:t>
      </w:r>
      <w:r>
        <w:rPr>
          <w:sz w:val="19"/>
          <w:szCs w:val="19"/>
        </w:rPr>
        <w:t xml:space="preserve">Cooper, S. J., Bertei, A., Shearing, P. R., Kilner, J. A., &amp; Brandon, N. P. (2016). TauFactor: An open-source application for calculating tortuosity factors from tomographic data. </w:t>
      </w:r>
      <w:r>
        <w:rPr>
          <w:i/>
          <w:iCs/>
          <w:sz w:val="19"/>
          <w:szCs w:val="19"/>
        </w:rPr>
        <w:t xml:space="preserve">SoftwareX</w:t>
      </w:r>
      <w:r>
        <w:rPr>
          <w:sz w:val="19"/>
          <w:szCs w:val="19"/>
        </w:rPr>
        <w:t xml:space="preserve">, 5, 203–210. https://doi.org/10.1016/j.softx.2016.09.002</w:t>
      </w:r>
    </w:p>
    <w:p>
      <w:pPr>
        <w:tabs>
          <w:tab w:val="left" w:pos="540"/>
        </w:tabs>
        <w:spacing w:after="80" w:line="252"/>
        <w:ind w:left="540" w:hanging="540"/>
      </w:pPr>
      <w:r>
        <w:rPr>
          <w:sz w:val="19"/>
          <w:szCs w:val="19"/>
        </w:rPr>
        <w:t xml:space="preserve">[11]	</w:t>
      </w:r>
      <w:r>
        <w:rPr>
          <w:sz w:val="19"/>
          <w:szCs w:val="19"/>
        </w:rPr>
        <w:t xml:space="preserve">Kench, S., Squires, I., &amp; Cooper, S. J. (2023). TauFactor 2: A GPU accelerated python tool for microstructural analysis. </w:t>
      </w:r>
      <w:r>
        <w:rPr>
          <w:i/>
          <w:iCs/>
          <w:sz w:val="19"/>
          <w:szCs w:val="19"/>
        </w:rPr>
        <w:t xml:space="preserve">Journal of Open Source Software</w:t>
      </w:r>
      <w:r>
        <w:rPr>
          <w:sz w:val="19"/>
          <w:szCs w:val="19"/>
        </w:rPr>
        <w:t xml:space="preserve">, 8(88), 5358. https://doi.org/10.21105/joss.05358</w:t>
      </w:r>
    </w:p>
    <w:p>
      <w:pPr>
        <w:tabs>
          <w:tab w:val="left" w:pos="540"/>
        </w:tabs>
        <w:spacing w:after="80" w:line="252"/>
        <w:ind w:left="540" w:hanging="540"/>
      </w:pPr>
      <w:r>
        <w:rPr>
          <w:sz w:val="19"/>
          <w:szCs w:val="19"/>
        </w:rPr>
        <w:t xml:space="preserve">[12]	</w:t>
      </w:r>
      <w:r>
        <w:rPr>
          <w:sz w:val="19"/>
          <w:szCs w:val="19"/>
        </w:rPr>
        <w:t xml:space="preserve">Gostick, J. T., Khan, Z. A., Tranter, T. G., Kok, M. D. R., Agnaou, M., Sadeghi, M., &amp; Jervis, R. (2019). PoreSpy: A Python toolkit for quantitative analysis of porous media images. </w:t>
      </w:r>
      <w:r>
        <w:rPr>
          <w:i/>
          <w:iCs/>
          <w:sz w:val="19"/>
          <w:szCs w:val="19"/>
        </w:rPr>
        <w:t xml:space="preserve">Journal of Open Source Software</w:t>
      </w:r>
      <w:r>
        <w:rPr>
          <w:sz w:val="19"/>
          <w:szCs w:val="19"/>
        </w:rPr>
        <w:t xml:space="preserve">, 4(37), 1296. https://doi.org/10.21105/joss.01296</w:t>
      </w:r>
    </w:p>
    <w:p>
      <w:pPr>
        <w:tabs>
          <w:tab w:val="left" w:pos="540"/>
        </w:tabs>
        <w:spacing w:after="80" w:line="252"/>
        <w:ind w:left="540" w:hanging="540"/>
      </w:pPr>
      <w:r>
        <w:rPr>
          <w:sz w:val="19"/>
          <w:szCs w:val="19"/>
        </w:rPr>
        <w:t xml:space="preserve">[13]	</w:t>
      </w:r>
      <w:r>
        <w:rPr>
          <w:sz w:val="19"/>
          <w:szCs w:val="19"/>
        </w:rPr>
        <w:t xml:space="preserve">Gostick, J. T. (2017). Versatile and efficient pore network extraction method using marker-based watershed segmentation. </w:t>
      </w:r>
      <w:r>
        <w:rPr>
          <w:i/>
          <w:iCs/>
          <w:sz w:val="19"/>
          <w:szCs w:val="19"/>
        </w:rPr>
        <w:t xml:space="preserve">Physical Review E</w:t>
      </w:r>
      <w:r>
        <w:rPr>
          <w:sz w:val="19"/>
          <w:szCs w:val="19"/>
        </w:rPr>
        <w:t xml:space="preserve">, 96, 023307. https://doi.org/10.1103/PhysRevE.96.023307</w:t>
      </w:r>
    </w:p>
    <w:p>
      <w:pPr>
        <w:tabs>
          <w:tab w:val="left" w:pos="540"/>
        </w:tabs>
        <w:spacing w:after="80" w:line="252"/>
        <w:ind w:left="540" w:hanging="540"/>
      </w:pPr>
      <w:r>
        <w:rPr>
          <w:sz w:val="19"/>
          <w:szCs w:val="19"/>
        </w:rPr>
        <w:t xml:space="preserve">[14]	</w:t>
      </w:r>
      <w:r>
        <w:rPr>
          <w:sz w:val="19"/>
          <w:szCs w:val="19"/>
        </w:rPr>
        <w:t xml:space="preserve">Vincent, L., &amp; Soille, P. (1991). Watersheds in digital spaces: An efficient algorithm based on immersion simulations. </w:t>
      </w:r>
      <w:r>
        <w:rPr>
          <w:i/>
          <w:iCs/>
          <w:sz w:val="19"/>
          <w:szCs w:val="19"/>
        </w:rPr>
        <w:t xml:space="preserve">IEEE Transactions on Pattern Analysis and Machine Intelligence</w:t>
      </w:r>
      <w:r>
        <w:rPr>
          <w:sz w:val="19"/>
          <w:szCs w:val="19"/>
        </w:rPr>
        <w:t xml:space="preserve">, 13(6), 583–598. https://doi.org/10.1109/34.87344</w:t>
      </w:r>
    </w:p>
    <w:p>
      <w:pPr>
        <w:tabs>
          <w:tab w:val="left" w:pos="540"/>
        </w:tabs>
        <w:spacing w:after="80" w:line="252"/>
        <w:ind w:left="540" w:hanging="540"/>
      </w:pPr>
      <w:r>
        <w:rPr>
          <w:sz w:val="19"/>
          <w:szCs w:val="19"/>
        </w:rPr>
        <w:t xml:space="preserve">[15]	</w:t>
      </w:r>
      <w:r>
        <w:rPr>
          <w:sz w:val="19"/>
          <w:szCs w:val="19"/>
        </w:rPr>
        <w:t xml:space="preserve">Soille, P. (2003). </w:t>
      </w:r>
      <w:r>
        <w:rPr>
          <w:i/>
          <w:iCs/>
          <w:sz w:val="19"/>
          <w:szCs w:val="19"/>
        </w:rPr>
        <w:t xml:space="preserve">Morphological Image Analysis: Principles and Applications</w:t>
      </w:r>
      <w:r>
        <w:rPr>
          <w:sz w:val="19"/>
          <w:szCs w:val="19"/>
        </w:rPr>
        <w:t xml:space="preserve"> (2nd ed.). Springer. https://doi.org/10.1007/978-3-662-05088-0</w:t>
      </w:r>
    </w:p>
    <w:p>
      <w:pPr>
        <w:tabs>
          <w:tab w:val="left" w:pos="540"/>
        </w:tabs>
        <w:spacing w:after="80" w:line="252"/>
        <w:ind w:left="540" w:hanging="540"/>
      </w:pPr>
      <w:r>
        <w:rPr>
          <w:sz w:val="19"/>
          <w:szCs w:val="19"/>
        </w:rPr>
        <w:t xml:space="preserve">[16]	</w:t>
      </w:r>
      <w:r>
        <w:rPr>
          <w:sz w:val="19"/>
          <w:szCs w:val="19"/>
        </w:rPr>
        <w:t xml:space="preserve">Wadell, H. (1935). Volume, shape, and roundness of quartz particles. </w:t>
      </w:r>
      <w:r>
        <w:rPr>
          <w:i/>
          <w:iCs/>
          <w:sz w:val="19"/>
          <w:szCs w:val="19"/>
        </w:rPr>
        <w:t xml:space="preserve">The Journal of Geology</w:t>
      </w:r>
      <w:r>
        <w:rPr>
          <w:sz w:val="19"/>
          <w:szCs w:val="19"/>
        </w:rPr>
        <w:t xml:space="preserve">, 43(3), 250–280. https://doi.org/10.1086/624298</w:t>
      </w:r>
    </w:p>
    <w:p>
      <w:pPr>
        <w:tabs>
          <w:tab w:val="left" w:pos="540"/>
        </w:tabs>
        <w:spacing w:after="80" w:line="252"/>
        <w:ind w:left="540" w:hanging="540"/>
      </w:pPr>
      <w:r>
        <w:rPr>
          <w:sz w:val="19"/>
          <w:szCs w:val="19"/>
        </w:rPr>
        <w:t xml:space="preserve">[17]	</w:t>
      </w:r>
      <w:r>
        <w:rPr>
          <w:sz w:val="19"/>
          <w:szCs w:val="19"/>
        </w:rPr>
        <w:t xml:space="preserve">Harris, C. R., et al. (2020). Array programming with NumPy. </w:t>
      </w:r>
      <w:r>
        <w:rPr>
          <w:i/>
          <w:iCs/>
          <w:sz w:val="19"/>
          <w:szCs w:val="19"/>
        </w:rPr>
        <w:t xml:space="preserve">Nature</w:t>
      </w:r>
      <w:r>
        <w:rPr>
          <w:sz w:val="19"/>
          <w:szCs w:val="19"/>
        </w:rPr>
        <w:t xml:space="preserve">, 585, 357–362. https://doi.org/10.1038/s41586-020-2649-2</w:t>
      </w:r>
    </w:p>
    <w:p>
      <w:pPr>
        <w:tabs>
          <w:tab w:val="left" w:pos="540"/>
        </w:tabs>
        <w:spacing w:after="80" w:line="252"/>
        <w:ind w:left="540" w:hanging="540"/>
      </w:pPr>
      <w:r>
        <w:rPr>
          <w:sz w:val="19"/>
          <w:szCs w:val="19"/>
        </w:rPr>
        <w:t xml:space="preserve">[18]	</w:t>
      </w:r>
      <w:r>
        <w:rPr>
          <w:sz w:val="19"/>
          <w:szCs w:val="19"/>
        </w:rPr>
        <w:t xml:space="preserve">Virtanen, P., et al. (2020). SciPy 1.0: Fundamental algorithms for scientific computing in Python. </w:t>
      </w:r>
      <w:r>
        <w:rPr>
          <w:i/>
          <w:iCs/>
          <w:sz w:val="19"/>
          <w:szCs w:val="19"/>
        </w:rPr>
        <w:t xml:space="preserve">Nature Methods</w:t>
      </w:r>
      <w:r>
        <w:rPr>
          <w:sz w:val="19"/>
          <w:szCs w:val="19"/>
        </w:rPr>
        <w:t xml:space="preserve">, 17, 261–272. https://doi.org/10.1038/s41592-019-0686-2</w:t>
      </w:r>
    </w:p>
    <w:p>
      <w:pPr>
        <w:tabs>
          <w:tab w:val="left" w:pos="540"/>
        </w:tabs>
        <w:spacing w:after="80" w:line="252"/>
        <w:ind w:left="540" w:hanging="540"/>
      </w:pPr>
      <w:r>
        <w:rPr>
          <w:sz w:val="19"/>
          <w:szCs w:val="19"/>
        </w:rPr>
        <w:t xml:space="preserve">[19]	</w:t>
      </w:r>
      <w:r>
        <w:rPr>
          <w:sz w:val="19"/>
          <w:szCs w:val="19"/>
        </w:rPr>
        <w:t xml:space="preserve">van der Walt, S., et al. (2014). scikit-image: Image processing in Python. </w:t>
      </w:r>
      <w:r>
        <w:rPr>
          <w:i/>
          <w:iCs/>
          <w:sz w:val="19"/>
          <w:szCs w:val="19"/>
        </w:rPr>
        <w:t xml:space="preserve">PeerJ</w:t>
      </w:r>
      <w:r>
        <w:rPr>
          <w:sz w:val="19"/>
          <w:szCs w:val="19"/>
        </w:rPr>
        <w:t xml:space="preserve">, 2, e453. https://doi.org/10.7717/peerj.453</w:t>
      </w:r>
    </w:p>
    <w:p>
      <w:pPr>
        <w:tabs>
          <w:tab w:val="left" w:pos="540"/>
        </w:tabs>
        <w:spacing w:after="80" w:line="252"/>
        <w:ind w:left="540" w:hanging="540"/>
      </w:pPr>
      <w:r>
        <w:rPr>
          <w:sz w:val="19"/>
          <w:szCs w:val="19"/>
        </w:rPr>
        <w:t xml:space="preserve">[20]	</w:t>
      </w:r>
      <w:r>
        <w:rPr>
          <w:sz w:val="19"/>
          <w:szCs w:val="19"/>
        </w:rPr>
        <w:t xml:space="preserve">Hunter, J. D. (2007). Matplotlib: A 2D graphics environment. </w:t>
      </w:r>
      <w:r>
        <w:rPr>
          <w:i/>
          <w:iCs/>
          <w:sz w:val="19"/>
          <w:szCs w:val="19"/>
        </w:rPr>
        <w:t xml:space="preserve">Computing in Science &amp; Engineering</w:t>
      </w:r>
      <w:r>
        <w:rPr>
          <w:sz w:val="19"/>
          <w:szCs w:val="19"/>
        </w:rPr>
        <w:t xml:space="preserve">, 9(3), 90–95. https://doi.org/10.1109/MCSE.2007.55</w:t>
      </w:r>
    </w:p>
    <w:p>
      <w:pPr>
        <w:tabs>
          <w:tab w:val="left" w:pos="540"/>
        </w:tabs>
        <w:spacing w:after="80" w:line="252"/>
        <w:ind w:left="540" w:hanging="540"/>
      </w:pPr>
      <w:r>
        <w:rPr>
          <w:sz w:val="19"/>
          <w:szCs w:val="19"/>
        </w:rPr>
        <w:t xml:space="preserve">[21]	</w:t>
      </w:r>
      <w:r>
        <w:rPr>
          <w:sz w:val="19"/>
          <w:szCs w:val="19"/>
        </w:rPr>
        <w:t xml:space="preserve">McKinney, W. (2010). Data structures for statistical computing in Python. </w:t>
      </w:r>
      <w:r>
        <w:rPr>
          <w:i/>
          <w:iCs/>
          <w:sz w:val="19"/>
          <w:szCs w:val="19"/>
        </w:rPr>
        <w:t xml:space="preserve">Proceedings of the 9th Python in Science Conference</w:t>
      </w:r>
      <w:r>
        <w:rPr>
          <w:sz w:val="19"/>
          <w:szCs w:val="19"/>
        </w:rPr>
        <w:t xml:space="preserve">, 56–61. https://doi.org/10.25080/Majora-92bf1922-00a</w:t>
      </w:r>
    </w:p>
    <w:p>
      <w:pPr>
        <w:tabs>
          <w:tab w:val="left" w:pos="540"/>
        </w:tabs>
        <w:spacing w:after="80" w:line="252"/>
        <w:ind w:left="540" w:hanging="540"/>
      </w:pPr>
      <w:r>
        <w:rPr>
          <w:sz w:val="19"/>
          <w:szCs w:val="19"/>
        </w:rPr>
        <w:t xml:space="preserve">[22]	</w:t>
      </w:r>
      <w:r>
        <w:rPr>
          <w:sz w:val="19"/>
          <w:szCs w:val="19"/>
        </w:rPr>
        <w:t xml:space="preserve">Paszke, A., et al. (2019). PyTorch: An imperative style, high-performance deep learning library. </w:t>
      </w:r>
      <w:r>
        <w:rPr>
          <w:i/>
          <w:iCs/>
          <w:sz w:val="19"/>
          <w:szCs w:val="19"/>
        </w:rPr>
        <w:t xml:space="preserve">Advances in Neural Information Processing Systems</w:t>
      </w:r>
      <w:r>
        <w:rPr>
          <w:sz w:val="19"/>
          <w:szCs w:val="19"/>
        </w:rPr>
        <w:t xml:space="preserve">, 32, 8024–8035.</w:t>
      </w:r>
    </w:p>
    <w:p>
      <w:pPr>
        <w:tabs>
          <w:tab w:val="left" w:pos="540"/>
        </w:tabs>
        <w:spacing w:after="80" w:line="252"/>
        <w:ind w:left="540" w:hanging="540"/>
      </w:pPr>
      <w:r>
        <w:rPr>
          <w:sz w:val="19"/>
          <w:szCs w:val="19"/>
        </w:rPr>
        <w:t xml:space="preserve">[23]	</w:t>
      </w:r>
      <w:r>
        <w:rPr>
          <w:sz w:val="19"/>
          <w:szCs w:val="19"/>
        </w:rPr>
        <w:t xml:space="preserve">Gohlke, C. tifffile: Read and write TIFF files (software, version 2024.8.30). https://github.com/cgohlke/tifffile</w:t>
      </w:r>
    </w:p>
    <w:p>
      <w:pPr>
        <w:tabs>
          <w:tab w:val="left" w:pos="540"/>
        </w:tabs>
        <w:spacing w:after="80" w:line="252"/>
        <w:ind w:left="540" w:hanging="540"/>
      </w:pPr>
      <w:r>
        <w:rPr>
          <w:sz w:val="19"/>
          <w:szCs w:val="19"/>
        </w:rPr>
        <w:t xml:space="preserve">[24]	</w:t>
      </w:r>
      <w:r>
        <w:rPr>
          <w:sz w:val="19"/>
          <w:szCs w:val="19"/>
        </w:rPr>
        <w:t xml:space="preserve">Gohlke, C. imagecodecs: Image transformation, compression, and decompression codecs (software, version 2024.6.1). https://github.com/cgohlke/imagecodecs</w:t>
      </w:r>
    </w:p>
    <w:p>
      <w:pPr>
        <w:tabs>
          <w:tab w:val="left" w:pos="540"/>
        </w:tabs>
        <w:spacing w:after="80" w:line="252"/>
        <w:ind w:left="540" w:hanging="540"/>
      </w:pPr>
      <w:r>
        <w:rPr>
          <w:sz w:val="19"/>
          <w:szCs w:val="19"/>
        </w:rPr>
        <w:t xml:space="preserve">[25]	</w:t>
      </w:r>
      <w:r>
        <w:rPr>
          <w:sz w:val="19"/>
          <w:szCs w:val="19"/>
        </w:rPr>
        <w:t xml:space="preserve">PyYAML: YAML parser and emitter for Python (software, version 6.0.2). https://pyyaml.org</w:t>
      </w:r>
    </w:p>
    <w:p>
      <w:pPr>
        <w:tabs>
          <w:tab w:val="left" w:pos="540"/>
        </w:tabs>
        <w:spacing w:after="80" w:line="252"/>
        <w:ind w:left="540" w:hanging="540"/>
      </w:pPr>
      <w:r>
        <w:rPr>
          <w:sz w:val="19"/>
          <w:szCs w:val="19"/>
        </w:rPr>
        <w:t xml:space="preserve">[26]	</w:t>
      </w:r>
      <w:r>
        <w:rPr>
          <w:sz w:val="19"/>
          <w:szCs w:val="19"/>
        </w:rPr>
        <w:t xml:space="preserve">Rodolà, G. psutil: Cross-platform process and system utilities (software, version 6.0.0). https://github.com/giampaolo/psutil</w:t>
      </w:r>
    </w:p>
    <w:p>
      <w:pPr>
        <w:tabs>
          <w:tab w:val="left" w:pos="540"/>
        </w:tabs>
        <w:spacing w:after="80" w:line="252"/>
        <w:ind w:left="540" w:hanging="540"/>
      </w:pPr>
      <w:r>
        <w:rPr>
          <w:sz w:val="19"/>
          <w:szCs w:val="19"/>
        </w:rPr>
        <w:t xml:space="preserve">[27]	</w:t>
      </w:r>
      <w:r>
        <w:rPr>
          <w:sz w:val="19"/>
          <w:szCs w:val="19"/>
        </w:rPr>
        <w:t xml:space="preserve">tqdm: A fast, extensible progress bar for Python (software, version 4.66.5). https://github.com/tqdm/tqdm</w:t>
      </w:r>
    </w:p>
    <w:p>
      <w:pPr>
        <w:tabs>
          <w:tab w:val="left" w:pos="540"/>
        </w:tabs>
        <w:spacing w:after="80" w:line="252"/>
        <w:ind w:left="540" w:hanging="540"/>
      </w:pPr>
      <w:r>
        <w:rPr>
          <w:sz w:val="19"/>
          <w:szCs w:val="19"/>
        </w:rPr>
        <w:t xml:space="preserve">[28]	</w:t>
      </w:r>
      <w:r>
        <w:rPr>
          <w:sz w:val="19"/>
          <w:szCs w:val="19"/>
        </w:rPr>
        <w:t xml:space="preserve">pytest: Python testing framework (software, version 8.3.3). https://docs.pytest.org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cathode_analysis ·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80"/>
      </w:pPr>
    </w:lvl>
  </w:abstractNum>
  <w:abstractNum w:abstractNumId="5"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80"/>
      </w:pPr>
    </w:lvl>
  </w:abstractNum>
  <w:abstractNum w:abstractNumId="6"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80"/>
      </w:pPr>
    </w:lvl>
  </w:abstractNum>
  <w:abstractNum w:abstractNumId="7"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Composite Cathode Microstructure Pipeline: Methods</dc:title>
  <dc:creator>cathode_analysis documentation</dc:creator>
  <cp:lastModifiedBy>Un-named</cp:lastModifiedBy>
  <cp:revision>1</cp:revision>
  <dcterms:created xsi:type="dcterms:W3CDTF">2026-10-10T07:13:43.438Z</dcterms:created>
  <dcterms:modified xsi:type="dcterms:W3CDTF">2026-10-10T07:13:43.438Z</dcterms:modified>
</cp:coreProperties>
</file>

<file path=docProps/custom.xml><?xml version="1.0" encoding="utf-8"?>
<Properties xmlns="http://schemas.openxmlformats.org/officeDocument/2006/custom-properties" xmlns:vt="http://schemas.openxmlformats.org/officeDocument/2006/docPropsVTypes"/>
</file>