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7B0AFF75" w14:textId="65F5BB2A" w:rsidR="004F5B34" w:rsidRPr="00607187" w:rsidRDefault="00607187" w:rsidP="00607187">
          <w:pPr>
            <w:jc w:val="both"/>
            <w:rPr>
              <w:b/>
              <w:bCs/>
              <w:sz w:val="28"/>
              <w:szCs w:val="28"/>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33B62F14">
                    <wp:simplePos x="0" y="0"/>
                    <wp:positionH relativeFrom="margin">
                      <wp:posOffset>-47478</wp:posOffset>
                    </wp:positionH>
                    <wp:positionV relativeFrom="paragraph">
                      <wp:posOffset>126854</wp:posOffset>
                    </wp:positionV>
                    <wp:extent cx="5718352" cy="6487614"/>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00830AC9" w14:textId="77777777" w:rsidR="00766225" w:rsidRDefault="00AF3465"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FİNANSAL TEKNOLOJİLER</w:t>
                                </w:r>
                                <w:r w:rsidR="00766225">
                                  <w:rPr>
                                    <w:b/>
                                    <w:bCs/>
                                    <w:color w:val="FFFFFF" w:themeColor="background1"/>
                                    <w:sz w:val="56"/>
                                    <w:szCs w:val="56"/>
                                    <w14:textOutline w14:w="9525" w14:cap="rnd" w14:cmpd="sng" w14:algn="ctr">
                                      <w14:noFill/>
                                      <w14:prstDash w14:val="solid"/>
                                      <w14:bevel/>
                                    </w14:textOutline>
                                  </w:rPr>
                                  <w:t xml:space="preserve">  </w:t>
                                </w:r>
                                <w:r>
                                  <w:rPr>
                                    <w:b/>
                                    <w:bCs/>
                                    <w:color w:val="FFFFFF" w:themeColor="background1"/>
                                    <w:sz w:val="56"/>
                                    <w:szCs w:val="56"/>
                                    <w14:textOutline w14:w="9525" w14:cap="rnd" w14:cmpd="sng" w14:algn="ctr">
                                      <w14:noFill/>
                                      <w14:prstDash w14:val="solid"/>
                                      <w14:bevel/>
                                    </w14:textOutline>
                                  </w:rPr>
                                  <w:t xml:space="preserve">YARIŞMASI </w:t>
                                </w:r>
                              </w:p>
                              <w:p w14:paraId="6925EB6C" w14:textId="38E7C938" w:rsidR="00AF3465" w:rsidRDefault="00002891"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ÖN DEĞERLENDİRME RAPORU ŞABLONU</w:t>
                                </w:r>
                              </w:p>
                              <w:p w14:paraId="6EC58E96"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2BFBF01A"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1F2E56E0"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4FC79881"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3732717E"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538C671"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0E21A476" w14:textId="77777777" w:rsidR="00AF3465" w:rsidRPr="00607187" w:rsidRDefault="00AF3465" w:rsidP="00AF3465">
                                <w:pPr>
                                  <w:rPr>
                                    <w:b/>
                                    <w:bCs/>
                                    <w:color w:val="FFFFFF" w:themeColor="background1"/>
                                    <w:sz w:val="72"/>
                                    <w:szCs w:val="72"/>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3.75pt;margin-top:10pt;width:450.25pt;height:51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3eGAIAAC0EAAAOAAAAZHJzL2Uyb0RvYy54bWysU8tu2zAQvBfoPxC817IcvyJYDtwELgoY&#10;SQCnyJmmSEsAxWVJ2pL79V1S8gNpT0Uv1JK7muXODBcPba3IUVhXgc5pOhhSIjSHotL7nP54W3+Z&#10;U+I80wVToEVOT8LRh+XnT4vGZGIEJahCWIIg2mWNyWnpvcmSxPFS1MwNwAiNSQm2Zh63dp8UljWI&#10;XqtkNBxOkwZsYSxw4RyePnVJuoz4UgruX6R0whOVU7ybj6uN6y6syXLBsr1lpqx4fw32D7eoWaWx&#10;6QXqiXlGDrb6A6quuAUH0g841AlIWXERZ8Bp0uGHabYlMyLOguQ4c6HJ/T9Y/nzcmldLfPsVWhQw&#10;ENIYlzk8DPO00tbhizclmEcKTxfaROsJx8PJLJ3fTUaUcMxNx/PZNB0HnOT6u7HOfxNQkxDk1KIu&#10;kS523DjflZ5LQjcN60qpqI3SpEHUu8kw/nDJILjS2ON62RD5dtf2E+ygOOFgFjrNneHrCptvmPOv&#10;zKLIOAsa17/gIhVgE+gjSkqwv/52HuqRe8xS0qBpcup+HpgVlKjvGlW5T8fj4LK4GU9mI9zY28zu&#10;NqMP9SOgL1N8IobHMNR7dQ6lhfod/b0KXTHFNMfeOfXn8NF3Vsb3wcVqFYvQV4b5jd4aHqADnYHa&#10;t/adWdPz71G6Zzjbi2UfZOhqOyFWBw+yihoFgjtWe97Rk1Hl/v0E09/uY9X1lS9/AwAA//8DAFBL&#10;AwQUAAYACAAAACEAVZWpd+AAAAAKAQAADwAAAGRycy9kb3ducmV2LnhtbEyPTU/CQBCG7yb+h82Y&#10;eIMtKFJrt4Q0ISZGDiAXb9Pu0DbuR+0uUP31jie9zeR98n7kq9EacaYhdN4pmE0TEORqrzvXKDi8&#10;bSYpiBDRaTTekYIvCrAqrq9yzLS/uB2d97ERbOJChgraGPtMylC3ZDFMfU+OtaMfLEZ+h0bqAS9s&#10;bo2cJ8mDtNg5Tmixp7Kl+mN/sgpeys0Wd9Xcpt+mfH49rvvPw/tCqdubcf0EItIY/2D4rc/VoeBO&#10;lT85HYRRMFkumFTAKSBYTx/v+KgYTO5nS5BFLv9PKH4AAAD//wMAUEsBAi0AFAAGAAgAAAAhALaD&#10;OJL+AAAA4QEAABMAAAAAAAAAAAAAAAAAAAAAAFtDb250ZW50X1R5cGVzXS54bWxQSwECLQAUAAYA&#10;CAAAACEAOP0h/9YAAACUAQAACwAAAAAAAAAAAAAAAAAvAQAAX3JlbHMvLnJlbHNQSwECLQAUAAYA&#10;CAAAACEAglDd3hgCAAAtBAAADgAAAAAAAAAAAAAAAAAuAgAAZHJzL2Uyb0RvYy54bWxQSwECLQAU&#10;AAYACAAAACEAVZWpd+AAAAAKAQAADwAAAAAAAAAAAAAAAAByBAAAZHJzL2Rvd25yZXYueG1sUEsF&#10;BgAAAAAEAAQA8wAAAH8FAAAAAA==&#10;" filled="f" stroked="f" strokeweight=".5pt">
                    <v:textbo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00830AC9" w14:textId="77777777" w:rsidR="00766225" w:rsidRDefault="00AF3465"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FİNANSAL TEKNOLOJİLER</w:t>
                          </w:r>
                          <w:r w:rsidR="00766225">
                            <w:rPr>
                              <w:b/>
                              <w:bCs/>
                              <w:color w:val="FFFFFF" w:themeColor="background1"/>
                              <w:sz w:val="56"/>
                              <w:szCs w:val="56"/>
                              <w14:textOutline w14:w="9525" w14:cap="rnd" w14:cmpd="sng" w14:algn="ctr">
                                <w14:noFill/>
                                <w14:prstDash w14:val="solid"/>
                                <w14:bevel/>
                              </w14:textOutline>
                            </w:rPr>
                            <w:t xml:space="preserve">  </w:t>
                          </w:r>
                          <w:r>
                            <w:rPr>
                              <w:b/>
                              <w:bCs/>
                              <w:color w:val="FFFFFF" w:themeColor="background1"/>
                              <w:sz w:val="56"/>
                              <w:szCs w:val="56"/>
                              <w14:textOutline w14:w="9525" w14:cap="rnd" w14:cmpd="sng" w14:algn="ctr">
                                <w14:noFill/>
                                <w14:prstDash w14:val="solid"/>
                                <w14:bevel/>
                              </w14:textOutline>
                            </w:rPr>
                            <w:t xml:space="preserve">YARIŞMASI </w:t>
                          </w:r>
                        </w:p>
                        <w:p w14:paraId="6925EB6C" w14:textId="38E7C938" w:rsidR="00AF3465" w:rsidRDefault="00002891" w:rsidP="00AF3465">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ÖN DEĞERLENDİRME RAPORU ŞABLONU</w:t>
                          </w:r>
                        </w:p>
                        <w:p w14:paraId="6EC58E96"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2BFBF01A" w14:textId="77777777" w:rsidR="00AF3465" w:rsidRDefault="00AF3465" w:rsidP="00AF3465">
                          <w:pPr>
                            <w:jc w:val="center"/>
                            <w:rPr>
                              <w:b/>
                              <w:bCs/>
                              <w:color w:val="FFFFFF" w:themeColor="background1"/>
                              <w:sz w:val="56"/>
                              <w:szCs w:val="56"/>
                              <w14:textOutline w14:w="9525" w14:cap="rnd" w14:cmpd="sng" w14:algn="ctr">
                                <w14:noFill/>
                                <w14:prstDash w14:val="solid"/>
                                <w14:bevel/>
                              </w14:textOutline>
                            </w:rPr>
                          </w:pPr>
                        </w:p>
                        <w:p w14:paraId="1F2E56E0"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4FC79881"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3732717E"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538C671" w14:textId="77777777" w:rsidR="00AF3465" w:rsidRPr="005E1D77" w:rsidRDefault="00AF3465" w:rsidP="00AF3465">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sidRPr="005E1D7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0E21A476" w14:textId="77777777" w:rsidR="00AF3465" w:rsidRPr="00607187" w:rsidRDefault="00AF3465" w:rsidP="00AF3465">
                          <w:pPr>
                            <w:rPr>
                              <w:b/>
                              <w:bCs/>
                              <w:color w:val="FFFFFF" w:themeColor="background1"/>
                              <w:sz w:val="72"/>
                              <w:szCs w:val="72"/>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2A57735B" w14:textId="3F4DDA7F"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lastRenderedPageBreak/>
        <w:t>1. PROJE ÖZETİ (0-10 PUAN)</w:t>
      </w:r>
    </w:p>
    <w:p w14:paraId="11405DD6"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Küresel iklim krizi ve Paris Anlaşması sonrası düşük karbonlu ekonomiye geçiş süreci, sürdürülebilir finansman modellerinin geleneksel bankacılık sistemine entegrasyonunu bir tercih olmaktan çıkarıp yasal bir zorunluluk haline getirmiştir. Türkiye'nin 2053 Net Sıfır vizyonu doğrultusunda ihtiyaç duyulan yaklaşık 3 trilyon dolarlık devasa finansman hacmi, yatırımların doğru ve şeffaf bir şekilde değerlendirilmesini gerektirmektedir. Sürdürülebilir finansman ekosisteminde, kredilendirme süreçleri bugüne dek ağırlıklı olarak şirketlerin geçmiş performanslarına dayanmıştır. Ancak çekilen kredinin kullanılacağı spesifik yatırımın çevresel ve finansal geri dönüşünün anlık olarak ölçülmesi kritik bir eksikliktir.</w:t>
      </w:r>
    </w:p>
    <w:p w14:paraId="6D5C8DFE"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Bu proje; kredi talep eden şirketin kurumsal ESG olgunluğunu ölçen </w:t>
      </w:r>
      <w:r>
        <w:rPr>
          <w:rFonts w:ascii="Google Sans" w:eastAsia="Google Sans" w:hAnsi="Google Sans" w:cs="Google Sans"/>
          <w:b/>
          <w:bCs/>
          <w:color w:val="1F1F1F"/>
        </w:rPr>
        <w:t>DD-ESG (Dinamik ve Deterministik ESG Modeli)</w:t>
      </w:r>
      <w:r>
        <w:rPr>
          <w:rFonts w:ascii="Google Sans" w:eastAsia="Google Sans" w:hAnsi="Google Sans" w:cs="Google Sans"/>
          <w:color w:val="1F1F1F"/>
        </w:rPr>
        <w:t xml:space="preserve"> ile finanse edilecek spesifik yatırımın çevresel ve finansal faydasını ölçen </w:t>
      </w:r>
      <w:r>
        <w:rPr>
          <w:rFonts w:ascii="Google Sans" w:eastAsia="Google Sans" w:hAnsi="Google Sans" w:cs="Google Sans"/>
          <w:b/>
          <w:bCs/>
          <w:color w:val="1F1F1F"/>
        </w:rPr>
        <w:t>G-ROI (Yeşil ROI ve Yatırım Risk Modeli)</w:t>
      </w:r>
      <w:r>
        <w:rPr>
          <w:rFonts w:ascii="Google Sans" w:eastAsia="Google Sans" w:hAnsi="Google Sans" w:cs="Google Sans"/>
          <w:color w:val="1F1F1F"/>
        </w:rPr>
        <w:t xml:space="preserve"> altyapılarını sentezleyen algoritmik bir karar destek sistemi ve dinamik fiyatlama motoru sunmaktadır.</w:t>
      </w:r>
    </w:p>
    <w:p w14:paraId="12C02C68"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Geliştirdiğimiz entegre altyapının birinci ayağı olan </w:t>
      </w:r>
      <w:r>
        <w:rPr>
          <w:rFonts w:ascii="Google Sans" w:eastAsia="Google Sans" w:hAnsi="Google Sans" w:cs="Google Sans"/>
          <w:b/>
          <w:bCs/>
          <w:color w:val="1F1F1F"/>
        </w:rPr>
        <w:t>DD-ESG</w:t>
      </w:r>
      <w:r>
        <w:rPr>
          <w:rFonts w:ascii="Google Sans" w:eastAsia="Google Sans" w:hAnsi="Google Sans" w:cs="Google Sans"/>
          <w:color w:val="1F1F1F"/>
        </w:rPr>
        <w:t xml:space="preserve">; kurumsal şeffaflık, sosyal etki ve şirket risk parametrelerini sürekli ve doğrusal olmayan (non-lineer) metotlarla değerlendirir. İkinci ayağı olan </w:t>
      </w:r>
      <w:r>
        <w:rPr>
          <w:rFonts w:ascii="Google Sans" w:eastAsia="Google Sans" w:hAnsi="Google Sans" w:cs="Google Sans"/>
          <w:b/>
          <w:bCs/>
          <w:color w:val="1F1F1F"/>
        </w:rPr>
        <w:t>G-ROI</w:t>
      </w:r>
      <w:r>
        <w:rPr>
          <w:rFonts w:ascii="Google Sans" w:eastAsia="Google Sans" w:hAnsi="Google Sans" w:cs="Google Sans"/>
          <w:color w:val="1F1F1F"/>
        </w:rPr>
        <w:t xml:space="preserve"> modülü ise; yatırımın sağlayacağı karbon azaltımını gölge karbon fiyatlaması (Shadow Carbon Pricing) üzerinden finansal getiriye dönüştürür ve projenin barındırdığı Teknoloji Hazırlık Seviyesi (TRL) riskini hesaplar. Bu iki ana değişken, XGBoost ve SHAP destekli yapay zeka algoritmaları ile ağırlıklı bir matrise entegre edilerek, kredi baz faiz oranlarının (kredi spread'inin) çevresel performans hedeflerine doğrudan duyarlı hale gelmesini sağlamaktadır.</w:t>
      </w:r>
    </w:p>
    <w:p w14:paraId="7174513E"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Proje, dört ana paydaş için eşzamanlı değer yaratmayı hedefler: Bankalar için risk maliyetini minimize eden ve regülasyon uyumu sağlayan; şirketler için sürdürülebilirlik yol haritası sunarak ucuz finansmana erişim kapısı açan; toplum için azalan karbon ayak izi vadeden ve yatırımcılar için güvenli portföyler oluşturan tam teşekküllü bir web tabanlı SaaS (Hizmet olarak Yazılım) çözümü olarak tasarlanmıştır.</w:t>
      </w:r>
    </w:p>
    <w:p w14:paraId="7B6AFB62" w14:textId="16C72594" w:rsidR="00AF3465" w:rsidRDefault="00AF3465" w:rsidP="00D15ABB">
      <w:pPr>
        <w:jc w:val="both"/>
      </w:pPr>
      <w:r>
        <w:t xml:space="preserve">  </w:t>
      </w:r>
    </w:p>
    <w:p w14:paraId="0A8D4BA3" w14:textId="77777777" w:rsidR="00607187" w:rsidRPr="00607187" w:rsidRDefault="00607187" w:rsidP="00607187">
      <w:pPr>
        <w:jc w:val="both"/>
        <w:rPr>
          <w:b/>
          <w:bCs/>
          <w:sz w:val="28"/>
          <w:szCs w:val="28"/>
        </w:rPr>
      </w:pPr>
    </w:p>
    <w:p w14:paraId="08D8394C" w14:textId="77777777" w:rsidR="00607187" w:rsidRPr="00607187" w:rsidRDefault="00607187" w:rsidP="00607187">
      <w:pPr>
        <w:jc w:val="both"/>
        <w:rPr>
          <w:b/>
          <w:bCs/>
          <w:sz w:val="28"/>
          <w:szCs w:val="28"/>
        </w:rPr>
      </w:pPr>
    </w:p>
    <w:p w14:paraId="13BB54D6" w14:textId="0B5BBA35"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2. ÇÖZÜM ÜRETTİĞİ SORUN/İHTİYAÇ (0-15 PUAN</w:t>
      </w:r>
    </w:p>
    <w:p w14:paraId="71E42199" w14:textId="77777777" w:rsidR="00C165A3" w:rsidRDefault="00C165A3" w:rsidP="00C165A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Günümüzde yeşil krediler, yeşil tahviller ve sürdürülebilirlik bağlantılı krediler (SLL) gibi finansal ürünlerin hacmi küresel çapta trilyonlarca dolara ulaşmış olsa da, bu ürünlerin tahsisinde kullanılan mevcut değerlendirme altyapılarında piyasayı tehdit eden kritik yapısal ve istatistiksel sorunlar bulunmaktadır:</w:t>
      </w:r>
    </w:p>
    <w:p w14:paraId="57E9EF0E" w14:textId="77777777" w:rsidR="00C165A3" w:rsidRDefault="00C165A3" w:rsidP="00C165A3">
      <w:pPr>
        <w:widowControl w:val="0"/>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Yatırım Seviyesinde Greenwashing (Yeşil Badana) ve Kurum Uyuşmazlığı:</w:t>
      </w:r>
      <w:r>
        <w:rPr>
          <w:rFonts w:ascii="Google Sans" w:eastAsia="Google Sans" w:hAnsi="Google Sans" w:cs="Google Sans"/>
          <w:color w:val="1F1F1F"/>
        </w:rPr>
        <w:t xml:space="preserve"> Krediyi talep eden kurumun genel ESG skoru yüksek olabilir; ancak çekilen kredi yeşil etiketle alınmasına rağmen, yatırımın gerçek karbon sönümleme (abatement) kapasitesi finansal getiriye dönüştürülememektedir. Gerçek bir ölçüm mekanizması olmadığı için doğaya </w:t>
      </w:r>
      <w:r>
        <w:rPr>
          <w:rFonts w:ascii="Google Sans" w:eastAsia="Google Sans" w:hAnsi="Google Sans" w:cs="Google Sans"/>
          <w:color w:val="1F1F1F"/>
        </w:rPr>
        <w:lastRenderedPageBreak/>
        <w:t>etkisi minimal olan projelere devasa yeşil fonlar aktarılabilmektedir.</w:t>
      </w:r>
    </w:p>
    <w:p w14:paraId="4484CB52" w14:textId="77777777" w:rsidR="00C165A3" w:rsidRDefault="00C165A3" w:rsidP="00C165A3">
      <w:pPr>
        <w:widowControl w:val="0"/>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Teknoloji Riskinin Göz Ardı Edilmesi:</w:t>
      </w:r>
      <w:r>
        <w:rPr>
          <w:rFonts w:ascii="Google Sans" w:eastAsia="Google Sans" w:hAnsi="Google Sans" w:cs="Google Sans"/>
          <w:color w:val="1F1F1F"/>
        </w:rPr>
        <w:t xml:space="preserve"> Her yeşil yatırım aynı finansal riski taşımaz. Olgunlaşmamış, AR-GE aşamasındaki bir temiz teknoloji yatırımı (örneğin erken aşama yeşil hidrojen hücresi), rüştünü ispatlamış standart bir güneş enerjisi (GES) projesinden çok daha risklidir. Bankalar bu teknolojik ayrımı yapacak ve riski faize yansıtacak nicel (kantitatif) bir modele sahip değildir.</w:t>
      </w:r>
    </w:p>
    <w:p w14:paraId="3578DD76" w14:textId="77777777" w:rsidR="00C165A3" w:rsidRDefault="00C165A3" w:rsidP="00C165A3">
      <w:pPr>
        <w:widowControl w:val="0"/>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Statik ve Doğrusal Mantık Hataları (Kalın Kuyruklu Dağılımın Göz Ardı Edilmesi):</w:t>
      </w:r>
      <w:r>
        <w:rPr>
          <w:rFonts w:ascii="Google Sans" w:eastAsia="Google Sans" w:hAnsi="Google Sans" w:cs="Google Sans"/>
          <w:color w:val="1F1F1F"/>
        </w:rPr>
        <w:t xml:space="preserve"> Mevcut risk değerlendirmeleri "0 veya 1" gibi keskin eşiklere dayanmaktadır. Ayrıca finansal verilerin "normal dağıldığı" (Gauss dağılımı) varsayılmakta, çevresel ve sosyal krizlerin (örneğin ani bir çevre felaketi) yatırımcı üzerindeki asimetrik, yıkıcı etkileri (kalın kuyruklu dağılım) göz ardı edilmektedir.</w:t>
      </w:r>
    </w:p>
    <w:p w14:paraId="78D4B515" w14:textId="77777777" w:rsidR="00C165A3" w:rsidRDefault="00C165A3" w:rsidP="00C165A3">
      <w:pPr>
        <w:widowControl w:val="0"/>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Bağımsız Silolar Yanılgısı:</w:t>
      </w:r>
      <w:r>
        <w:rPr>
          <w:rFonts w:ascii="Google Sans" w:eastAsia="Google Sans" w:hAnsi="Google Sans" w:cs="Google Sans"/>
          <w:color w:val="1F1F1F"/>
        </w:rPr>
        <w:t xml:space="preserve"> Geleneksel modeller Çevresel (E), Sosyal (S) ve Yönetişim (G) metriklerini birbirinden bağımsız silolar olarak hesaplar. Oysa gerçek hayatta çevresel (E) bir ihlal anında Sosyal (S) bir itibar krizine dönüşür. Mevcut modeller bu "kelebek etkisini" formülize edememektedir.</w:t>
      </w:r>
    </w:p>
    <w:p w14:paraId="1333CFD5" w14:textId="77777777" w:rsidR="00C165A3" w:rsidRDefault="00C165A3" w:rsidP="00C165A3">
      <w:pPr>
        <w:widowControl w:val="0"/>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Faiz Oranlarının Statikliği:</w:t>
      </w:r>
      <w:r>
        <w:rPr>
          <w:rFonts w:ascii="Google Sans" w:eastAsia="Google Sans" w:hAnsi="Google Sans" w:cs="Google Sans"/>
          <w:color w:val="1F1F1F"/>
        </w:rPr>
        <w:t xml:space="preserve"> Kredi faiz oranları standart bankacılık tarifeleri üzerinden belirlenir. Kredi faiz oranları, yatırımın çevresel katma değeri ile ters orantılı olarak, projenin nakit akışını rahatlatacak şekilde dinamik olarak optimize edilememektedir.</w:t>
      </w:r>
    </w:p>
    <w:p w14:paraId="45B8D2C1" w14:textId="77777777" w:rsidR="00C165A3" w:rsidRDefault="00C165A3" w:rsidP="00C165A3">
      <w:pPr>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b/>
          <w:bCs/>
          <w:color w:val="1F1F1F"/>
        </w:rPr>
        <w:t>Önerilen Çözüm:</w:t>
      </w:r>
      <w:r>
        <w:rPr>
          <w:rFonts w:ascii="Google Sans" w:eastAsia="Google Sans" w:hAnsi="Google Sans" w:cs="Google Sans"/>
          <w:color w:val="1F1F1F"/>
        </w:rPr>
        <w:t xml:space="preserve"> Sistemimiz, sadece finansal getiriyi değil; "Gölge Karbon Fiyatlaması" ve NASA standartlarındaki "Teknoloji Hazırlık Seviyesi (TRL)" metriklerini kullanarak projenin gerçek </w:t>
      </w:r>
      <w:r>
        <w:rPr>
          <w:rFonts w:ascii="Google Sans" w:eastAsia="Google Sans" w:hAnsi="Google Sans" w:cs="Google Sans"/>
          <w:b/>
          <w:bCs/>
          <w:color w:val="1F1F1F"/>
        </w:rPr>
        <w:t>Yeşil ROI'sini (G-ROI)</w:t>
      </w:r>
      <w:r>
        <w:rPr>
          <w:rFonts w:ascii="Google Sans" w:eastAsia="Google Sans" w:hAnsi="Google Sans" w:cs="Google Sans"/>
          <w:color w:val="1F1F1F"/>
        </w:rPr>
        <w:t xml:space="preserve"> hesaplar. Ayrıca </w:t>
      </w:r>
      <w:r>
        <w:rPr>
          <w:rFonts w:ascii="Google Sans" w:eastAsia="Google Sans" w:hAnsi="Google Sans" w:cs="Google Sans"/>
          <w:b/>
          <w:bCs/>
          <w:color w:val="1F1F1F"/>
        </w:rPr>
        <w:t>DD-ESG</w:t>
      </w:r>
      <w:r>
        <w:rPr>
          <w:rFonts w:ascii="Google Sans" w:eastAsia="Google Sans" w:hAnsi="Google Sans" w:cs="Google Sans"/>
          <w:color w:val="1F1F1F"/>
        </w:rPr>
        <w:t xml:space="preserve"> ile şirketin kurumsal olgunluğu NLP ve alternatif verilerle denetlenir. Bu çözüm, çevresel etkiyi ve teknoloji riskini doğrudan kredinin baz faiz oranını düşüren matematiksel bir fonksiyona dönüştürür.</w:t>
      </w:r>
    </w:p>
    <w:p w14:paraId="5C6DA0C8" w14:textId="77777777" w:rsidR="00AF3465" w:rsidRDefault="00AF3465" w:rsidP="00AF3465"/>
    <w:p w14:paraId="38CA2441" w14:textId="77777777" w:rsidR="00AF3465" w:rsidRDefault="00AF3465" w:rsidP="00AF3465"/>
    <w:p w14:paraId="1B117DF5" w14:textId="5571C8F3"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3. KULLANILACAK YÖNTEM (0-25 PUAN)</w:t>
      </w:r>
    </w:p>
    <w:p w14:paraId="3652AC6A"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Tasarlanan çözüm, güncel literatürde kabul gören istatistiksel metotları ve ileri teknoloji makine öğrenmesi algoritmalarını harmanlayan entegre bir sistemdir. Şirket riskini ölçen Kurumsal DD-ESG ve yatırımın risk-getiri dengesini ölçen Yeşil Puanlama Motoru (G-ROI) modüllerinden oluşur.</w:t>
      </w:r>
    </w:p>
    <w:p w14:paraId="1CAD39FF"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A. G-ROI MODÜLÜ 1: Eko-Verimlilik Marjı ve Çevresel Çarpan (Eco-Multiplier)</w:t>
      </w:r>
    </w:p>
    <w:p w14:paraId="3C96BD29"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 modül, yatırılan her 1 Birim sermayenin, ne kadar çevresel fayda (enerji tasarrufu ve karbon emisyonu düşüşü) yarattığını finansal bir değere dönüştürerek hesaplar. Geleneksel Net Bugünkü Değer (NPV) formülünün, çevresel dışsallıkları içselleştirecek şekilde modifiye edilmiş halidir.</w:t>
      </w:r>
    </w:p>
    <w:p w14:paraId="7DE39958"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Formül:</w:t>
      </w:r>
    </w:p>
    <w:p w14:paraId="1F7EC1CD"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b/>
          <w:bCs/>
          <w:noProof/>
          <w:color w:val="1F1F1F"/>
        </w:rPr>
        <w:lastRenderedPageBreak/>
        <w:drawing>
          <wp:inline distT="19050" distB="19050" distL="19050" distR="19050" wp14:anchorId="12D86045" wp14:editId="11F1E6F3">
            <wp:extent cx="5905500" cy="617943"/>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5905500" cy="617943"/>
                    </a:xfrm>
                    <a:prstGeom prst="rect">
                      <a:avLst/>
                    </a:prstGeom>
                    <a:ln/>
                  </pic:spPr>
                </pic:pic>
              </a:graphicData>
            </a:graphic>
          </wp:inline>
        </w:drawing>
      </w:r>
      <w:r>
        <w:rPr>
          <w:rFonts w:ascii="Google Sans" w:eastAsia="Google Sans" w:hAnsi="Google Sans" w:cs="Google Sans"/>
          <w:i/>
          <w:iCs/>
          <w:color w:val="1F1F1F"/>
        </w:rPr>
        <w:t xml:space="preserve">(Burada </w:t>
      </w:r>
      <w:r>
        <w:rPr>
          <w:rFonts w:ascii="Google Sans" w:eastAsia="Google Sans" w:hAnsi="Google Sans" w:cs="Google Sans"/>
          <w:i/>
          <w:iCs/>
          <w:noProof/>
          <w:color w:val="1F1F1F"/>
        </w:rPr>
        <w:drawing>
          <wp:inline distT="19050" distB="19050" distL="19050" distR="19050" wp14:anchorId="0835AE61" wp14:editId="0E6F7843">
            <wp:extent cx="345447" cy="226700"/>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345447" cy="226700"/>
                    </a:xfrm>
                    <a:prstGeom prst="rect">
                      <a:avLst/>
                    </a:prstGeom>
                    <a:ln/>
                  </pic:spPr>
                </pic:pic>
              </a:graphicData>
            </a:graphic>
          </wp:inline>
        </w:drawing>
      </w:r>
      <w:r>
        <w:rPr>
          <w:rFonts w:ascii="Google Sans" w:eastAsia="Google Sans" w:hAnsi="Google Sans" w:cs="Google Sans"/>
          <w:i/>
          <w:iCs/>
          <w:color w:val="1F1F1F"/>
        </w:rPr>
        <w:t xml:space="preserve">: Yıllık enerji tasarrufu, </w:t>
      </w:r>
      <w:r>
        <w:rPr>
          <w:rFonts w:ascii="Google Sans" w:eastAsia="Google Sans" w:hAnsi="Google Sans" w:cs="Google Sans"/>
          <w:i/>
          <w:iCs/>
          <w:noProof/>
          <w:color w:val="1F1F1F"/>
        </w:rPr>
        <w:drawing>
          <wp:inline distT="19050" distB="19050" distL="19050" distR="19050" wp14:anchorId="65655E95" wp14:editId="7CEA5577">
            <wp:extent cx="187689" cy="231851"/>
            <wp:effectExtent l="0" t="0" r="0" b="0"/>
            <wp:docPr id="3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
                    <a:srcRect/>
                    <a:stretch>
                      <a:fillRect/>
                    </a:stretch>
                  </pic:blipFill>
                  <pic:spPr>
                    <a:xfrm>
                      <a:off x="0" y="0"/>
                      <a:ext cx="187689" cy="231851"/>
                    </a:xfrm>
                    <a:prstGeom prst="rect">
                      <a:avLst/>
                    </a:prstGeom>
                    <a:ln/>
                  </pic:spPr>
                </pic:pic>
              </a:graphicData>
            </a:graphic>
          </wp:inline>
        </w:drawing>
      </w:r>
      <w:r>
        <w:rPr>
          <w:rFonts w:ascii="Google Sans" w:eastAsia="Google Sans" w:hAnsi="Google Sans" w:cs="Google Sans"/>
          <w:i/>
          <w:iCs/>
          <w:color w:val="1F1F1F"/>
        </w:rPr>
        <w:t xml:space="preserve">: Enerji birim fiyatı, </w:t>
      </w:r>
      <w:r>
        <w:rPr>
          <w:rFonts w:ascii="Google Sans" w:eastAsia="Google Sans" w:hAnsi="Google Sans" w:cs="Google Sans"/>
          <w:i/>
          <w:iCs/>
          <w:noProof/>
          <w:color w:val="1F1F1F"/>
        </w:rPr>
        <w:drawing>
          <wp:inline distT="19050" distB="19050" distL="19050" distR="19050" wp14:anchorId="44DDA02E" wp14:editId="0556D88F">
            <wp:extent cx="341312" cy="223986"/>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341312" cy="223986"/>
                    </a:xfrm>
                    <a:prstGeom prst="rect">
                      <a:avLst/>
                    </a:prstGeom>
                    <a:ln/>
                  </pic:spPr>
                </pic:pic>
              </a:graphicData>
            </a:graphic>
          </wp:inline>
        </w:drawing>
      </w:r>
      <w:r>
        <w:rPr>
          <w:rFonts w:ascii="Google Sans" w:eastAsia="Google Sans" w:hAnsi="Google Sans" w:cs="Google Sans"/>
          <w:i/>
          <w:iCs/>
          <w:color w:val="1F1F1F"/>
        </w:rPr>
        <w:t xml:space="preserve">: Engellenen karbon salınımı, </w:t>
      </w:r>
      <w:r>
        <w:rPr>
          <w:rFonts w:ascii="Google Sans" w:eastAsia="Google Sans" w:hAnsi="Google Sans" w:cs="Google Sans"/>
          <w:i/>
          <w:iCs/>
          <w:noProof/>
          <w:color w:val="1F1F1F"/>
        </w:rPr>
        <w:drawing>
          <wp:inline distT="19050" distB="19050" distL="19050" distR="19050" wp14:anchorId="6FBEA33D" wp14:editId="7F894B53">
            <wp:extent cx="183390" cy="22654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183390" cy="226540"/>
                    </a:xfrm>
                    <a:prstGeom prst="rect">
                      <a:avLst/>
                    </a:prstGeom>
                    <a:ln/>
                  </pic:spPr>
                </pic:pic>
              </a:graphicData>
            </a:graphic>
          </wp:inline>
        </w:drawing>
      </w:r>
      <w:r>
        <w:rPr>
          <w:rFonts w:ascii="Google Sans" w:eastAsia="Google Sans" w:hAnsi="Google Sans" w:cs="Google Sans"/>
          <w:i/>
          <w:iCs/>
          <w:color w:val="1F1F1F"/>
        </w:rPr>
        <w:t xml:space="preserve">: Karbon ton fiyatı/Gölge fiyat, </w:t>
      </w:r>
      <w:r>
        <w:rPr>
          <w:rFonts w:ascii="Google Sans" w:eastAsia="Google Sans" w:hAnsi="Google Sans" w:cs="Google Sans"/>
          <w:i/>
          <w:iCs/>
          <w:noProof/>
          <w:color w:val="1F1F1F"/>
        </w:rPr>
        <w:drawing>
          <wp:inline distT="19050" distB="19050" distL="19050" distR="19050" wp14:anchorId="511BAC35" wp14:editId="2DAA4D3D">
            <wp:extent cx="154947" cy="232420"/>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
                    <a:srcRect/>
                    <a:stretch>
                      <a:fillRect/>
                    </a:stretch>
                  </pic:blipFill>
                  <pic:spPr>
                    <a:xfrm>
                      <a:off x="0" y="0"/>
                      <a:ext cx="154947" cy="232420"/>
                    </a:xfrm>
                    <a:prstGeom prst="rect">
                      <a:avLst/>
                    </a:prstGeom>
                    <a:ln/>
                  </pic:spPr>
                </pic:pic>
              </a:graphicData>
            </a:graphic>
          </wp:inline>
        </w:drawing>
      </w:r>
      <w:r>
        <w:rPr>
          <w:rFonts w:ascii="Google Sans" w:eastAsia="Google Sans" w:hAnsi="Google Sans" w:cs="Google Sans"/>
          <w:i/>
          <w:iCs/>
          <w:color w:val="1F1F1F"/>
        </w:rPr>
        <w:t xml:space="preserve">: Başlangıç yatırım tutarı, </w:t>
      </w:r>
      <w:r>
        <w:rPr>
          <w:rFonts w:ascii="Google Sans" w:eastAsia="Google Sans" w:hAnsi="Google Sans" w:cs="Google Sans"/>
          <w:i/>
          <w:iCs/>
          <w:noProof/>
          <w:color w:val="1F1F1F"/>
        </w:rPr>
        <w:drawing>
          <wp:inline distT="19050" distB="19050" distL="19050" distR="19050" wp14:anchorId="7961EAC8" wp14:editId="3C7901C1">
            <wp:extent cx="88305" cy="2318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88305" cy="231800"/>
                    </a:xfrm>
                    <a:prstGeom prst="rect">
                      <a:avLst/>
                    </a:prstGeom>
                    <a:ln/>
                  </pic:spPr>
                </pic:pic>
              </a:graphicData>
            </a:graphic>
          </wp:inline>
        </w:drawing>
      </w:r>
      <w:r>
        <w:rPr>
          <w:rFonts w:ascii="Google Sans" w:eastAsia="Google Sans" w:hAnsi="Google Sans" w:cs="Google Sans"/>
          <w:i/>
          <w:iCs/>
          <w:color w:val="1F1F1F"/>
        </w:rPr>
        <w:t>: İskonto oranıdır.)</w:t>
      </w:r>
    </w:p>
    <w:p w14:paraId="5CDDA0A0"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B. G-ROI MODÜLÜ 2: Teknoloji Risk İskontosu (Tech-Risk Penalty)</w:t>
      </w:r>
    </w:p>
    <w:p w14:paraId="3D67FB15"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Yatırımın içerdiği teknolojinin başarısız olma olasılığını finansal modele yansıtır. Yatırımın niteliğine göre NASA kaynaklı </w:t>
      </w:r>
      <w:r>
        <w:rPr>
          <w:rFonts w:ascii="Google Sans" w:eastAsia="Google Sans" w:hAnsi="Google Sans" w:cs="Google Sans"/>
          <w:b/>
          <w:bCs/>
          <w:color w:val="1F1F1F"/>
        </w:rPr>
        <w:t>TRL (Technology Readiness Level - Teknoloji Hazırlık Seviyesi)</w:t>
      </w:r>
      <w:r>
        <w:rPr>
          <w:rFonts w:ascii="Google Sans" w:eastAsia="Google Sans" w:hAnsi="Google Sans" w:cs="Google Sans"/>
          <w:color w:val="1F1F1F"/>
        </w:rPr>
        <w:t xml:space="preserve"> skoru (1 ile 9 arası) kullanılır. Lojistik bir dönüşümle TRL skoru bir risk çarpanına dönüştürülür. Teknolojisi kanıtlanmış (TRL 9) projeler ceza almazken, deneysel projeler (TRL 5) yüksek teknoloji riski primi alır.</w:t>
      </w:r>
    </w:p>
    <w:p w14:paraId="5918301D" w14:textId="77777777" w:rsidR="00C165A3" w:rsidRDefault="00C165A3" w:rsidP="00C165A3">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C. DD-ESG MODÜLLERİ: Kurumsal Risk Optimizasyonu</w:t>
      </w:r>
    </w:p>
    <w:p w14:paraId="0FFAC06C" w14:textId="77777777" w:rsidR="00C165A3" w:rsidRDefault="00C165A3" w:rsidP="00C165A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Sistem, şirketlerin kurumsal risk parametrelerini dört temel algoritmik adımda hesaplar:</w:t>
      </w:r>
    </w:p>
    <w:p w14:paraId="21B4BAB0" w14:textId="77777777" w:rsidR="00C165A3" w:rsidRDefault="00C165A3" w:rsidP="00C165A3">
      <w:pPr>
        <w:widowControl w:val="0"/>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1. Sürekli Maruziyet ve Lojistik Taban Riski:</w:t>
      </w:r>
      <w:r>
        <w:rPr>
          <w:rFonts w:ascii="Arial" w:eastAsia="Arial" w:hAnsi="Arial" w:cs="Arial"/>
          <w:color w:val="000000"/>
          <w:sz w:val="22"/>
          <w:szCs w:val="22"/>
        </w:rPr>
        <w:br/>
      </w:r>
      <w:r>
        <w:rPr>
          <w:rFonts w:ascii="Google Sans" w:eastAsia="Google Sans" w:hAnsi="Google Sans" w:cs="Google Sans"/>
          <w:color w:val="1F1F1F"/>
        </w:rPr>
        <w:t>Sistem, riskleri keskin eşiklerle ayırmak yerine sürekli bir "Lojistik Bozunma" eğrisi ile modeller.</w:t>
      </w:r>
      <w:r>
        <w:rPr>
          <w:rFonts w:ascii="Google Sans" w:eastAsia="Google Sans" w:hAnsi="Google Sans" w:cs="Google Sans"/>
          <w:noProof/>
          <w:color w:val="1F1F1F"/>
        </w:rPr>
        <w:drawing>
          <wp:inline distT="19050" distB="19050" distL="19050" distR="19050" wp14:anchorId="09450FC6" wp14:editId="397ADD6C">
            <wp:extent cx="5905500" cy="643759"/>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905500" cy="643759"/>
                    </a:xfrm>
                    <a:prstGeom prst="rect">
                      <a:avLst/>
                    </a:prstGeom>
                    <a:ln/>
                  </pic:spPr>
                </pic:pic>
              </a:graphicData>
            </a:graphic>
          </wp:inline>
        </w:drawing>
      </w:r>
      <w:r>
        <w:rPr>
          <w:rFonts w:ascii="Arial" w:eastAsia="Arial" w:hAnsi="Arial" w:cs="Arial"/>
          <w:color w:val="000000"/>
          <w:sz w:val="22"/>
          <w:szCs w:val="22"/>
        </w:rPr>
        <w:br/>
      </w:r>
      <w:r>
        <w:rPr>
          <w:rFonts w:ascii="Google Sans" w:eastAsia="Google Sans" w:hAnsi="Google Sans" w:cs="Google Sans"/>
          <w:b/>
          <w:bCs/>
          <w:color w:val="1F1F1F"/>
        </w:rPr>
        <w:t>İfadeler:</w:t>
      </w:r>
    </w:p>
    <w:p w14:paraId="2D6AC868" w14:textId="77777777" w:rsidR="00C165A3" w:rsidRDefault="00C165A3" w:rsidP="00C165A3">
      <w:pPr>
        <w:widowControl w:val="0"/>
        <w:numPr>
          <w:ilvl w:val="1"/>
          <w:numId w:val="5"/>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398D3E71" wp14:editId="7AA15674">
            <wp:extent cx="557774" cy="221005"/>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557774" cy="221005"/>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A7EA571" wp14:editId="079D98ED">
            <wp:extent cx="63665" cy="222829"/>
            <wp:effectExtent l="0" t="0" r="0" b="0"/>
            <wp:docPr id="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3665" cy="222829"/>
                    </a:xfrm>
                    <a:prstGeom prst="rect">
                      <a:avLst/>
                    </a:prstGeom>
                    <a:ln/>
                  </pic:spPr>
                </pic:pic>
              </a:graphicData>
            </a:graphic>
          </wp:inline>
        </w:drawing>
      </w:r>
      <w:r>
        <w:rPr>
          <w:rFonts w:ascii="Google Sans" w:eastAsia="Google Sans" w:hAnsi="Google Sans" w:cs="Google Sans"/>
          <w:color w:val="1F1F1F"/>
        </w:rPr>
        <w:t xml:space="preserve"> şirketinin </w:t>
      </w:r>
      <w:r>
        <w:rPr>
          <w:rFonts w:ascii="Google Sans" w:eastAsia="Google Sans" w:hAnsi="Google Sans" w:cs="Google Sans"/>
          <w:noProof/>
          <w:color w:val="1F1F1F"/>
        </w:rPr>
        <w:drawing>
          <wp:inline distT="19050" distB="19050" distL="19050" distR="19050" wp14:anchorId="44006A67" wp14:editId="5EFED4FF">
            <wp:extent cx="66642" cy="233247"/>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66642" cy="233247"/>
                    </a:xfrm>
                    <a:prstGeom prst="rect">
                      <a:avLst/>
                    </a:prstGeom>
                    <a:ln/>
                  </pic:spPr>
                </pic:pic>
              </a:graphicData>
            </a:graphic>
          </wp:inline>
        </w:drawing>
      </w:r>
      <w:r>
        <w:rPr>
          <w:rFonts w:ascii="Google Sans" w:eastAsia="Google Sans" w:hAnsi="Google Sans" w:cs="Google Sans"/>
          <w:color w:val="1F1F1F"/>
        </w:rPr>
        <w:t xml:space="preserve"> anındaki Toplam Maruziyet Skoru.</w:t>
      </w:r>
    </w:p>
    <w:p w14:paraId="749708C8" w14:textId="77777777" w:rsidR="00C165A3" w:rsidRDefault="00C165A3" w:rsidP="00C165A3">
      <w:pPr>
        <w:widowControl w:val="0"/>
        <w:numPr>
          <w:ilvl w:val="1"/>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13E23D5" wp14:editId="77F1A37A">
            <wp:extent cx="339824" cy="223010"/>
            <wp:effectExtent l="0" t="0" r="0" b="0"/>
            <wp:docPr id="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339824" cy="223010"/>
                    </a:xfrm>
                    <a:prstGeom prst="rect">
                      <a:avLst/>
                    </a:prstGeom>
                    <a:ln/>
                  </pic:spPr>
                </pic:pic>
              </a:graphicData>
            </a:graphic>
          </wp:inline>
        </w:drawing>
      </w:r>
      <w:r>
        <w:rPr>
          <w:rFonts w:ascii="Google Sans" w:eastAsia="Google Sans" w:hAnsi="Google Sans" w:cs="Google Sans"/>
          <w:color w:val="1F1F1F"/>
        </w:rPr>
        <w:t>: Sektörün doğasından gelen deterministik Yönetilemez Risk tabanı.</w:t>
      </w:r>
    </w:p>
    <w:p w14:paraId="6138DA0A" w14:textId="77777777" w:rsidR="00C165A3" w:rsidRDefault="00C165A3" w:rsidP="00C165A3">
      <w:pPr>
        <w:widowControl w:val="0"/>
        <w:numPr>
          <w:ilvl w:val="1"/>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C197E54" wp14:editId="49100B7F">
            <wp:extent cx="206044" cy="227733"/>
            <wp:effectExtent l="0" t="0" r="0" b="0"/>
            <wp:docPr id="4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206044" cy="22773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795DCB5" wp14:editId="1B40CFDE">
            <wp:extent cx="101864" cy="237683"/>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101864" cy="237683"/>
                    </a:xfrm>
                    <a:prstGeom prst="rect">
                      <a:avLst/>
                    </a:prstGeom>
                    <a:ln/>
                  </pic:spPr>
                </pic:pic>
              </a:graphicData>
            </a:graphic>
          </wp:inline>
        </w:drawing>
      </w:r>
      <w:r>
        <w:rPr>
          <w:rFonts w:ascii="Google Sans" w:eastAsia="Google Sans" w:hAnsi="Google Sans" w:cs="Google Sans"/>
          <w:color w:val="1F1F1F"/>
        </w:rPr>
        <w:t xml:space="preserve"> risk olayının (örn. iş kazaları, M&amp;A) alabileceği maksimum risk cezası kapasitesi.</w:t>
      </w:r>
    </w:p>
    <w:p w14:paraId="5D11955C" w14:textId="77777777" w:rsidR="00C165A3" w:rsidRDefault="00C165A3" w:rsidP="00C165A3">
      <w:pPr>
        <w:widowControl w:val="0"/>
        <w:numPr>
          <w:ilvl w:val="1"/>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20732F66" wp14:editId="7DEE14EC">
            <wp:extent cx="348919" cy="222039"/>
            <wp:effectExtent l="0" t="0" r="0" b="0"/>
            <wp:docPr id="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348919" cy="222039"/>
                    </a:xfrm>
                    <a:prstGeom prst="rect">
                      <a:avLst/>
                    </a:prstGeom>
                    <a:ln/>
                  </pic:spPr>
                </pic:pic>
              </a:graphicData>
            </a:graphic>
          </wp:inline>
        </w:drawing>
      </w:r>
      <w:r>
        <w:rPr>
          <w:rFonts w:ascii="Google Sans" w:eastAsia="Google Sans" w:hAnsi="Google Sans" w:cs="Google Sans"/>
          <w:color w:val="1F1F1F"/>
        </w:rPr>
        <w:t>: Olayın gerçekleşme şiddeti (Örn: İşten çıkarılan personel yüzdesi).</w:t>
      </w:r>
    </w:p>
    <w:p w14:paraId="069BE190" w14:textId="77777777" w:rsidR="00C165A3" w:rsidRDefault="00C165A3" w:rsidP="00C165A3">
      <w:pPr>
        <w:widowControl w:val="0"/>
        <w:numPr>
          <w:ilvl w:val="1"/>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31A59CC5" wp14:editId="397BEEEF">
            <wp:extent cx="286411" cy="231332"/>
            <wp:effectExtent l="0" t="0" r="0" b="0"/>
            <wp:docPr id="4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286411" cy="231332"/>
                    </a:xfrm>
                    <a:prstGeom prst="rect">
                      <a:avLst/>
                    </a:prstGeom>
                    <a:ln/>
                  </pic:spPr>
                </pic:pic>
              </a:graphicData>
            </a:graphic>
          </wp:inline>
        </w:drawing>
      </w:r>
      <w:r>
        <w:rPr>
          <w:rFonts w:ascii="Google Sans" w:eastAsia="Google Sans" w:hAnsi="Google Sans" w:cs="Google Sans"/>
          <w:color w:val="1F1F1F"/>
        </w:rPr>
        <w:t>: Riskin piyasa tarafından tolere edilebildiği ampirik büküm noktası.</w:t>
      </w:r>
    </w:p>
    <w:p w14:paraId="2528FD72" w14:textId="77777777" w:rsidR="00C165A3" w:rsidRDefault="00C165A3" w:rsidP="00C165A3">
      <w:pPr>
        <w:widowControl w:val="0"/>
        <w:numPr>
          <w:ilvl w:val="1"/>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28A1798" wp14:editId="66B81B13">
            <wp:extent cx="187854" cy="232055"/>
            <wp:effectExtent l="0" t="0" r="0" b="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187854" cy="232055"/>
                    </a:xfrm>
                    <a:prstGeom prst="rect">
                      <a:avLst/>
                    </a:prstGeom>
                    <a:ln/>
                  </pic:spPr>
                </pic:pic>
              </a:graphicData>
            </a:graphic>
          </wp:inline>
        </w:drawing>
      </w:r>
      <w:r>
        <w:rPr>
          <w:rFonts w:ascii="Google Sans" w:eastAsia="Google Sans" w:hAnsi="Google Sans" w:cs="Google Sans"/>
          <w:color w:val="1F1F1F"/>
        </w:rPr>
        <w:t>: Eğrinin dikliğini (riskin ne kadar hızlı tırmandığını) belirleyen büyüme katsayısı.</w:t>
      </w:r>
    </w:p>
    <w:p w14:paraId="308FD7BB" w14:textId="77777777" w:rsidR="00C165A3" w:rsidRDefault="00C165A3" w:rsidP="00C165A3">
      <w:pPr>
        <w:widowControl w:val="0"/>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2. XGBoost Destekli Dinamik Yönetim Skoru:</w:t>
      </w:r>
      <w:r>
        <w:rPr>
          <w:rFonts w:ascii="Arial" w:eastAsia="Arial" w:hAnsi="Arial" w:cs="Arial"/>
          <w:color w:val="000000"/>
          <w:sz w:val="22"/>
          <w:szCs w:val="22"/>
        </w:rPr>
        <w:br/>
      </w:r>
      <w:r>
        <w:rPr>
          <w:rFonts w:ascii="Google Sans" w:eastAsia="Google Sans" w:hAnsi="Google Sans" w:cs="Google Sans"/>
          <w:color w:val="1F1F1F"/>
        </w:rPr>
        <w:t>Şirketin riski yönetim becerisi XGBoost (Gradient Boosting Trees) algoritmasıyla belirlenir.</w:t>
      </w:r>
      <w:r>
        <w:rPr>
          <w:rFonts w:ascii="Google Sans" w:eastAsia="Google Sans" w:hAnsi="Google Sans" w:cs="Google Sans"/>
          <w:noProof/>
          <w:color w:val="1F1F1F"/>
        </w:rPr>
        <w:drawing>
          <wp:inline distT="19050" distB="19050" distL="19050" distR="19050" wp14:anchorId="3FF3A795" wp14:editId="0170C664">
            <wp:extent cx="5905500" cy="637190"/>
            <wp:effectExtent l="0" t="0" r="0" b="0"/>
            <wp:docPr id="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905500" cy="637190"/>
                    </a:xfrm>
                    <a:prstGeom prst="rect">
                      <a:avLst/>
                    </a:prstGeom>
                    <a:ln/>
                  </pic:spPr>
                </pic:pic>
              </a:graphicData>
            </a:graphic>
          </wp:inline>
        </w:drawing>
      </w:r>
      <w:r>
        <w:rPr>
          <w:rFonts w:ascii="Arial" w:eastAsia="Arial" w:hAnsi="Arial" w:cs="Arial"/>
          <w:color w:val="000000"/>
          <w:sz w:val="22"/>
          <w:szCs w:val="22"/>
        </w:rPr>
        <w:br/>
      </w:r>
      <w:r>
        <w:rPr>
          <w:rFonts w:ascii="Google Sans" w:eastAsia="Google Sans" w:hAnsi="Google Sans" w:cs="Google Sans"/>
          <w:b/>
          <w:bCs/>
          <w:color w:val="1F1F1F"/>
        </w:rPr>
        <w:t>İfadeler:</w:t>
      </w:r>
    </w:p>
    <w:p w14:paraId="1953E831" w14:textId="77777777" w:rsidR="00C165A3" w:rsidRDefault="00C165A3" w:rsidP="00C165A3">
      <w:pPr>
        <w:widowControl w:val="0"/>
        <w:numPr>
          <w:ilvl w:val="1"/>
          <w:numId w:val="6"/>
        </w:numPr>
        <w:pBdr>
          <w:top w:val="nil"/>
          <w:left w:val="nil"/>
          <w:bottom w:val="nil"/>
          <w:right w:val="nil"/>
          <w:between w:val="nil"/>
        </w:pBdr>
        <w:spacing w:line="275" w:lineRule="auto"/>
      </w:pPr>
      <w:r>
        <w:rPr>
          <w:rFonts w:ascii="Google Sans" w:eastAsia="Google Sans" w:hAnsi="Google Sans" w:cs="Google Sans"/>
          <w:b/>
          <w:bCs/>
          <w:noProof/>
          <w:color w:val="1F1F1F"/>
        </w:rPr>
        <w:lastRenderedPageBreak/>
        <w:drawing>
          <wp:inline distT="19050" distB="19050" distL="19050" distR="19050" wp14:anchorId="5E7793D6" wp14:editId="2C6F6AB6">
            <wp:extent cx="766796" cy="223649"/>
            <wp:effectExtent l="0" t="0" r="0" b="0"/>
            <wp:docPr id="4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766796" cy="223649"/>
                    </a:xfrm>
                    <a:prstGeom prst="rect">
                      <a:avLst/>
                    </a:prstGeom>
                    <a:ln/>
                  </pic:spPr>
                </pic:pic>
              </a:graphicData>
            </a:graphic>
          </wp:inline>
        </w:drawing>
      </w:r>
      <w:r>
        <w:rPr>
          <w:rFonts w:ascii="Google Sans" w:eastAsia="Google Sans" w:hAnsi="Google Sans" w:cs="Google Sans"/>
          <w:color w:val="1F1F1F"/>
        </w:rPr>
        <w:t xml:space="preserve">: Şirketin </w:t>
      </w:r>
      <w:r>
        <w:rPr>
          <w:rFonts w:ascii="Google Sans" w:eastAsia="Google Sans" w:hAnsi="Google Sans" w:cs="Google Sans"/>
          <w:noProof/>
          <w:color w:val="1F1F1F"/>
        </w:rPr>
        <w:drawing>
          <wp:inline distT="19050" distB="19050" distL="19050" distR="19050" wp14:anchorId="495D919F" wp14:editId="25A861DF">
            <wp:extent cx="66642" cy="233247"/>
            <wp:effectExtent l="0" t="0" r="0" b="0"/>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66642" cy="233247"/>
                    </a:xfrm>
                    <a:prstGeom prst="rect">
                      <a:avLst/>
                    </a:prstGeom>
                    <a:ln/>
                  </pic:spPr>
                </pic:pic>
              </a:graphicData>
            </a:graphic>
          </wp:inline>
        </w:drawing>
      </w:r>
      <w:r>
        <w:rPr>
          <w:rFonts w:ascii="Google Sans" w:eastAsia="Google Sans" w:hAnsi="Google Sans" w:cs="Google Sans"/>
          <w:color w:val="1F1F1F"/>
        </w:rPr>
        <w:t xml:space="preserve"> anındaki optimize edilmiş Yönetim Skoru.</w:t>
      </w:r>
    </w:p>
    <w:p w14:paraId="42FF6FAD" w14:textId="77777777" w:rsidR="00C165A3" w:rsidRDefault="00C165A3" w:rsidP="00C165A3">
      <w:pPr>
        <w:widowControl w:val="0"/>
        <w:numPr>
          <w:ilvl w:val="1"/>
          <w:numId w:val="6"/>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47BF6B13" wp14:editId="157B812F">
            <wp:extent cx="523875" cy="22451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23875" cy="224518"/>
                    </a:xfrm>
                    <a:prstGeom prst="rect">
                      <a:avLst/>
                    </a:prstGeom>
                    <a:ln/>
                  </pic:spPr>
                </pic:pic>
              </a:graphicData>
            </a:graphic>
          </wp:inline>
        </w:drawing>
      </w:r>
      <w:r>
        <w:rPr>
          <w:rFonts w:ascii="Google Sans" w:eastAsia="Google Sans" w:hAnsi="Google Sans" w:cs="Google Sans"/>
          <w:color w:val="1F1F1F"/>
        </w:rPr>
        <w:t xml:space="preserve">: Eksik verileri 'Rastgele Olmayan Eksiklik' varsayımıyla cezalandırılarak doldurulmuş </w:t>
      </w:r>
      <w:r>
        <w:rPr>
          <w:rFonts w:ascii="Google Sans" w:eastAsia="Google Sans" w:hAnsi="Google Sans" w:cs="Google Sans"/>
          <w:noProof/>
          <w:color w:val="1F1F1F"/>
        </w:rPr>
        <w:drawing>
          <wp:inline distT="19050" distB="19050" distL="19050" distR="19050" wp14:anchorId="3E17B447" wp14:editId="2E6BD738">
            <wp:extent cx="86486" cy="227025"/>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86486" cy="227025"/>
                    </a:xfrm>
                    <a:prstGeom prst="rect">
                      <a:avLst/>
                    </a:prstGeom>
                    <a:ln/>
                  </pic:spPr>
                </pic:pic>
              </a:graphicData>
            </a:graphic>
          </wp:inline>
        </w:drawing>
      </w:r>
      <w:r>
        <w:rPr>
          <w:rFonts w:ascii="Google Sans" w:eastAsia="Google Sans" w:hAnsi="Google Sans" w:cs="Google Sans"/>
          <w:color w:val="1F1F1F"/>
        </w:rPr>
        <w:t xml:space="preserve"> numaralı Alternatif Veri vektörü (örn. NLP çalışan duyarlılığı).</w:t>
      </w:r>
    </w:p>
    <w:p w14:paraId="5C6C0B73" w14:textId="77777777" w:rsidR="00C165A3" w:rsidRDefault="00C165A3" w:rsidP="00C165A3">
      <w:pPr>
        <w:widowControl w:val="0"/>
        <w:numPr>
          <w:ilvl w:val="1"/>
          <w:numId w:val="6"/>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A2C477F" wp14:editId="0FBFD045">
            <wp:extent cx="262103" cy="220167"/>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262103" cy="220167"/>
                    </a:xfrm>
                    <a:prstGeom prst="rect">
                      <a:avLst/>
                    </a:prstGeom>
                    <a:ln/>
                  </pic:spPr>
                </pic:pic>
              </a:graphicData>
            </a:graphic>
          </wp:inline>
        </w:drawing>
      </w:r>
      <w:r>
        <w:rPr>
          <w:rFonts w:ascii="Google Sans" w:eastAsia="Google Sans" w:hAnsi="Google Sans" w:cs="Google Sans"/>
          <w:color w:val="1F1F1F"/>
        </w:rPr>
        <w:t>: XGBoost modelinden elde edilen ve toplamı 1 olacak şekilde normalize edilmiş SHAP önem ağırlığı.</w:t>
      </w:r>
    </w:p>
    <w:p w14:paraId="38001F2F" w14:textId="77777777" w:rsidR="00C165A3" w:rsidRDefault="00C165A3" w:rsidP="00C165A3">
      <w:pPr>
        <w:widowControl w:val="0"/>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3. Çapraz Sütun Sızıntısı ve Üstel Ceza Mekanizması:</w:t>
      </w:r>
      <w:r>
        <w:rPr>
          <w:rFonts w:ascii="Arial" w:eastAsia="Arial" w:hAnsi="Arial" w:cs="Arial"/>
          <w:color w:val="000000"/>
          <w:sz w:val="22"/>
          <w:szCs w:val="22"/>
        </w:rPr>
        <w:br/>
      </w:r>
      <w:r>
        <w:rPr>
          <w:rFonts w:ascii="Google Sans" w:eastAsia="Google Sans" w:hAnsi="Google Sans" w:cs="Google Sans"/>
          <w:color w:val="1F1F1F"/>
        </w:rPr>
        <w:t>Çapraz Sütun Sızıntısı modülü ile, bir şirket karbon emisyonu veya belirlenen risk toleransını aştığında, sadece "E" skoru düşmekle kalmaz; NLP şoklarıyla (olumsuz haberler) tetiklenen bir "Üstel Sızıntı Çarpanı" devreye girerek şirketin diğer skorlarını da hızla aşağı çeker.</w:t>
      </w:r>
      <w:r>
        <w:rPr>
          <w:rFonts w:ascii="Google Sans" w:eastAsia="Google Sans" w:hAnsi="Google Sans" w:cs="Google Sans"/>
          <w:noProof/>
          <w:color w:val="1F1F1F"/>
        </w:rPr>
        <w:drawing>
          <wp:inline distT="19050" distB="19050" distL="19050" distR="19050" wp14:anchorId="4CA5A7BB" wp14:editId="0A208169">
            <wp:extent cx="5905500" cy="479534"/>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905500" cy="479534"/>
                    </a:xfrm>
                    <a:prstGeom prst="rect">
                      <a:avLst/>
                    </a:prstGeom>
                    <a:ln/>
                  </pic:spPr>
                </pic:pic>
              </a:graphicData>
            </a:graphic>
          </wp:inline>
        </w:drawing>
      </w:r>
      <w:r>
        <w:rPr>
          <w:rFonts w:ascii="Arial" w:eastAsia="Arial" w:hAnsi="Arial" w:cs="Arial"/>
          <w:color w:val="000000"/>
          <w:sz w:val="22"/>
          <w:szCs w:val="22"/>
        </w:rPr>
        <w:br/>
      </w:r>
      <w:r>
        <w:rPr>
          <w:rFonts w:ascii="Google Sans" w:eastAsia="Google Sans" w:hAnsi="Google Sans" w:cs="Google Sans"/>
          <w:b/>
          <w:bCs/>
          <w:color w:val="1F1F1F"/>
        </w:rPr>
        <w:t>İfadeler:</w:t>
      </w:r>
    </w:p>
    <w:p w14:paraId="77B910D5" w14:textId="77777777" w:rsidR="00C165A3" w:rsidRDefault="00C165A3" w:rsidP="00C165A3">
      <w:pPr>
        <w:widowControl w:val="0"/>
        <w:numPr>
          <w:ilvl w:val="1"/>
          <w:numId w:val="7"/>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1C114FC5" wp14:editId="5F2DFC00">
            <wp:extent cx="593493" cy="226606"/>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93493" cy="226606"/>
                    </a:xfrm>
                    <a:prstGeom prst="rect">
                      <a:avLst/>
                    </a:prstGeom>
                    <a:ln/>
                  </pic:spPr>
                </pic:pic>
              </a:graphicData>
            </a:graphic>
          </wp:inline>
        </w:drawing>
      </w:r>
      <w:r>
        <w:rPr>
          <w:rFonts w:ascii="Google Sans" w:eastAsia="Google Sans" w:hAnsi="Google Sans" w:cs="Google Sans"/>
          <w:color w:val="1F1F1F"/>
        </w:rPr>
        <w:t>: Tüm cezalar uygulandıktan sonraki nihai ESG Sosyal Skoru.</w:t>
      </w:r>
    </w:p>
    <w:p w14:paraId="11C7B584" w14:textId="77777777" w:rsidR="00C165A3" w:rsidRDefault="00C165A3" w:rsidP="00C165A3">
      <w:pPr>
        <w:widowControl w:val="0"/>
        <w:numPr>
          <w:ilvl w:val="1"/>
          <w:numId w:val="7"/>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2297820" wp14:editId="0BF21B3A">
            <wp:extent cx="456571" cy="222977"/>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456571" cy="222977"/>
                    </a:xfrm>
                    <a:prstGeom prst="rect">
                      <a:avLst/>
                    </a:prstGeom>
                    <a:ln/>
                  </pic:spPr>
                </pic:pic>
              </a:graphicData>
            </a:graphic>
          </wp:inline>
        </w:drawing>
      </w:r>
      <w:r>
        <w:rPr>
          <w:rFonts w:ascii="Google Sans" w:eastAsia="Google Sans" w:hAnsi="Google Sans" w:cs="Google Sans"/>
          <w:color w:val="1F1F1F"/>
        </w:rPr>
        <w:t>: Sektörün istatistiksel varyansından türetilmiş tavan ve taban katsayıları (MSCI’deki keyfi 7 ve 2 sabitlerinin yerini alır).</w:t>
      </w:r>
    </w:p>
    <w:p w14:paraId="358B3F6D" w14:textId="77777777" w:rsidR="00C165A3" w:rsidRDefault="00C165A3" w:rsidP="00C165A3">
      <w:pPr>
        <w:widowControl w:val="0"/>
        <w:numPr>
          <w:ilvl w:val="1"/>
          <w:numId w:val="7"/>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20B2B01" wp14:editId="617DB944">
            <wp:extent cx="268221" cy="225306"/>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268221" cy="225306"/>
                    </a:xfrm>
                    <a:prstGeom prst="rect">
                      <a:avLst/>
                    </a:prstGeom>
                    <a:ln/>
                  </pic:spPr>
                </pic:pic>
              </a:graphicData>
            </a:graphic>
          </wp:inline>
        </w:drawing>
      </w:r>
      <w:r>
        <w:rPr>
          <w:rFonts w:ascii="Google Sans" w:eastAsia="Google Sans" w:hAnsi="Google Sans" w:cs="Google Sans"/>
          <w:color w:val="1F1F1F"/>
        </w:rPr>
        <w:t>: Şirketin gerçek zamanlı karbon (veya risk) yoğunluğu.</w:t>
      </w:r>
    </w:p>
    <w:p w14:paraId="3A0D1476" w14:textId="77777777" w:rsidR="00C165A3" w:rsidRDefault="00C165A3" w:rsidP="00C165A3">
      <w:pPr>
        <w:widowControl w:val="0"/>
        <w:numPr>
          <w:ilvl w:val="1"/>
          <w:numId w:val="7"/>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2F39568C" wp14:editId="45BA0177">
            <wp:extent cx="101534" cy="236912"/>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101534" cy="236912"/>
                    </a:xfrm>
                    <a:prstGeom prst="rect">
                      <a:avLst/>
                    </a:prstGeom>
                    <a:ln/>
                  </pic:spPr>
                </pic:pic>
              </a:graphicData>
            </a:graphic>
          </wp:inline>
        </w:drawing>
      </w:r>
      <w:r>
        <w:rPr>
          <w:rFonts w:ascii="Google Sans" w:eastAsia="Google Sans" w:hAnsi="Google Sans" w:cs="Google Sans"/>
          <w:color w:val="1F1F1F"/>
        </w:rPr>
        <w:t>: Sektörün tolere edilebilir emisyon/risk eşiği.</w:t>
      </w:r>
    </w:p>
    <w:p w14:paraId="22D6C0DF" w14:textId="77777777" w:rsidR="00C165A3" w:rsidRDefault="00C165A3" w:rsidP="00C165A3">
      <w:pPr>
        <w:widowControl w:val="0"/>
        <w:numPr>
          <w:ilvl w:val="1"/>
          <w:numId w:val="7"/>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BD70C73" wp14:editId="54053F90">
            <wp:extent cx="105833" cy="246944"/>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105833" cy="246944"/>
                    </a:xfrm>
                    <a:prstGeom prst="rect">
                      <a:avLst/>
                    </a:prstGeom>
                    <a:ln/>
                  </pic:spPr>
                </pic:pic>
              </a:graphicData>
            </a:graphic>
          </wp:inline>
        </w:drawing>
      </w:r>
      <w:r>
        <w:rPr>
          <w:rFonts w:ascii="Google Sans" w:eastAsia="Google Sans" w:hAnsi="Google Sans" w:cs="Google Sans"/>
          <w:color w:val="1F1F1F"/>
        </w:rPr>
        <w:t>: NLP şok algoritmalarından gelen ve cezanın yıkıcılığını belirleyen bozunma (decay) katsayısı.</w:t>
      </w:r>
    </w:p>
    <w:p w14:paraId="23B1E1DC" w14:textId="77777777" w:rsidR="00C165A3" w:rsidRDefault="00C165A3" w:rsidP="00C165A3">
      <w:pPr>
        <w:widowControl w:val="0"/>
        <w:numPr>
          <w:ilvl w:val="1"/>
          <w:numId w:val="7"/>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8646275" wp14:editId="6E2218F7">
            <wp:extent cx="215801" cy="226591"/>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215801" cy="226591"/>
                    </a:xfrm>
                    <a:prstGeom prst="rect">
                      <a:avLst/>
                    </a:prstGeom>
                    <a:ln/>
                  </pic:spPr>
                </pic:pic>
              </a:graphicData>
            </a:graphic>
          </wp:inline>
        </w:drawing>
      </w:r>
      <w:r>
        <w:rPr>
          <w:rFonts w:ascii="Google Sans" w:eastAsia="Google Sans" w:hAnsi="Google Sans" w:cs="Google Sans"/>
          <w:color w:val="1F1F1F"/>
        </w:rPr>
        <w:t>: Sektörel varyans (Aykırı/Outlier değer etkisini nötralize eder).</w:t>
      </w:r>
    </w:p>
    <w:p w14:paraId="7A328D42" w14:textId="77777777" w:rsidR="00C165A3" w:rsidRDefault="00C165A3" w:rsidP="00C165A3">
      <w:pPr>
        <w:widowControl w:val="0"/>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4. İstatistiksel Sıralama ve eCDF:</w:t>
      </w:r>
      <w:r>
        <w:rPr>
          <w:rFonts w:ascii="Arial" w:eastAsia="Arial" w:hAnsi="Arial" w:cs="Arial"/>
          <w:color w:val="000000"/>
          <w:sz w:val="22"/>
          <w:szCs w:val="22"/>
        </w:rPr>
        <w:br/>
      </w:r>
      <w:r>
        <w:rPr>
          <w:rFonts w:ascii="Google Sans" w:eastAsia="Google Sans" w:hAnsi="Google Sans" w:cs="Google Sans"/>
          <w:color w:val="1F1F1F"/>
        </w:rPr>
        <w:t>Sıralamalar, verinin normal dağıldığını varsayan geleneksel Z-skoru yerine Ampirik Kümülatif Dağılım Fonksiyonu (eCDF) ile hesaplanarak aşırı uç değerlerin modeli bozması engellenir.</w:t>
      </w:r>
      <w:r>
        <w:rPr>
          <w:rFonts w:ascii="Google Sans" w:eastAsia="Google Sans" w:hAnsi="Google Sans" w:cs="Google Sans"/>
          <w:noProof/>
          <w:color w:val="1F1F1F"/>
        </w:rPr>
        <w:drawing>
          <wp:inline distT="19050" distB="19050" distL="19050" distR="19050" wp14:anchorId="2D249C3D" wp14:editId="708AA833">
            <wp:extent cx="5905500" cy="610914"/>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05500" cy="610914"/>
                    </a:xfrm>
                    <a:prstGeom prst="rect">
                      <a:avLst/>
                    </a:prstGeom>
                    <a:ln/>
                  </pic:spPr>
                </pic:pic>
              </a:graphicData>
            </a:graphic>
          </wp:inline>
        </w:drawing>
      </w:r>
      <w:r>
        <w:rPr>
          <w:rFonts w:ascii="Arial" w:eastAsia="Arial" w:hAnsi="Arial" w:cs="Arial"/>
          <w:color w:val="000000"/>
          <w:sz w:val="22"/>
          <w:szCs w:val="22"/>
        </w:rPr>
        <w:br/>
      </w:r>
      <w:r>
        <w:rPr>
          <w:rFonts w:ascii="Google Sans" w:eastAsia="Google Sans" w:hAnsi="Google Sans" w:cs="Google Sans"/>
          <w:b/>
          <w:bCs/>
          <w:color w:val="1F1F1F"/>
        </w:rPr>
        <w:t>İfadeler:</w:t>
      </w:r>
    </w:p>
    <w:p w14:paraId="0062231A" w14:textId="77777777" w:rsidR="00C165A3" w:rsidRDefault="00C165A3" w:rsidP="00C165A3">
      <w:pPr>
        <w:widowControl w:val="0"/>
        <w:numPr>
          <w:ilvl w:val="1"/>
          <w:numId w:val="8"/>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126396C7" wp14:editId="119C19A7">
            <wp:extent cx="398694" cy="226286"/>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398694" cy="22628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C90C87A" wp14:editId="4967BB9F">
            <wp:extent cx="63665" cy="222829"/>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3665" cy="222829"/>
                    </a:xfrm>
                    <a:prstGeom prst="rect">
                      <a:avLst/>
                    </a:prstGeom>
                    <a:ln/>
                  </pic:spPr>
                </pic:pic>
              </a:graphicData>
            </a:graphic>
          </wp:inline>
        </w:drawing>
      </w:r>
      <w:r>
        <w:rPr>
          <w:rFonts w:ascii="Google Sans" w:eastAsia="Google Sans" w:hAnsi="Google Sans" w:cs="Google Sans"/>
          <w:color w:val="1F1F1F"/>
        </w:rPr>
        <w:t xml:space="preserve"> şirketinin sektör içindeki nihai yüzdelik sırası (0 ile 1 arası).</w:t>
      </w:r>
    </w:p>
    <w:p w14:paraId="4FE95551" w14:textId="77777777" w:rsidR="00C165A3" w:rsidRDefault="00C165A3" w:rsidP="00C165A3">
      <w:pPr>
        <w:widowControl w:val="0"/>
        <w:numPr>
          <w:ilvl w:val="1"/>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2B95B1A8" wp14:editId="28CD4D47">
            <wp:extent cx="110629" cy="232321"/>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110629" cy="232321"/>
                    </a:xfrm>
                    <a:prstGeom prst="rect">
                      <a:avLst/>
                    </a:prstGeom>
                    <a:ln/>
                  </pic:spPr>
                </pic:pic>
              </a:graphicData>
            </a:graphic>
          </wp:inline>
        </w:drawing>
      </w:r>
      <w:r>
        <w:rPr>
          <w:rFonts w:ascii="Google Sans" w:eastAsia="Google Sans" w:hAnsi="Google Sans" w:cs="Google Sans"/>
          <w:color w:val="1F1F1F"/>
        </w:rPr>
        <w:t>: Endüstri/sektör grubundaki toplam şirket sayısı.</w:t>
      </w:r>
    </w:p>
    <w:p w14:paraId="457AD919" w14:textId="77777777" w:rsidR="00C165A3" w:rsidRDefault="00C165A3" w:rsidP="00C165A3">
      <w:pPr>
        <w:widowControl w:val="0"/>
        <w:numPr>
          <w:ilvl w:val="1"/>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71A6F10" wp14:editId="7C23A395">
            <wp:extent cx="254827" cy="222974"/>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254827" cy="222974"/>
                    </a:xfrm>
                    <a:prstGeom prst="rect">
                      <a:avLst/>
                    </a:prstGeom>
                    <a:ln/>
                  </pic:spPr>
                </pic:pic>
              </a:graphicData>
            </a:graphic>
          </wp:inline>
        </w:drawing>
      </w:r>
      <w:r>
        <w:rPr>
          <w:rFonts w:ascii="Google Sans" w:eastAsia="Google Sans" w:hAnsi="Google Sans" w:cs="Google Sans"/>
          <w:color w:val="1F1F1F"/>
        </w:rPr>
        <w:t xml:space="preserve">: Kıyaslanan </w:t>
      </w:r>
      <w:r>
        <w:rPr>
          <w:rFonts w:ascii="Google Sans" w:eastAsia="Google Sans" w:hAnsi="Google Sans" w:cs="Google Sans"/>
          <w:noProof/>
          <w:color w:val="1F1F1F"/>
        </w:rPr>
        <w:drawing>
          <wp:inline distT="19050" distB="19050" distL="19050" distR="19050" wp14:anchorId="7E47851C" wp14:editId="18CA784A">
            <wp:extent cx="63665" cy="222829"/>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3665" cy="222829"/>
                    </a:xfrm>
                    <a:prstGeom prst="rect">
                      <a:avLst/>
                    </a:prstGeom>
                    <a:ln/>
                  </pic:spPr>
                </pic:pic>
              </a:graphicData>
            </a:graphic>
          </wp:inline>
        </w:drawing>
      </w:r>
      <w:r>
        <w:rPr>
          <w:rFonts w:ascii="Google Sans" w:eastAsia="Google Sans" w:hAnsi="Google Sans" w:cs="Google Sans"/>
          <w:color w:val="1F1F1F"/>
        </w:rPr>
        <w:t xml:space="preserve"> şirketinin nihai DD-ESG skoru (</w:t>
      </w:r>
      <w:r>
        <w:rPr>
          <w:rFonts w:ascii="Google Sans" w:eastAsia="Google Sans" w:hAnsi="Google Sans" w:cs="Google Sans"/>
          <w:noProof/>
          <w:color w:val="1F1F1F"/>
        </w:rPr>
        <w:drawing>
          <wp:inline distT="19050" distB="19050" distL="19050" distR="19050" wp14:anchorId="2A755EC3" wp14:editId="73C13B4C">
            <wp:extent cx="323453" cy="226417"/>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323453" cy="226417"/>
                    </a:xfrm>
                    <a:prstGeom prst="rect">
                      <a:avLst/>
                    </a:prstGeom>
                    <a:ln/>
                  </pic:spPr>
                </pic:pic>
              </a:graphicData>
            </a:graphic>
          </wp:inline>
        </w:drawing>
      </w:r>
      <w:r>
        <w:rPr>
          <w:rFonts w:ascii="Google Sans" w:eastAsia="Google Sans" w:hAnsi="Google Sans" w:cs="Google Sans"/>
          <w:color w:val="1F1F1F"/>
        </w:rPr>
        <w:t xml:space="preserve"> ise </w:t>
      </w:r>
      <w:r>
        <w:rPr>
          <w:rFonts w:ascii="Google Sans" w:eastAsia="Google Sans" w:hAnsi="Google Sans" w:cs="Google Sans"/>
          <w:noProof/>
          <w:color w:val="1F1F1F"/>
        </w:rPr>
        <w:drawing>
          <wp:inline distT="19050" distB="19050" distL="19050" distR="19050" wp14:anchorId="570CD85B" wp14:editId="22D4FDBE">
            <wp:extent cx="161892" cy="226648"/>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161892" cy="226648"/>
                    </a:xfrm>
                    <a:prstGeom prst="rect">
                      <a:avLst/>
                    </a:prstGeom>
                    <a:ln/>
                  </pic:spPr>
                </pic:pic>
              </a:graphicData>
            </a:graphic>
          </wp:inline>
        </w:drawing>
      </w:r>
      <w:r>
        <w:rPr>
          <w:rFonts w:ascii="Google Sans" w:eastAsia="Google Sans" w:hAnsi="Google Sans" w:cs="Google Sans"/>
          <w:color w:val="1F1F1F"/>
        </w:rPr>
        <w:t xml:space="preserve"> şirketinin skorudur).</w:t>
      </w:r>
    </w:p>
    <w:p w14:paraId="14E75FB0" w14:textId="77777777" w:rsidR="00C165A3" w:rsidRDefault="00C165A3" w:rsidP="00C165A3">
      <w:pPr>
        <w:widowControl w:val="0"/>
        <w:numPr>
          <w:ilvl w:val="1"/>
          <w:numId w:val="8"/>
        </w:numPr>
        <w:pBdr>
          <w:top w:val="nil"/>
          <w:left w:val="nil"/>
          <w:bottom w:val="nil"/>
          <w:right w:val="nil"/>
          <w:between w:val="nil"/>
        </w:pBdr>
        <w:spacing w:after="120" w:line="275" w:lineRule="auto"/>
      </w:pPr>
      <w:r>
        <w:rPr>
          <w:rFonts w:ascii="Google Sans" w:eastAsia="Google Sans" w:hAnsi="Google Sans" w:cs="Google Sans"/>
          <w:noProof/>
          <w:color w:val="1F1F1F"/>
        </w:rPr>
        <w:drawing>
          <wp:inline distT="19050" distB="19050" distL="19050" distR="19050" wp14:anchorId="60171DF7" wp14:editId="71E5728E">
            <wp:extent cx="106164" cy="247715"/>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106164" cy="247715"/>
                    </a:xfrm>
                    <a:prstGeom prst="rect">
                      <a:avLst/>
                    </a:prstGeom>
                    <a:ln/>
                  </pic:spPr>
                </pic:pic>
              </a:graphicData>
            </a:graphic>
          </wp:inline>
        </w:drawing>
      </w:r>
      <w:r>
        <w:rPr>
          <w:rFonts w:ascii="Google Sans" w:eastAsia="Google Sans" w:hAnsi="Google Sans" w:cs="Google Sans"/>
          <w:color w:val="1F1F1F"/>
        </w:rPr>
        <w:t>: İndikatör Fonksiyonu. Eğer içerideki şart sağlanıyorsa 1, sağlanmıyorsa 0 değerini alır.</w:t>
      </w:r>
    </w:p>
    <w:p w14:paraId="0B4EA0FB" w14:textId="77777777" w:rsidR="00C165A3" w:rsidRDefault="00C165A3" w:rsidP="00C165A3">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D. FİNANSAL MODELLEME VE DİNAMİK FAİZ MOTORU (Pricing Engine)</w:t>
      </w:r>
    </w:p>
    <w:p w14:paraId="62827FF1"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Sistemin en yenilikçi adımıdır. DD-ESG modelinden gelen "Kurumsal Skor" ile G-ROI modüllerinden gelen "Yeşil Yatırım Skoru", yapay zeka tarafından çift girişli (bivariate) bir ağırlıklı matriste buluşturulur.</w:t>
      </w:r>
    </w:p>
    <w:p w14:paraId="43733AAF"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Faiz Fonksiyonu:</w:t>
      </w:r>
    </w:p>
    <w:p w14:paraId="369F2843"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noProof/>
          <w:color w:val="1F1F1F"/>
        </w:rPr>
        <w:drawing>
          <wp:inline distT="19050" distB="19050" distL="19050" distR="19050" wp14:anchorId="0A68AC06" wp14:editId="6C9C0E29">
            <wp:extent cx="5905500" cy="53512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5905500" cy="535126"/>
                    </a:xfrm>
                    <a:prstGeom prst="rect">
                      <a:avLst/>
                    </a:prstGeom>
                    <a:ln/>
                  </pic:spPr>
                </pic:pic>
              </a:graphicData>
            </a:graphic>
          </wp:inline>
        </w:drawing>
      </w:r>
      <w:r>
        <w:rPr>
          <w:rFonts w:ascii="Google Sans" w:eastAsia="Google Sans" w:hAnsi="Google Sans" w:cs="Google Sans"/>
          <w:i/>
          <w:iCs/>
          <w:color w:val="1F1F1F"/>
        </w:rPr>
        <w:t>Açıklama:</w:t>
      </w:r>
      <w:r>
        <w:rPr>
          <w:rFonts w:ascii="Google Sans" w:eastAsia="Google Sans" w:hAnsi="Google Sans" w:cs="Google Sans"/>
          <w:color w:val="1F1F1F"/>
        </w:rPr>
        <w:t xml:space="preserve"> Bankanın uygulayacağı faiz indirimi (</w:t>
      </w:r>
      <w:r>
        <w:rPr>
          <w:rFonts w:ascii="Google Sans" w:eastAsia="Google Sans" w:hAnsi="Google Sans" w:cs="Google Sans"/>
          <w:noProof/>
          <w:color w:val="1F1F1F"/>
        </w:rPr>
        <w:drawing>
          <wp:inline distT="19050" distB="19050" distL="19050" distR="19050" wp14:anchorId="39D82CA3" wp14:editId="353538DD">
            <wp:extent cx="631858" cy="192770"/>
            <wp:effectExtent l="0" t="0" r="0" b="0"/>
            <wp:docPr id="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631858" cy="192770"/>
                    </a:xfrm>
                    <a:prstGeom prst="rect">
                      <a:avLst/>
                    </a:prstGeom>
                    <a:ln/>
                  </pic:spPr>
                </pic:pic>
              </a:graphicData>
            </a:graphic>
          </wp:inline>
        </w:drawing>
      </w:r>
      <w:r>
        <w:rPr>
          <w:rFonts w:ascii="Google Sans" w:eastAsia="Google Sans" w:hAnsi="Google Sans" w:cs="Google Sans"/>
          <w:color w:val="1F1F1F"/>
        </w:rPr>
        <w:t xml:space="preserve">), şirketin ESG olgunluğu ve projenin yeşil ROI'si arttıkça logaritmik ve kareköksel olarak düşer. Doğrusal değil logaritmik olmasının sebebi; belirli bir noktadan sonra marjinal faydanın azalması ve bankanın zarar etmemesi için sistemin bir "taban faiz (floor)" korumasına sahip olması ilkesidir. </w:t>
      </w:r>
      <w:r>
        <w:rPr>
          <w:rFonts w:ascii="Google Sans" w:eastAsia="Google Sans" w:hAnsi="Google Sans" w:cs="Google Sans"/>
          <w:noProof/>
          <w:color w:val="1F1F1F"/>
        </w:rPr>
        <w:drawing>
          <wp:inline distT="19050" distB="19050" distL="19050" distR="19050" wp14:anchorId="55D35358" wp14:editId="273147BD">
            <wp:extent cx="118732" cy="249337"/>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118732" cy="249337"/>
                    </a:xfrm>
                    <a:prstGeom prst="rect">
                      <a:avLst/>
                    </a:prstGeom>
                    <a:ln/>
                  </pic:spPr>
                </pic:pic>
              </a:graphicData>
            </a:graphic>
          </wp:inline>
        </w:drawing>
      </w:r>
      <w:r>
        <w:rPr>
          <w:rFonts w:ascii="Google Sans" w:eastAsia="Google Sans" w:hAnsi="Google Sans" w:cs="Google Sans"/>
          <w:color w:val="1F1F1F"/>
        </w:rPr>
        <w:t xml:space="preserve"> ve </w:t>
      </w:r>
      <w:r>
        <w:rPr>
          <w:rFonts w:ascii="Google Sans" w:eastAsia="Google Sans" w:hAnsi="Google Sans" w:cs="Google Sans"/>
          <w:noProof/>
          <w:color w:val="1F1F1F"/>
        </w:rPr>
        <w:drawing>
          <wp:inline distT="19050" distB="19050" distL="19050" distR="19050" wp14:anchorId="2899DF4D" wp14:editId="321844F2">
            <wp:extent cx="114102" cy="23961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114102" cy="239614"/>
                    </a:xfrm>
                    <a:prstGeom prst="rect">
                      <a:avLst/>
                    </a:prstGeom>
                    <a:ln/>
                  </pic:spPr>
                </pic:pic>
              </a:graphicData>
            </a:graphic>
          </wp:inline>
        </w:drawing>
      </w:r>
      <w:r>
        <w:rPr>
          <w:rFonts w:ascii="Google Sans" w:eastAsia="Google Sans" w:hAnsi="Google Sans" w:cs="Google Sans"/>
          <w:color w:val="1F1F1F"/>
        </w:rPr>
        <w:t xml:space="preserve"> bankanın risk iştahına göre ayarlanan parametrelerdir.</w:t>
      </w:r>
    </w:p>
    <w:p w14:paraId="6CE19009" w14:textId="77777777" w:rsidR="00607187" w:rsidRPr="00607187" w:rsidRDefault="00607187" w:rsidP="00607187">
      <w:pPr>
        <w:jc w:val="both"/>
        <w:rPr>
          <w:b/>
          <w:bCs/>
          <w:sz w:val="28"/>
          <w:szCs w:val="28"/>
        </w:rPr>
      </w:pPr>
    </w:p>
    <w:p w14:paraId="3E9CEA17" w14:textId="34E4B5D2"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4.  İŞ MODELİ (0-20 PUAN)</w:t>
      </w:r>
    </w:p>
    <w:p w14:paraId="31F42949"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Pazar Büyüklüğü, Trendler ve Potansiyel:</w:t>
      </w:r>
    </w:p>
    <w:p w14:paraId="7EE09667"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Geliştirdiğimiz çözümün hitap ettiği pazar devasa bir büyüme ivmesine sahiptir. Küresel ESG yatırım pazarı 2025 yılında 35.48 trilyon dolar değerine ulaşmış olup, 2035 yılına kadar yıllık ortalama %18.27 büyüme oranı (CAGR) ile 191.22 trilyon dolara ulaşması öngörülmektedir. Sürdürülebilirlik bağlantılı kredi (SLL) piyasası yüz milyarlarca dolarlık hacme ulaşmıştır. Türkiye perspektifinden bakıldığında; Türkiye Bankalar Birliği (TBB) hedeflerine göre bankacılık sektörünün 2030'a kadar kredi portföyünün %15-20'sini (yaklaşık 75-100 milyar dolar) yeşil finansmana ayırması gerekmektedir.</w:t>
      </w:r>
    </w:p>
    <w:p w14:paraId="08F6F92A" w14:textId="77777777" w:rsidR="00C165A3" w:rsidRDefault="00C165A3" w:rsidP="00C165A3">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Hedef Kitle (Müşteri Profili):</w:t>
      </w:r>
    </w:p>
    <w:p w14:paraId="05C16A99" w14:textId="77777777" w:rsidR="00C165A3" w:rsidRDefault="00C165A3" w:rsidP="00C165A3">
      <w:pPr>
        <w:widowControl w:val="0"/>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Bankalar ve Finansal Kuruluşlar (Birincil Müşteri B2B):</w:t>
      </w:r>
      <w:r>
        <w:rPr>
          <w:rFonts w:ascii="Google Sans" w:eastAsia="Google Sans" w:hAnsi="Google Sans" w:cs="Google Sans"/>
          <w:color w:val="1F1F1F"/>
        </w:rPr>
        <w:t xml:space="preserve"> Yeşil kredi tahsisi yapan, risk primini ve temerrüt ihtimalini doğru hesaplamak isteyen Kurumsal Krediler, Proje Finansmanı ve Leasing (Finansal Kiralama) şirketleri.</w:t>
      </w:r>
    </w:p>
    <w:p w14:paraId="682314BF" w14:textId="77777777" w:rsidR="00C165A3" w:rsidRDefault="00C165A3" w:rsidP="00C165A3">
      <w:pPr>
        <w:widowControl w:val="0"/>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Kurumsal Şirketler ve KOBİ'ler (İkincil Müşteri):</w:t>
      </w:r>
      <w:r>
        <w:rPr>
          <w:rFonts w:ascii="Google Sans" w:eastAsia="Google Sans" w:hAnsi="Google Sans" w:cs="Google Sans"/>
          <w:color w:val="1F1F1F"/>
        </w:rPr>
        <w:t xml:space="preserve"> Enerji verimliliği projelerine ucuz finansman arayan, yatırımlarının G-ROI'sini belgelemek isteyen sanayi, üretim ve mühendislik (EPC) firmaları.</w:t>
      </w:r>
    </w:p>
    <w:p w14:paraId="24DFC0D3" w14:textId="77777777" w:rsidR="00C165A3" w:rsidRDefault="00C165A3" w:rsidP="00C165A3">
      <w:pPr>
        <w:widowControl w:val="0"/>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İhracat Kredi Ajansları (ECA) ve Yatırım Fonları:</w:t>
      </w:r>
      <w:r>
        <w:rPr>
          <w:rFonts w:ascii="Google Sans" w:eastAsia="Google Sans" w:hAnsi="Google Sans" w:cs="Google Sans"/>
          <w:color w:val="1F1F1F"/>
        </w:rPr>
        <w:t xml:space="preserve"> Sorumlu yatırım ilkelerine (PRI) göre yeşil tahvil veya portföy oluşturan kurumsal yatırımcılar.</w:t>
      </w:r>
    </w:p>
    <w:p w14:paraId="36F52589" w14:textId="77777777" w:rsidR="00C165A3" w:rsidRDefault="00C165A3" w:rsidP="00C165A3">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Gelir Modeli (Ticarileşme Stratejisi):</w:t>
      </w:r>
    </w:p>
    <w:p w14:paraId="75ADCC29" w14:textId="77777777" w:rsidR="00C165A3" w:rsidRDefault="00C165A3" w:rsidP="00C165A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Proje, tekrarlayan gelire dayalı B2B bir SaaS (Hizmet Olarak Yazılım) ve API entegrasyonu odaklı iş modeli ile ticarileşecektir:</w:t>
      </w:r>
    </w:p>
    <w:p w14:paraId="277E4778" w14:textId="77777777" w:rsidR="00C165A3" w:rsidRDefault="00C165A3" w:rsidP="00C165A3">
      <w:pPr>
        <w:widowControl w:val="0"/>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API Başına Ücretlendirme (Pay-per-call):</w:t>
      </w:r>
      <w:r>
        <w:rPr>
          <w:rFonts w:ascii="Google Sans" w:eastAsia="Google Sans" w:hAnsi="Google Sans" w:cs="Google Sans"/>
          <w:color w:val="1F1F1F"/>
        </w:rPr>
        <w:t xml:space="preserve"> Bankaların mevcut kredi tahsis yazılımlarına API üzerinden entegre olarak, yapılan her DD-ESG ve Yeşil Kredi analizi sorgusu başına </w:t>
      </w:r>
      <w:r>
        <w:rPr>
          <w:rFonts w:ascii="Google Sans" w:eastAsia="Google Sans" w:hAnsi="Google Sans" w:cs="Google Sans"/>
          <w:color w:val="1F1F1F"/>
        </w:rPr>
        <w:lastRenderedPageBreak/>
        <w:t>ücretlendirme.</w:t>
      </w:r>
    </w:p>
    <w:p w14:paraId="328882C3" w14:textId="77777777" w:rsidR="00C165A3" w:rsidRDefault="00C165A3" w:rsidP="00C165A3">
      <w:pPr>
        <w:widowControl w:val="0"/>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Abonelik (Subscription) / Lisanslama Modeli:</w:t>
      </w:r>
      <w:r>
        <w:rPr>
          <w:rFonts w:ascii="Google Sans" w:eastAsia="Google Sans" w:hAnsi="Google Sans" w:cs="Google Sans"/>
          <w:color w:val="1F1F1F"/>
        </w:rPr>
        <w:t xml:space="preserve"> Bankalara şirketin anlık ESG skorunu, projenin TRL riskini ve hesaplanan G-ROI faiz indirimini tek bir ekranda raporlayan gösterge panelinin (dashboard) aylık/yıllık kurumsal abonelik modeliyle sunulması.</w:t>
      </w:r>
    </w:p>
    <w:p w14:paraId="3A0D4736" w14:textId="77777777" w:rsidR="00C165A3" w:rsidRDefault="00C165A3" w:rsidP="00C165A3">
      <w:pPr>
        <w:widowControl w:val="0"/>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Özelleştirilmiş Raporlama:</w:t>
      </w:r>
      <w:r>
        <w:rPr>
          <w:rFonts w:ascii="Google Sans" w:eastAsia="Google Sans" w:hAnsi="Google Sans" w:cs="Google Sans"/>
          <w:color w:val="1F1F1F"/>
        </w:rPr>
        <w:t xml:space="preserve"> Kredi başvurusunda bulunan büyük çaplı yatırımlar için SPK ve AB Taksonomisine tam uyumlu "Yeşil Kredi Risk &amp; Fayda Raporu" üretimi üzerinden işlem başı komisyon.</w:t>
      </w:r>
    </w:p>
    <w:p w14:paraId="04825DE1" w14:textId="77777777" w:rsidR="00607187" w:rsidRPr="00607187" w:rsidRDefault="00607187" w:rsidP="00607187">
      <w:pPr>
        <w:jc w:val="both"/>
        <w:rPr>
          <w:b/>
          <w:bCs/>
          <w:sz w:val="28"/>
          <w:szCs w:val="28"/>
        </w:rPr>
      </w:pPr>
    </w:p>
    <w:p w14:paraId="523DE9A2" w14:textId="0D9C7DDA"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 xml:space="preserve">5. RAKİP ANALİZİ (0-10 PUAN) </w:t>
      </w:r>
    </w:p>
    <w:p w14:paraId="52F29E32"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Pazarda MSCI, Sustainalytics, S&amp;P Global ve Moody's gibi köklü geleneksel ESG derecelendirme kuruluşları yer alsa da, bizim sistemimiz projenin finansal fizibilitesi ile çevresel etkisini (G-ROI) sentezleyen matematiksel bir motor sunmasıyla rakiplerinden ayrılır.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165A3" w14:paraId="11882B19"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BD049" w14:textId="77777777" w:rsidR="00C165A3" w:rsidRDefault="00C165A3" w:rsidP="00F826E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Karşılaştırma Kriteri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25E7B" w14:textId="77777777" w:rsidR="00C165A3" w:rsidRDefault="00C165A3" w:rsidP="00F826E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Geleneksel Rakipler (MSCI, Sustainalytics, Moody's)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F65FB" w14:textId="77777777" w:rsidR="00C165A3" w:rsidRDefault="00C165A3" w:rsidP="00F826E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Bizim Çözümümüz (G-ROI &amp; DD-ESG Dinamik Faiz Motoru)</w:t>
            </w:r>
          </w:p>
        </w:tc>
      </w:tr>
      <w:tr w:rsidR="00C165A3" w14:paraId="5C19E3B9"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EA1A8D"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Odak Noktası</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095D1A"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Sadece Şirket Finansalları ve Makro Risk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58C08"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Şirket ESG'si + Spesifik Yatırımın Çevresel ROI'si (G-ROI)</w:t>
            </w:r>
          </w:p>
        </w:tc>
      </w:tr>
      <w:tr w:rsidR="00C165A3" w14:paraId="6167CDE8"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221B9"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Veri Kaynağı ve Hız</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14972A"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Beyanlar, anketler ve yılda bir güncellenen statik raporlar.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801BF"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API Entegrasyonu ile Anlık (Real-time) Hesaplama, NLP haber akışı.</w:t>
            </w:r>
          </w:p>
        </w:tc>
      </w:tr>
      <w:tr w:rsidR="00C165A3" w14:paraId="61CE2817"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32F18"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Model Geometrisi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2A88D"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Doğrusal (Linear), statik ve keskin eşikli ağırlıklar.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8F43A"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Sürekli Lojistik Bozunma ve XGBoost ile Non-lineer dinamik ağırlıklandırma.</w:t>
            </w:r>
          </w:p>
        </w:tc>
      </w:tr>
      <w:tr w:rsidR="00C165A3" w14:paraId="3CFBCB58"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4DE16"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Teknoloji Riski Ölçümü</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28C2C4"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Yok. Endüstri ayrımı yapmaz, spesifik projeyi incelemez.</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4ABB3"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TRL (Teknoloji Hazırlık Seviyesi) algoritması ile risk iskontosuna entegre.</w:t>
            </w:r>
          </w:p>
        </w:tc>
      </w:tr>
      <w:tr w:rsidR="00C165A3" w14:paraId="45462D5B"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4B63A"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Finansal Entegrasyon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BF9EF3"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Yalnızca genel ESG reytingini sunar (krediye formülize edilmez).</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417585"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Yatırımın çevresel faydasını ve ESG'yi birleştirip doğrudan </w:t>
            </w:r>
            <w:r>
              <w:rPr>
                <w:rFonts w:ascii="Google Sans" w:eastAsia="Google Sans" w:hAnsi="Google Sans" w:cs="Google Sans"/>
                <w:b/>
                <w:bCs/>
                <w:color w:val="1F1F1F"/>
              </w:rPr>
              <w:t>Kredi Faiz Spread'ini</w:t>
            </w:r>
            <w:r>
              <w:rPr>
                <w:rFonts w:ascii="Google Sans" w:eastAsia="Google Sans" w:hAnsi="Google Sans" w:cs="Google Sans"/>
                <w:color w:val="1F1F1F"/>
              </w:rPr>
              <w:t xml:space="preserve"> hesaplar.</w:t>
            </w:r>
          </w:p>
        </w:tc>
      </w:tr>
    </w:tbl>
    <w:p w14:paraId="3046E52F" w14:textId="77777777" w:rsidR="00C165A3" w:rsidRDefault="00C165A3" w:rsidP="00C165A3">
      <w:pPr>
        <w:pBdr>
          <w:top w:val="nil"/>
          <w:left w:val="nil"/>
          <w:bottom w:val="nil"/>
          <w:right w:val="nil"/>
          <w:between w:val="nil"/>
        </w:pBdr>
        <w:spacing w:before="480" w:after="240" w:line="275" w:lineRule="auto"/>
        <w:rPr>
          <w:rFonts w:ascii="Google Sans" w:eastAsia="Google Sans" w:hAnsi="Google Sans" w:cs="Google Sans"/>
          <w:color w:val="1F1F1F"/>
        </w:rPr>
      </w:pPr>
      <w:r>
        <w:rPr>
          <w:rFonts w:ascii="Google Sans" w:eastAsia="Google Sans" w:hAnsi="Google Sans" w:cs="Google Sans"/>
          <w:i/>
          <w:iCs/>
          <w:color w:val="1F1F1F"/>
        </w:rPr>
        <w:t>Ayrıştırıcı Özelliğimiz:</w:t>
      </w:r>
      <w:r>
        <w:rPr>
          <w:rFonts w:ascii="Google Sans" w:eastAsia="Google Sans" w:hAnsi="Google Sans" w:cs="Google Sans"/>
          <w:color w:val="1F1F1F"/>
        </w:rPr>
        <w:t xml:space="preserve"> Rakipler yalnızca </w:t>
      </w:r>
      <w:r>
        <w:rPr>
          <w:rFonts w:ascii="Google Sans" w:eastAsia="Google Sans" w:hAnsi="Google Sans" w:cs="Google Sans"/>
          <w:i/>
          <w:iCs/>
          <w:color w:val="1F1F1F"/>
        </w:rPr>
        <w:t>"Bu şirket ne kadar yeşil?"</w:t>
      </w:r>
      <w:r>
        <w:rPr>
          <w:rFonts w:ascii="Google Sans" w:eastAsia="Google Sans" w:hAnsi="Google Sans" w:cs="Google Sans"/>
          <w:color w:val="1F1F1F"/>
        </w:rPr>
        <w:t xml:space="preserve"> sorusuna odaklanırken; bizim sistemimiz </w:t>
      </w:r>
      <w:r>
        <w:rPr>
          <w:rFonts w:ascii="Google Sans" w:eastAsia="Google Sans" w:hAnsi="Google Sans" w:cs="Google Sans"/>
          <w:i/>
          <w:iCs/>
          <w:color w:val="1F1F1F"/>
        </w:rPr>
        <w:t xml:space="preserve">"Bu şirket yeşil mi? VE Çekeceği bu kredi ile yapacağı yatırım dünyayı tam </w:t>
      </w:r>
      <w:r>
        <w:rPr>
          <w:rFonts w:ascii="Google Sans" w:eastAsia="Google Sans" w:hAnsi="Google Sans" w:cs="Google Sans"/>
          <w:i/>
          <w:iCs/>
          <w:color w:val="1F1F1F"/>
        </w:rPr>
        <w:lastRenderedPageBreak/>
        <w:t>olarak ne kadar temizleyecek ve kredinin riskini ne kadar düşürecek?"</w:t>
      </w:r>
      <w:r>
        <w:rPr>
          <w:rFonts w:ascii="Google Sans" w:eastAsia="Google Sans" w:hAnsi="Google Sans" w:cs="Google Sans"/>
          <w:color w:val="1F1F1F"/>
        </w:rPr>
        <w:t xml:space="preserve"> sorularını tek bir matematiksel düzlemde birleştirir.</w:t>
      </w:r>
    </w:p>
    <w:p w14:paraId="3A9866C9" w14:textId="771A112B"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6. RİSK ANALİZİ (0-10 PUAN)</w:t>
      </w:r>
    </w:p>
    <w:p w14:paraId="005FDF7C" w14:textId="77777777" w:rsidR="00C165A3" w:rsidRDefault="00C165A3" w:rsidP="00C165A3">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Projenin geliştirilmesi ve pazara sunulması aşamalarında karşılaşılabilecek potansiyel riskler objektif olarak değerlendirilmiş ve mitigasyon stratejileri kurgulanmıştır:</w:t>
      </w:r>
    </w:p>
    <w:p w14:paraId="790D36B0" w14:textId="77777777" w:rsidR="00C165A3" w:rsidRDefault="00C165A3" w:rsidP="00C165A3">
      <w:pPr>
        <w:widowControl w:val="0"/>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Gölge Karbon Fiyatlaması (Shadow Pricing) Dalgalanma Riski:</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D64E58F" wp14:editId="42C76A2D">
            <wp:extent cx="592005" cy="226038"/>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92005" cy="226038"/>
                    </a:xfrm>
                    <a:prstGeom prst="rect">
                      <a:avLst/>
                    </a:prstGeom>
                    <a:ln/>
                  </pic:spPr>
                </pic:pic>
              </a:graphicData>
            </a:graphic>
          </wp:inline>
        </w:drawing>
      </w:r>
      <w:r>
        <w:rPr>
          <w:rFonts w:ascii="Google Sans" w:eastAsia="Google Sans" w:hAnsi="Google Sans" w:cs="Google Sans"/>
          <w:color w:val="1F1F1F"/>
        </w:rPr>
        <w:t xml:space="preserve"> hesaplamasında kullanılan karbon ton fiyatının (ETS pazarlarında) ani çöküş yaşaması modelin inandırıcılığını etkileyebilir.</w:t>
      </w:r>
    </w:p>
    <w:p w14:paraId="0AF8094F" w14:textId="77777777" w:rsidR="00C165A3" w:rsidRDefault="00C165A3" w:rsidP="00C165A3">
      <w:pPr>
        <w:widowControl w:val="0"/>
        <w:numPr>
          <w:ilvl w:val="1"/>
          <w:numId w:val="12"/>
        </w:numPr>
        <w:pBdr>
          <w:top w:val="nil"/>
          <w:left w:val="nil"/>
          <w:bottom w:val="nil"/>
          <w:right w:val="nil"/>
          <w:between w:val="nil"/>
        </w:pBdr>
        <w:spacing w:line="275" w:lineRule="auto"/>
      </w:pPr>
      <w:r>
        <w:rPr>
          <w:rFonts w:ascii="Google Sans" w:eastAsia="Google Sans" w:hAnsi="Google Sans" w:cs="Google Sans"/>
          <w:i/>
          <w:iCs/>
          <w:color w:val="1F1F1F"/>
        </w:rPr>
        <w:t>Çözüm:</w:t>
      </w:r>
      <w:r>
        <w:rPr>
          <w:rFonts w:ascii="Google Sans" w:eastAsia="Google Sans" w:hAnsi="Google Sans" w:cs="Google Sans"/>
          <w:color w:val="1F1F1F"/>
        </w:rPr>
        <w:t xml:space="preserve"> Sisteme, Avrupa Emisyon Ticaret Sistemi (EU ETS) verileri API ile canlı bağlanacak, ayrıca bankaların inisiyatif alabilmesi için senaryo tabanlı "sabit asgari karbon fiyatı" belirleme opsiyonu sunulacaktır.</w:t>
      </w:r>
    </w:p>
    <w:p w14:paraId="6889D7DD" w14:textId="77777777" w:rsidR="00C165A3" w:rsidRDefault="00C165A3" w:rsidP="00C165A3">
      <w:pPr>
        <w:widowControl w:val="0"/>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TRL Sınıflandırma Hataları Riski:</w:t>
      </w:r>
      <w:r>
        <w:rPr>
          <w:rFonts w:ascii="Google Sans" w:eastAsia="Google Sans" w:hAnsi="Google Sans" w:cs="Google Sans"/>
          <w:color w:val="1F1F1F"/>
        </w:rPr>
        <w:t xml:space="preserve"> Şirketlerin yeni teknolojileri yanlış veya abartılı TRL seviyelerinde beyan etmesi.</w:t>
      </w:r>
    </w:p>
    <w:p w14:paraId="0B2B3405" w14:textId="77777777" w:rsidR="00C165A3" w:rsidRDefault="00C165A3" w:rsidP="00C165A3">
      <w:pPr>
        <w:widowControl w:val="0"/>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Çözüm:</w:t>
      </w:r>
      <w:r>
        <w:rPr>
          <w:rFonts w:ascii="Google Sans" w:eastAsia="Google Sans" w:hAnsi="Google Sans" w:cs="Google Sans"/>
          <w:color w:val="1F1F1F"/>
        </w:rPr>
        <w:t xml:space="preserve"> Makine öğrenmesi algoritmaları, teknoloji türüne (patent veritabanları eşleştirmesiyle) ve sektörel standartlara göre TRL beyanlarını otomatik olarak çapraz doğrulamaya (cross-validation) tabi tutacaktır.</w:t>
      </w:r>
    </w:p>
    <w:p w14:paraId="13776B87" w14:textId="77777777" w:rsidR="00C165A3" w:rsidRDefault="00C165A3" w:rsidP="00C165A3">
      <w:pPr>
        <w:widowControl w:val="0"/>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Veri Kalitesi ve Bilgi Asimetrisi Riski:</w:t>
      </w:r>
      <w:r>
        <w:rPr>
          <w:rFonts w:ascii="Google Sans" w:eastAsia="Google Sans" w:hAnsi="Google Sans" w:cs="Google Sans"/>
          <w:color w:val="1F1F1F"/>
        </w:rPr>
        <w:t xml:space="preserve"> KOBİ ölçeğindeki firmaların kaliteli ESG verilerine ulaşmak zor olabilir.</w:t>
      </w:r>
    </w:p>
    <w:p w14:paraId="6764C6FF" w14:textId="77777777" w:rsidR="00C165A3" w:rsidRDefault="00C165A3" w:rsidP="00C165A3">
      <w:pPr>
        <w:widowControl w:val="0"/>
        <w:numPr>
          <w:ilvl w:val="1"/>
          <w:numId w:val="14"/>
        </w:numPr>
        <w:pBdr>
          <w:top w:val="nil"/>
          <w:left w:val="nil"/>
          <w:bottom w:val="nil"/>
          <w:right w:val="nil"/>
          <w:between w:val="nil"/>
        </w:pBdr>
        <w:spacing w:line="275" w:lineRule="auto"/>
      </w:pPr>
      <w:r>
        <w:rPr>
          <w:rFonts w:ascii="Google Sans" w:eastAsia="Google Sans" w:hAnsi="Google Sans" w:cs="Google Sans"/>
          <w:i/>
          <w:iCs/>
          <w:color w:val="1F1F1F"/>
        </w:rPr>
        <w:t>Çözüm:</w:t>
      </w:r>
      <w:r>
        <w:rPr>
          <w:rFonts w:ascii="Google Sans" w:eastAsia="Google Sans" w:hAnsi="Google Sans" w:cs="Google Sans"/>
          <w:color w:val="1F1F1F"/>
        </w:rPr>
        <w:t xml:space="preserve"> Modeller, eksik verileri sektör ortalamaları ve "eksik veri cezası" uygulayarak tahminleyip doldurur. Dışsal alternatif veri kaynakları (uydu, NLP haber taraması) sayesinde asimetri dengelenir.</w:t>
      </w:r>
    </w:p>
    <w:p w14:paraId="2033243E" w14:textId="77777777" w:rsidR="00C165A3" w:rsidRDefault="00C165A3" w:rsidP="00C165A3">
      <w:pPr>
        <w:widowControl w:val="0"/>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Finansal Sektörün Adaptasyon Direnci:</w:t>
      </w:r>
      <w:r>
        <w:rPr>
          <w:rFonts w:ascii="Google Sans" w:eastAsia="Google Sans" w:hAnsi="Google Sans" w:cs="Google Sans"/>
          <w:color w:val="1F1F1F"/>
        </w:rPr>
        <w:t xml:space="preserve"> Bankaların geleneksel tahsis süreçlerine bağlı kalarak logaritmik yapay zeka fonksiyonlarına güvenmekte zorlanması.</w:t>
      </w:r>
    </w:p>
    <w:p w14:paraId="65021ECF" w14:textId="77777777" w:rsidR="00C165A3" w:rsidRDefault="00C165A3" w:rsidP="00C165A3">
      <w:pPr>
        <w:widowControl w:val="0"/>
        <w:numPr>
          <w:ilvl w:val="1"/>
          <w:numId w:val="15"/>
        </w:numPr>
        <w:pBdr>
          <w:top w:val="nil"/>
          <w:left w:val="nil"/>
          <w:bottom w:val="nil"/>
          <w:right w:val="nil"/>
          <w:between w:val="nil"/>
        </w:pBdr>
        <w:spacing w:after="120" w:line="275" w:lineRule="auto"/>
      </w:pPr>
      <w:r>
        <w:rPr>
          <w:rFonts w:ascii="Google Sans" w:eastAsia="Google Sans" w:hAnsi="Google Sans" w:cs="Google Sans"/>
          <w:i/>
          <w:iCs/>
          <w:color w:val="1F1F1F"/>
        </w:rPr>
        <w:t>Çözüm:</w:t>
      </w:r>
      <w:r>
        <w:rPr>
          <w:rFonts w:ascii="Google Sans" w:eastAsia="Google Sans" w:hAnsi="Google Sans" w:cs="Google Sans"/>
          <w:color w:val="1F1F1F"/>
        </w:rPr>
        <w:t xml:space="preserve"> Model bir "kara kutu" olarak değil, SHAP algoritmaları ve XAI (Açıklanabilir Yapay Zeka) altyapısı sayesinde şeffaf çalışacak; verilen her faiz indirimi kararının arkasındaki parametre ağırlıkları kredi komitelerine net bir rapor olarak sunulacaktır.</w:t>
      </w:r>
    </w:p>
    <w:p w14:paraId="191B72DD" w14:textId="77777777" w:rsidR="00AF3465" w:rsidRDefault="00AF3465" w:rsidP="00AF3465"/>
    <w:p w14:paraId="0A2E2024" w14:textId="510ADFA3"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7. PROJE TAKVİMİ (0-5 PUAN)</w:t>
      </w:r>
      <w:r w:rsidR="00C165A3">
        <w:rPr>
          <w:rFonts w:asciiTheme="majorHAnsi" w:hAnsiTheme="majorHAnsi"/>
          <w:sz w:val="28"/>
          <w:szCs w:val="32"/>
        </w:rPr>
        <w:t xml:space="preserve"> (yeniden yapılmalı)</w:t>
      </w:r>
    </w:p>
    <w:p w14:paraId="37FB1812" w14:textId="77777777" w:rsidR="00C165A3" w:rsidRDefault="00C165A3" w:rsidP="00C165A3">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Projemiz, araştırma, algoritmik geliştirme, yazılım entegrasyonu ve validasyon süreçlerini kapsayan ardışık 6 ana iş paketi (Aşama) halinde uygulanacaktır: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165A3" w14:paraId="12CAAA9B"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74AAC" w14:textId="77777777" w:rsidR="00C165A3" w:rsidRDefault="00C165A3" w:rsidP="00F826E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İş Paketi / Aşama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58840B" w14:textId="77777777" w:rsidR="00C165A3" w:rsidRDefault="00C165A3" w:rsidP="00F826E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Faaliyet Kapsamı ve Beklenen Çıktılar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E98D9" w14:textId="77777777" w:rsidR="00C165A3" w:rsidRDefault="00C165A3" w:rsidP="00F826E2">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Süre (Ay)</w:t>
            </w:r>
          </w:p>
        </w:tc>
      </w:tr>
      <w:tr w:rsidR="00C165A3" w14:paraId="2C449D7A"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FB3D6"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Aşama 1: Metodolojik Altyapı ve Veri Mimarisi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2BCB6"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TRL risk katsayılarının literatür taraması, AB Yeşil Taksonomisi analizi. </w:t>
            </w:r>
            <w:r>
              <w:rPr>
                <w:rFonts w:ascii="Google Sans" w:eastAsia="Google Sans" w:hAnsi="Google Sans" w:cs="Google Sans"/>
                <w:noProof/>
                <w:color w:val="1F1F1F"/>
              </w:rPr>
              <w:lastRenderedPageBreak/>
              <w:drawing>
                <wp:inline distT="19050" distB="19050" distL="19050" distR="19050" wp14:anchorId="6E1BB9B3" wp14:editId="38AFF520">
                  <wp:extent cx="592005" cy="226038"/>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92005" cy="226038"/>
                          </a:xfrm>
                          <a:prstGeom prst="rect">
                            <a:avLst/>
                          </a:prstGeom>
                          <a:ln/>
                        </pic:spPr>
                      </pic:pic>
                    </a:graphicData>
                  </a:graphic>
                </wp:inline>
              </w:drawing>
            </w:r>
            <w:r>
              <w:rPr>
                <w:rFonts w:ascii="Google Sans" w:eastAsia="Google Sans" w:hAnsi="Google Sans" w:cs="Google Sans"/>
                <w:color w:val="1F1F1F"/>
              </w:rPr>
              <w:t xml:space="preserve"> modülü için gölge karbon fiyatı ve enerji API'lerinin projeye entegrasyonu.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E4CCA"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1. - 2. Ay</w:t>
            </w:r>
          </w:p>
        </w:tc>
      </w:tr>
      <w:tr w:rsidR="00C165A3" w14:paraId="7FF719BD"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A1EB8"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Aşama 2: G-ROI ve ESG Puanlama Motoru Kodlanması</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96B09"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noProof/>
                <w:color w:val="1F1F1F"/>
              </w:rPr>
              <w:drawing>
                <wp:inline distT="19050" distB="19050" distL="19050" distR="19050" wp14:anchorId="515B9215" wp14:editId="41001814">
                  <wp:extent cx="592005" cy="22603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92005" cy="226038"/>
                          </a:xfrm>
                          <a:prstGeom prst="rect">
                            <a:avLst/>
                          </a:prstGeom>
                          <a:ln/>
                        </pic:spPr>
                      </pic:pic>
                    </a:graphicData>
                  </a:graphic>
                </wp:inline>
              </w:drawing>
            </w:r>
            <w:r>
              <w:rPr>
                <w:rFonts w:ascii="Google Sans" w:eastAsia="Google Sans" w:hAnsi="Google Sans" w:cs="Google Sans"/>
                <w:color w:val="1F1F1F"/>
              </w:rPr>
              <w:t xml:space="preserve"> (Net Bugünkü Çevresel Değer) algoritmaları ile DD-ESG Modüllerinin (Lojistik bozunma, XGBoost, eCDF) Python tabanlı kodlanması.</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6C0B37"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3. - 5. Ay</w:t>
            </w:r>
          </w:p>
        </w:tc>
      </w:tr>
      <w:tr w:rsidR="00C165A3" w14:paraId="6743A76C"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362EB"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Aşama 3: Dinamik Faiz Motoru (Pricing Engine) Entegrasyonu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6A392"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Çift girişli ağırlıklı matrisin inşası, şirketin temerrüt olasılığı (PD) ile entegrasyon. </w:t>
            </w:r>
            <w:r>
              <w:rPr>
                <w:rFonts w:ascii="Google Sans" w:eastAsia="Google Sans" w:hAnsi="Google Sans" w:cs="Google Sans"/>
                <w:noProof/>
                <w:color w:val="1F1F1F"/>
              </w:rPr>
              <w:drawing>
                <wp:inline distT="19050" distB="19050" distL="19050" distR="19050" wp14:anchorId="3BA8990C" wp14:editId="4E043CC5">
                  <wp:extent cx="631858" cy="192770"/>
                  <wp:effectExtent l="0" t="0" r="0" b="0"/>
                  <wp:docPr id="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631858" cy="192770"/>
                          </a:xfrm>
                          <a:prstGeom prst="rect">
                            <a:avLst/>
                          </a:prstGeom>
                          <a:ln/>
                        </pic:spPr>
                      </pic:pic>
                    </a:graphicData>
                  </a:graphic>
                </wp:inline>
              </w:drawing>
            </w:r>
            <w:r>
              <w:rPr>
                <w:rFonts w:ascii="Google Sans" w:eastAsia="Google Sans" w:hAnsi="Google Sans" w:cs="Google Sans"/>
                <w:color w:val="1F1F1F"/>
              </w:rPr>
              <w:t xml:space="preserve"> logaritmik/kareköksel indirim fonksiyonlarının optimizasyonu.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8DD57C"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6. - 7. Ay</w:t>
            </w:r>
          </w:p>
        </w:tc>
      </w:tr>
      <w:tr w:rsidR="00C165A3" w14:paraId="71EF10C3"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7ACEF9"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Aşama 4: Yazılım Mimarisinin Kurulması (Frontend/Backend)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30025"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Kullanıcı dostu B2B web arayüzü tasarımı, güvenli backend inşası. İnfografik destekli "Yeşil Kredi Değerlendirme Raporu" üretim modülünün entegrasyonu.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9758A"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8. - 9. Ay</w:t>
            </w:r>
          </w:p>
        </w:tc>
      </w:tr>
      <w:tr w:rsidR="00C165A3" w14:paraId="529E0302"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62FCAD"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Aşama 5: Simülasyon, Test ve Validasyon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47229"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Farklı sektör (Örn: TRL 9 GES yatırımı vs TRL 5 Hidrojen yatırımı) senaryolarıyla stres testleri yapılması. Faiz-risk duyarlılık analizlerinin gerçekleştirilmesi.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C455E"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10. - 11. Ay</w:t>
            </w:r>
          </w:p>
        </w:tc>
      </w:tr>
      <w:tr w:rsidR="00C165A3" w14:paraId="2ECF9F36" w14:textId="77777777" w:rsidTr="00F826E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65818"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Aşama 6: Ticarileşme, Sunum ve Proje Çıktısı</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E4791"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Akademik doğruluğun ispatlandığı detaylı sunum dosyalarının ve API dokümantasyonunun hazırlanması. Çalışan demo </w:t>
            </w:r>
            <w:r>
              <w:rPr>
                <w:rFonts w:ascii="Google Sans" w:eastAsia="Google Sans" w:hAnsi="Google Sans" w:cs="Google Sans"/>
                <w:color w:val="1F1F1F"/>
              </w:rPr>
              <w:lastRenderedPageBreak/>
              <w:t>sürümün jüri sunumu için yayına alınması.</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9C5E04" w14:textId="77777777" w:rsidR="00C165A3" w:rsidRDefault="00C165A3" w:rsidP="00F826E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12. Ay</w:t>
            </w:r>
          </w:p>
        </w:tc>
      </w:tr>
    </w:tbl>
    <w:p w14:paraId="6C39C7AD" w14:textId="558BAA8B" w:rsidR="00AF3465" w:rsidRPr="00643BA2" w:rsidRDefault="00643BA2" w:rsidP="00AF3465">
      <w:pPr>
        <w:pStyle w:val="Baslik3"/>
        <w:rPr>
          <w:rFonts w:asciiTheme="majorHAnsi" w:hAnsiTheme="majorHAnsi"/>
          <w:sz w:val="28"/>
          <w:szCs w:val="32"/>
        </w:rPr>
      </w:pPr>
      <w:r w:rsidRPr="00643BA2">
        <w:rPr>
          <w:rFonts w:asciiTheme="majorHAnsi" w:hAnsiTheme="majorHAnsi"/>
          <w:sz w:val="28"/>
          <w:szCs w:val="32"/>
        </w:rPr>
        <w:t>8.  RAPOR DÜZENİ (0-5 PUAN)</w:t>
      </w:r>
    </w:p>
    <w:p w14:paraId="7FAE1D39" w14:textId="064B2C18" w:rsidR="00AF3465" w:rsidRDefault="00AF3465" w:rsidP="00AF3465">
      <w:r>
        <w:t>Rapor şablonda yer alan tüm başlıkları içermekte ve bu başlıklarla ilgili tatmin edici bilgi vermektedir</w:t>
      </w:r>
    </w:p>
    <w:p w14:paraId="55A40AC4" w14:textId="77777777" w:rsidR="00AF3465" w:rsidRDefault="00AF3465" w:rsidP="00AF3465">
      <w:r>
        <w:t>Raporda kullanılan şekiller/tablolar/diyagramlar anlaşılır ve düzenlidir.</w:t>
      </w:r>
    </w:p>
    <w:p w14:paraId="113DF32C" w14:textId="77777777" w:rsidR="00AF3465" w:rsidRDefault="00AF3465" w:rsidP="00AF3465">
      <w:r>
        <w:t xml:space="preserve">Şartnamede ve şablonda belirtilen kurallara uygun olarak hazırlanmıştır.  </w:t>
      </w:r>
    </w:p>
    <w:p w14:paraId="10A69D07" w14:textId="77777777" w:rsidR="00AF3465" w:rsidRDefault="00AF3465" w:rsidP="00AF3465">
      <w:r>
        <w:t>Rapor sayfa sayısı 5 üzerinde olan raporlar bu bölümden 0 Puan almalıdır.</w:t>
      </w:r>
    </w:p>
    <w:p w14:paraId="29A274F7" w14:textId="77777777" w:rsidR="00AF3465" w:rsidRDefault="00AF3465" w:rsidP="00AF3465"/>
    <w:p w14:paraId="0B931A01" w14:textId="77777777" w:rsidR="00AF3465" w:rsidRDefault="00AF3465" w:rsidP="00AF3465"/>
    <w:p w14:paraId="6E68E125" w14:textId="77777777" w:rsidR="00AF3465" w:rsidRDefault="00AF3465" w:rsidP="00AF3465"/>
    <w:p w14:paraId="2CF72AC4" w14:textId="77777777" w:rsidR="00AF3465" w:rsidRDefault="00AF3465" w:rsidP="00AF3465"/>
    <w:tbl>
      <w:tblPr>
        <w:tblpPr w:leftFromText="141" w:rightFromText="141" w:vertAnchor="text" w:horzAnchor="margin" w:tblpY="642"/>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AF3465" w:rsidRPr="00F27E93" w14:paraId="296F45FE" w14:textId="77777777" w:rsidTr="00FB481D">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592F0F" w14:textId="77777777" w:rsidR="00AF3465" w:rsidRPr="00F27E93" w:rsidRDefault="00AF3465" w:rsidP="00FB481D">
            <w:pPr>
              <w:pStyle w:val="GvdeB"/>
              <w:widowControl w:val="0"/>
              <w:suppressAutoHyphens/>
              <w:spacing w:line="480" w:lineRule="auto"/>
              <w:jc w:val="center"/>
              <w:rPr>
                <w:rFonts w:asciiTheme="minorHAnsi" w:hAnsiTheme="minorHAnsi"/>
                <w:lang w:val="tr-TR"/>
              </w:rPr>
            </w:pPr>
            <w:r w:rsidRPr="00F27E93">
              <w:rPr>
                <w:rFonts w:asciiTheme="minorHAnsi" w:hAnsiTheme="minorHAnsi"/>
                <w:b/>
                <w:bCs/>
                <w:lang w:val="tr-TR"/>
              </w:rPr>
              <w:t>RAPOR TASLAKLARI İLE İLGİLİ NOT</w:t>
            </w:r>
          </w:p>
        </w:tc>
      </w:tr>
      <w:tr w:rsidR="00AF3465" w:rsidRPr="00F27E93" w14:paraId="08495E30" w14:textId="77777777" w:rsidTr="00B37A03">
        <w:trPr>
          <w:trHeight w:val="5028"/>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CD833"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Tüm raporlar akademik rapor standartlarına uygun olarak yazılmalıdır.</w:t>
            </w:r>
          </w:p>
          <w:p w14:paraId="2F5ED579"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Raporların içerikleri ile ilgili bilgiler yukarıda belirtilmiştir.</w:t>
            </w:r>
          </w:p>
          <w:p w14:paraId="64305E98"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Tüm raporlar “İçindekiler” ve “Kaynakça” içermelidir.</w:t>
            </w:r>
          </w:p>
          <w:p w14:paraId="2EA9CCAE"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Her rapor bir kapak sayfası içermelidir.</w:t>
            </w:r>
          </w:p>
          <w:p w14:paraId="431DF26C"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Her rapor bir “İçindekiler” sayfası içermelidir.</w:t>
            </w:r>
          </w:p>
          <w:p w14:paraId="6EE9F073"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Raporlar sayfaları birbirini takip edecek şekilde numaralandırılmalıdır.</w:t>
            </w:r>
          </w:p>
          <w:p w14:paraId="1FBA561A" w14:textId="77777777" w:rsidR="00AF3465"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Yazı tipi: Aptos, Punto: 12, Başlık Yazı Tipi: Aptos, Başlık Punto: 14, Satır Aralıkları: 1.15, İki tarafa yaslı, Sayfa kenar boşlukları: üst 2.8 alt-sağ-sol 2.5 olmalıdır.</w:t>
            </w:r>
          </w:p>
          <w:p w14:paraId="1716856C" w14:textId="4AC77D04" w:rsidR="00FB481D" w:rsidRPr="00FB481D" w:rsidRDefault="00AF3465"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 xml:space="preserve">Rapor içindekiler “Kapak” </w:t>
            </w:r>
            <w:r w:rsidR="00FA05C3">
              <w:rPr>
                <w:rFonts w:asciiTheme="minorHAnsi" w:hAnsiTheme="minorHAnsi" w:cs="Arial"/>
                <w:b/>
                <w:bCs/>
                <w:sz w:val="22"/>
                <w:szCs w:val="22"/>
                <w:lang w:val="tr-TR"/>
              </w:rPr>
              <w:t xml:space="preserve">, “Kaynakça” ve </w:t>
            </w:r>
            <w:r w:rsidRPr="00FB481D">
              <w:rPr>
                <w:rFonts w:asciiTheme="minorHAnsi" w:hAnsiTheme="minorHAnsi" w:cs="Arial"/>
                <w:b/>
                <w:bCs/>
                <w:sz w:val="22"/>
                <w:szCs w:val="22"/>
                <w:lang w:val="tr-TR"/>
              </w:rPr>
              <w:t xml:space="preserve">“İçindekiler” kısmı hariç rapor </w:t>
            </w:r>
            <w:r w:rsidR="00002891" w:rsidRPr="00FB481D">
              <w:rPr>
                <w:rFonts w:asciiTheme="minorHAnsi" w:hAnsiTheme="minorHAnsi" w:cs="Arial"/>
                <w:b/>
                <w:bCs/>
                <w:sz w:val="22"/>
                <w:szCs w:val="22"/>
                <w:lang w:val="tr-TR"/>
              </w:rPr>
              <w:t>5</w:t>
            </w:r>
            <w:r w:rsidRPr="00FB481D">
              <w:rPr>
                <w:rFonts w:asciiTheme="minorHAnsi" w:hAnsiTheme="minorHAnsi" w:cs="Arial"/>
                <w:b/>
                <w:bCs/>
                <w:sz w:val="22"/>
                <w:szCs w:val="22"/>
                <w:lang w:val="tr-TR"/>
              </w:rPr>
              <w:t xml:space="preserve"> sayfayı geçmemelidir. </w:t>
            </w:r>
          </w:p>
          <w:p w14:paraId="4BAF8FE8" w14:textId="4327881F" w:rsidR="00FB481D" w:rsidRPr="00FB481D" w:rsidRDefault="00FB481D" w:rsidP="00FB481D">
            <w:pPr>
              <w:pStyle w:val="GvdeB"/>
              <w:widowControl w:val="0"/>
              <w:numPr>
                <w:ilvl w:val="0"/>
                <w:numId w:val="2"/>
              </w:numPr>
              <w:suppressAutoHyphens/>
              <w:spacing w:line="360" w:lineRule="auto"/>
              <w:jc w:val="both"/>
              <w:rPr>
                <w:rFonts w:asciiTheme="minorHAnsi" w:hAnsiTheme="minorHAnsi" w:cs="Arial"/>
                <w:b/>
                <w:bCs/>
                <w:sz w:val="22"/>
                <w:szCs w:val="22"/>
                <w:lang w:val="tr-TR"/>
              </w:rPr>
            </w:pPr>
            <w:r w:rsidRPr="00FB481D">
              <w:rPr>
                <w:rFonts w:asciiTheme="minorHAnsi" w:hAnsiTheme="minorHAnsi" w:cs="Arial"/>
                <w:b/>
                <w:bCs/>
                <w:sz w:val="22"/>
                <w:szCs w:val="22"/>
                <w:lang w:val="tr-TR"/>
              </w:rPr>
              <w:t>Rapor şablonuna uymayan Ön Değerlendirme Raporları değerlendirilmeyecektir.</w:t>
            </w:r>
          </w:p>
          <w:p w14:paraId="0FE2BBC0" w14:textId="392D8415" w:rsidR="00AF3465" w:rsidRPr="00F27E93" w:rsidRDefault="00002891" w:rsidP="00FB481D">
            <w:pPr>
              <w:pStyle w:val="GvdeB"/>
              <w:widowControl w:val="0"/>
              <w:numPr>
                <w:ilvl w:val="0"/>
                <w:numId w:val="2"/>
              </w:numPr>
              <w:suppressAutoHyphens/>
              <w:spacing w:line="360" w:lineRule="auto"/>
              <w:jc w:val="both"/>
              <w:rPr>
                <w:rFonts w:asciiTheme="minorHAnsi" w:hAnsiTheme="minorHAnsi"/>
                <w:lang w:val="tr-TR"/>
              </w:rPr>
            </w:pPr>
            <w:r w:rsidRPr="00FB481D">
              <w:rPr>
                <w:rFonts w:asciiTheme="minorHAnsi" w:hAnsiTheme="minorHAnsi" w:cs="Arial"/>
                <w:b/>
                <w:bCs/>
                <w:sz w:val="22"/>
                <w:szCs w:val="22"/>
                <w:lang w:val="tr-TR"/>
              </w:rPr>
              <w:t>5</w:t>
            </w:r>
            <w:r w:rsidR="00AF3465" w:rsidRPr="00FB481D">
              <w:rPr>
                <w:rFonts w:asciiTheme="minorHAnsi" w:hAnsiTheme="minorHAnsi" w:cs="Arial"/>
                <w:b/>
                <w:bCs/>
                <w:sz w:val="22"/>
                <w:szCs w:val="22"/>
                <w:lang w:val="tr-TR"/>
              </w:rPr>
              <w:t xml:space="preserve"> sayfayı geçen raporlar değerlendirmeye alınmayacaktır.</w:t>
            </w:r>
          </w:p>
        </w:tc>
      </w:tr>
    </w:tbl>
    <w:p w14:paraId="01AF1C13" w14:textId="77777777" w:rsidR="00AF3465" w:rsidRPr="00F27E93" w:rsidRDefault="00AF3465" w:rsidP="00AF3465">
      <w:pPr>
        <w:jc w:val="both"/>
      </w:pPr>
    </w:p>
    <w:p w14:paraId="35D4C711" w14:textId="77777777" w:rsidR="00AF3465" w:rsidRPr="00F27E93" w:rsidRDefault="00AF3465" w:rsidP="00AF3465">
      <w:pPr>
        <w:jc w:val="both"/>
        <w:rPr>
          <w:b/>
          <w:bCs/>
          <w:sz w:val="28"/>
          <w:szCs w:val="28"/>
        </w:rPr>
      </w:pPr>
    </w:p>
    <w:p w14:paraId="1AC68CB2" w14:textId="50DBE3CD" w:rsidR="0088288A" w:rsidRPr="00607187" w:rsidRDefault="0088288A" w:rsidP="00607187">
      <w:pPr>
        <w:jc w:val="both"/>
        <w:rPr>
          <w:b/>
          <w:bCs/>
          <w:sz w:val="28"/>
          <w:szCs w:val="28"/>
        </w:rPr>
      </w:pPr>
    </w:p>
    <w:sectPr w:rsidR="0088288A" w:rsidRPr="00607187" w:rsidSect="004F5B34">
      <w:headerReference w:type="default" r:id="rId4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0D97" w14:textId="77777777" w:rsidR="00A31962" w:rsidRDefault="00A31962" w:rsidP="004F5B34">
      <w:r>
        <w:separator/>
      </w:r>
    </w:p>
  </w:endnote>
  <w:endnote w:type="continuationSeparator" w:id="0">
    <w:p w14:paraId="1AF1EA45" w14:textId="77777777" w:rsidR="00A31962" w:rsidRDefault="00A31962"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00000000" w:usb1="E9DFFFFF" w:usb2="0000003F" w:usb3="00000000" w:csb0="003F01FF" w:csb1="00000000"/>
  </w:font>
  <w:font w:name="Google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B7B85" w14:textId="77777777" w:rsidR="00A31962" w:rsidRDefault="00A31962" w:rsidP="004F5B34">
      <w:r>
        <w:separator/>
      </w:r>
    </w:p>
  </w:footnote>
  <w:footnote w:type="continuationSeparator" w:id="0">
    <w:p w14:paraId="1DB3A9EA" w14:textId="77777777" w:rsidR="00A31962" w:rsidRDefault="00A31962"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Header"/>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407"/>
    <w:multiLevelType w:val="multilevel"/>
    <w:tmpl w:val="A4B8A6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3B3861"/>
    <w:multiLevelType w:val="multilevel"/>
    <w:tmpl w:val="60C603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5D1FE9"/>
    <w:multiLevelType w:val="multilevel"/>
    <w:tmpl w:val="C96A74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115DB8"/>
    <w:multiLevelType w:val="multilevel"/>
    <w:tmpl w:val="41FA88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D590D1A"/>
    <w:multiLevelType w:val="multilevel"/>
    <w:tmpl w:val="A606C0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5C93CEE"/>
    <w:multiLevelType w:val="multilevel"/>
    <w:tmpl w:val="5B72B3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6E1399A"/>
    <w:multiLevelType w:val="multilevel"/>
    <w:tmpl w:val="28D4A8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0FB4C99"/>
    <w:multiLevelType w:val="multilevel"/>
    <w:tmpl w:val="B57A9C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4C17D0C"/>
    <w:multiLevelType w:val="multilevel"/>
    <w:tmpl w:val="0C14A7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D9A6997"/>
    <w:multiLevelType w:val="multilevel"/>
    <w:tmpl w:val="0402FB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E737730"/>
    <w:multiLevelType w:val="multilevel"/>
    <w:tmpl w:val="83BC3FE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B24641C"/>
    <w:multiLevelType w:val="multilevel"/>
    <w:tmpl w:val="A9EC4E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C9F4237"/>
    <w:multiLevelType w:val="multilevel"/>
    <w:tmpl w:val="EE84FB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8960352">
    <w:abstractNumId w:val="5"/>
  </w:num>
  <w:num w:numId="2" w16cid:durableId="262419848">
    <w:abstractNumId w:val="11"/>
  </w:num>
  <w:num w:numId="3" w16cid:durableId="1155412426">
    <w:abstractNumId w:val="8"/>
  </w:num>
  <w:num w:numId="4" w16cid:durableId="113331922">
    <w:abstractNumId w:val="7"/>
  </w:num>
  <w:num w:numId="5" w16cid:durableId="446390168">
    <w:abstractNumId w:val="14"/>
  </w:num>
  <w:num w:numId="6" w16cid:durableId="1930701317">
    <w:abstractNumId w:val="6"/>
  </w:num>
  <w:num w:numId="7" w16cid:durableId="980883632">
    <w:abstractNumId w:val="9"/>
  </w:num>
  <w:num w:numId="8" w16cid:durableId="2129543384">
    <w:abstractNumId w:val="13"/>
  </w:num>
  <w:num w:numId="9" w16cid:durableId="1042024307">
    <w:abstractNumId w:val="3"/>
  </w:num>
  <w:num w:numId="10" w16cid:durableId="900023635">
    <w:abstractNumId w:val="2"/>
  </w:num>
  <w:num w:numId="11" w16cid:durableId="1980720553">
    <w:abstractNumId w:val="12"/>
  </w:num>
  <w:num w:numId="12" w16cid:durableId="875771874">
    <w:abstractNumId w:val="10"/>
  </w:num>
  <w:num w:numId="13" w16cid:durableId="576742875">
    <w:abstractNumId w:val="1"/>
  </w:num>
  <w:num w:numId="14" w16cid:durableId="425424126">
    <w:abstractNumId w:val="0"/>
  </w:num>
  <w:num w:numId="15" w16cid:durableId="1008412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02891"/>
    <w:rsid w:val="00021B1F"/>
    <w:rsid w:val="0015739E"/>
    <w:rsid w:val="002A04B5"/>
    <w:rsid w:val="003232C8"/>
    <w:rsid w:val="00434E4D"/>
    <w:rsid w:val="00454715"/>
    <w:rsid w:val="004F5B34"/>
    <w:rsid w:val="005553CF"/>
    <w:rsid w:val="005E5B62"/>
    <w:rsid w:val="00607187"/>
    <w:rsid w:val="00643BA2"/>
    <w:rsid w:val="00727395"/>
    <w:rsid w:val="00752AE5"/>
    <w:rsid w:val="00766225"/>
    <w:rsid w:val="0088288A"/>
    <w:rsid w:val="00A31962"/>
    <w:rsid w:val="00AA447C"/>
    <w:rsid w:val="00AF3465"/>
    <w:rsid w:val="00B11832"/>
    <w:rsid w:val="00C165A3"/>
    <w:rsid w:val="00C414B9"/>
    <w:rsid w:val="00C44CD2"/>
    <w:rsid w:val="00CA45D4"/>
    <w:rsid w:val="00CD26A6"/>
    <w:rsid w:val="00D15ABB"/>
    <w:rsid w:val="00FA05C3"/>
    <w:rsid w:val="00FB48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4F5B34"/>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4F5B3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4F5B3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4F5B3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4F5B3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4F5B3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4F5B3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B3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B3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4F5B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B34"/>
    <w:rPr>
      <w:i/>
      <w:iCs/>
      <w:color w:val="404040" w:themeColor="text1" w:themeTint="BF"/>
      <w:lang w:val="tr-TR"/>
    </w:rPr>
  </w:style>
  <w:style w:type="paragraph" w:styleId="ListParagraph">
    <w:name w:val="List Paragraph"/>
    <w:basedOn w:val="Normal"/>
    <w:uiPriority w:val="34"/>
    <w:qFormat/>
    <w:rsid w:val="004F5B34"/>
    <w:pPr>
      <w:ind w:left="720"/>
      <w:contextualSpacing/>
    </w:pPr>
  </w:style>
  <w:style w:type="character" w:styleId="IntenseEmphasis">
    <w:name w:val="Intense Emphasis"/>
    <w:basedOn w:val="DefaultParagraphFont"/>
    <w:uiPriority w:val="21"/>
    <w:qFormat/>
    <w:rsid w:val="004F5B34"/>
    <w:rPr>
      <w:i/>
      <w:iCs/>
      <w:color w:val="0F4761" w:themeColor="accent1" w:themeShade="BF"/>
    </w:rPr>
  </w:style>
  <w:style w:type="paragraph" w:styleId="IntenseQuote">
    <w:name w:val="Intense Quote"/>
    <w:basedOn w:val="Normal"/>
    <w:next w:val="Normal"/>
    <w:link w:val="IntenseQuote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B34"/>
    <w:rPr>
      <w:i/>
      <w:iCs/>
      <w:color w:val="0F4761" w:themeColor="accent1" w:themeShade="BF"/>
      <w:lang w:val="tr-TR"/>
    </w:rPr>
  </w:style>
  <w:style w:type="character" w:styleId="IntenseReference">
    <w:name w:val="Intense Reference"/>
    <w:basedOn w:val="DefaultParagraphFont"/>
    <w:uiPriority w:val="32"/>
    <w:qFormat/>
    <w:rsid w:val="004F5B34"/>
    <w:rPr>
      <w:b/>
      <w:bCs/>
      <w:smallCaps/>
      <w:color w:val="0F4761" w:themeColor="accent1" w:themeShade="BF"/>
      <w:spacing w:val="5"/>
    </w:rPr>
  </w:style>
  <w:style w:type="paragraph" w:styleId="Header">
    <w:name w:val="header"/>
    <w:basedOn w:val="Normal"/>
    <w:link w:val="HeaderChar"/>
    <w:uiPriority w:val="99"/>
    <w:unhideWhenUsed/>
    <w:rsid w:val="004F5B34"/>
    <w:pPr>
      <w:tabs>
        <w:tab w:val="center" w:pos="4513"/>
        <w:tab w:val="right" w:pos="9026"/>
      </w:tabs>
    </w:pPr>
  </w:style>
  <w:style w:type="character" w:customStyle="1" w:styleId="HeaderChar">
    <w:name w:val="Header Char"/>
    <w:basedOn w:val="DefaultParagraphFont"/>
    <w:link w:val="Header"/>
    <w:uiPriority w:val="99"/>
    <w:rsid w:val="004F5B34"/>
    <w:rPr>
      <w:lang w:val="tr-TR"/>
    </w:rPr>
  </w:style>
  <w:style w:type="paragraph" w:styleId="Footer">
    <w:name w:val="footer"/>
    <w:basedOn w:val="Normal"/>
    <w:link w:val="FooterChar"/>
    <w:uiPriority w:val="99"/>
    <w:unhideWhenUsed/>
    <w:rsid w:val="004F5B34"/>
    <w:pPr>
      <w:tabs>
        <w:tab w:val="center" w:pos="4513"/>
        <w:tab w:val="right" w:pos="9026"/>
      </w:tabs>
    </w:pPr>
  </w:style>
  <w:style w:type="character" w:customStyle="1" w:styleId="FooterChar">
    <w:name w:val="Footer Char"/>
    <w:basedOn w:val="DefaultParagraphFont"/>
    <w:link w:val="Footer"/>
    <w:uiPriority w:val="99"/>
    <w:rsid w:val="004F5B34"/>
    <w:rPr>
      <w:lang w:val="tr-TR"/>
    </w:rPr>
  </w:style>
  <w:style w:type="paragraph" w:styleId="NoSpacing">
    <w:name w:val="No Spacing"/>
    <w:link w:val="NoSpacingChar"/>
    <w:uiPriority w:val="1"/>
    <w:qFormat/>
    <w:rsid w:val="004F5B3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F5B34"/>
    <w:rPr>
      <w:rFonts w:eastAsiaTheme="minorEastAsia"/>
      <w:kern w:val="0"/>
      <w:sz w:val="22"/>
      <w:szCs w:val="22"/>
      <w:lang w:val="en-US" w:eastAsia="zh-CN"/>
      <w14:ligatures w14:val="none"/>
    </w:rPr>
  </w:style>
  <w:style w:type="paragraph" w:customStyle="1" w:styleId="Baslik2">
    <w:name w:val="Baslik2"/>
    <w:basedOn w:val="Heading3"/>
    <w:link w:val="Baslik2Char"/>
    <w:qFormat/>
    <w:rsid w:val="00AF3465"/>
    <w:pPr>
      <w:spacing w:before="120" w:after="120"/>
    </w:pPr>
    <w:rPr>
      <w:rFonts w:ascii="Open Sans" w:hAnsi="Open Sans"/>
      <w:b/>
      <w:color w:val="000000" w:themeColor="text1"/>
      <w:kern w:val="0"/>
      <w:sz w:val="24"/>
      <w:szCs w:val="24"/>
      <w:lang w:eastAsia="zh-CN"/>
      <w14:ligatures w14:val="none"/>
    </w:rPr>
  </w:style>
  <w:style w:type="paragraph" w:customStyle="1" w:styleId="Baslik3">
    <w:name w:val="Baslik3"/>
    <w:basedOn w:val="Heading4"/>
    <w:link w:val="Baslik3Char"/>
    <w:qFormat/>
    <w:rsid w:val="00AF3465"/>
    <w:pPr>
      <w:spacing w:before="40" w:after="0"/>
    </w:pPr>
    <w:rPr>
      <w:rFonts w:ascii="Open Sans" w:hAnsi="Open Sans"/>
      <w:b/>
      <w:i w:val="0"/>
      <w:color w:val="000000"/>
      <w:kern w:val="0"/>
      <w:sz w:val="20"/>
      <w:szCs w:val="22"/>
      <w:lang w:eastAsia="zh-CN"/>
      <w14:ligatures w14:val="none"/>
    </w:rPr>
  </w:style>
  <w:style w:type="character" w:customStyle="1" w:styleId="Baslik2Char">
    <w:name w:val="Baslik2 Char"/>
    <w:basedOn w:val="DefaultParagraphFont"/>
    <w:link w:val="Baslik2"/>
    <w:rsid w:val="00AF3465"/>
    <w:rPr>
      <w:rFonts w:ascii="Open Sans" w:eastAsiaTheme="majorEastAsia" w:hAnsi="Open Sans" w:cstheme="majorBidi"/>
      <w:b/>
      <w:color w:val="000000" w:themeColor="text1"/>
      <w:kern w:val="0"/>
      <w:lang w:val="tr-TR" w:eastAsia="zh-CN"/>
      <w14:ligatures w14:val="none"/>
    </w:rPr>
  </w:style>
  <w:style w:type="character" w:customStyle="1" w:styleId="Baslik3Char">
    <w:name w:val="Baslik3 Char"/>
    <w:basedOn w:val="DefaultParagraphFont"/>
    <w:link w:val="Baslik3"/>
    <w:rsid w:val="00AF3465"/>
    <w:rPr>
      <w:rFonts w:ascii="Open Sans" w:eastAsiaTheme="majorEastAsia" w:hAnsi="Open Sans" w:cstheme="majorBidi"/>
      <w:b/>
      <w:iCs/>
      <w:color w:val="000000"/>
      <w:kern w:val="0"/>
      <w:sz w:val="20"/>
      <w:szCs w:val="22"/>
      <w:lang w:val="tr-TR" w:eastAsia="zh-CN"/>
      <w14:ligatures w14:val="none"/>
    </w:rPr>
  </w:style>
  <w:style w:type="paragraph" w:customStyle="1" w:styleId="GvdeB">
    <w:name w:val="Gövde B"/>
    <w:rsid w:val="00AF3465"/>
    <w:pPr>
      <w:pBdr>
        <w:top w:val="nil"/>
        <w:left w:val="nil"/>
        <w:bottom w:val="nil"/>
        <w:right w:val="nil"/>
        <w:between w:val="nil"/>
        <w:bar w:val="nil"/>
      </w:pBdr>
    </w:pPr>
    <w:rPr>
      <w:rFonts w:ascii="Times New Roman" w:eastAsia="Arial Unicode MS" w:hAnsi="Times New Roman" w:cs="Arial Unicode MS"/>
      <w:color w:val="000000"/>
      <w:kern w:val="0"/>
      <w:u w:color="000000"/>
      <w:bdr w:val="nil"/>
      <w:lang w:val="en-US"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44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3.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2195</Words>
  <Characters>14974</Characters>
  <Application>Microsoft Office Word</Application>
  <DocSecurity>0</DocSecurity>
  <Lines>332</Lines>
  <Paragraphs>138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T3 Vakfı</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BERA EREN TUTKUN</cp:lastModifiedBy>
  <cp:revision>6</cp:revision>
  <dcterms:created xsi:type="dcterms:W3CDTF">2026-02-13T12:31:00Z</dcterms:created>
  <dcterms:modified xsi:type="dcterms:W3CDTF">2026-03-02T11:44:00Z</dcterms:modified>
</cp:coreProperties>
</file>