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1F3864"/>
          <w:sz w:val="36"/>
          <w:szCs w:val="36"/>
        </w:rPr>
        <w:t xml:space="preserve">AYUSH JAIN</w:t>
      </w:r>
    </w:p>
    <w:p>
      <w:pPr>
        <w:spacing w:after="60"/>
        <w:jc w:val="center"/>
      </w:pPr>
      <w:r>
        <w:rPr>
          <w:color w:val="595959"/>
          <w:sz w:val="23"/>
          <w:szCs w:val="23"/>
        </w:rPr>
        <w:t xml:space="preserve">Senior Data Architect  |  Cloud Data Platforms  ·  ETL Engineering  ·  Data Governance  ·  Financial Services</w:t>
      </w:r>
    </w:p>
    <w:p>
      <w:pPr>
        <w:spacing w:after="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+91-9717464471  ·  </w:t>
      </w:r>
      <w:hyperlink w:history="1" r:id="rId-veezgfujnxtpwvzqvcll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cseayushjain@gmail.com</w:t>
        </w:r>
      </w:hyperlink>
      <w:r>
        <w:rPr>
          <w:rFonts w:ascii="Calibri" w:cs="Calibri" w:eastAsia="Calibri" w:hAnsi="Calibri"/>
          <w:sz w:val="20"/>
          <w:szCs w:val="20"/>
        </w:rPr>
        <w:t xml:space="preserve">  ·  </w:t>
      </w:r>
      <w:hyperlink w:history="1" r:id="rIdyrsovjctf-y3irziu8xpn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LinkedIn</w:t>
        </w:r>
      </w:hyperlink>
      <w:r>
        <w:rPr>
          <w:rFonts w:ascii="Calibri" w:cs="Calibri" w:eastAsia="Calibri" w:hAnsi="Calibri"/>
          <w:sz w:val="20"/>
          <w:szCs w:val="20"/>
        </w:rPr>
        <w:t xml:space="preserve">  ·  Delhi NCR</w:t>
      </w:r>
    </w:p>
    <w:p>
      <w:pPr>
        <w:pBdr>
          <w:bottom w:val="single" w:color="2E75B6" w:sz="6" w:space="1"/>
        </w:pBdr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PROFESSIONAL SUMMARY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Techno-functional data architect with 13+ years of progressive experience designing and building enterprise data platforms, curated data ecosystems, and governance frameworks across financial services — with deep institutional knowledge of credit data domains, stakeholders, and regulated data environments.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Hands-on expertise in building and redesigning large-scale ETL pipelines (Ab Initio, SSIS), dimensional data models (star/snowflake schemas, SCD Type 1/2, conformed fact tables), and curated data layers serving enterprise analytics and reporting at scale.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Delivered measurable platform outcomes: $7M+ cost savings through pipeline optimization, 66% faster batch processing via architectural redesign, ~90% reduction in manual review through AI automation, and $2.8M revenue growth from Customer 360 analytics at Synchrony Financial.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Experienced building modular, metadata-driven data architectures and scalable ETL frameworks across cloud (AWS) and on-premise environments including Teradata, Netezza, Oracle, and SQL Server, with strong Python and SQL depth.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Led end-to-end platform modernization efforts — from legacy migration and schema redesign through to governance, data quality, metadata lineage, and stakeholder enablement — in Agile environments with cross-functional and vendor teams.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Certifications: AWS Cloud Practitioner, Ab Initio Architect, Collibra Data Steward, Oracle Certified Professional.</w:t>
      </w:r>
    </w:p>
    <w:p>
      <w:pPr>
        <w:pBdr>
          <w:bottom w:val="single" w:color="2E75B6" w:sz="6" w:space="1"/>
        </w:pBdr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TECHNICAL SKILLS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Data Engineering</w:t>
            </w:r>
          </w:p>
        </w:tc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Ab Initio GDE, SSIS, ETL Pipeline Design, Unix Shell Scripting, EDL, Python, SQL, Hadoop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Cloud &amp; Databases</w:t>
            </w:r>
          </w:p>
        </w:tc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AWS (Cloud Practitioner), Teradata, Netezza, Oracle, SQL Server, Conexus, Anaconda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Data Modeling</w:t>
            </w:r>
          </w:p>
        </w:tc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Star/Snowflake Schemas, Dimensional Modeling, SCD Type 1/2, Conformed Fact Tables, Logical &amp; Physical Models, ER Studio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Data Architecture</w:t>
            </w:r>
          </w:p>
        </w:tc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Modular ETL Frameworks, Curated Data Ecosystems, Metadata-Driven Architecture, Data Lake Design, Enterprise DWH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Governance &amp; Quality</w:t>
            </w:r>
          </w:p>
        </w:tc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Collibra (Certified), Data Lineage, Metadata Management, Data Catalog, GDPR/PII Compliance, CCAR Regulatory Frameworks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Analytics &amp; Visualization</w:t>
            </w:r>
          </w:p>
        </w:tc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SAS, Tableau, Visio, Lucidchart, Neo4J Graph Analytics, Anaconda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AI / Advanced Analytics</w:t>
            </w:r>
          </w:p>
        </w:tc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PII Classification (AI Automation), Neo4J Fraud Detection POC (28% improvement), Customer 360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Tools &amp; Delivery</w:t>
            </w:r>
          </w:p>
        </w:tc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JIRA, Confluence, Agile/Scrum, UAT Coordination, Reverse Engineering, SAS/CRON Automation</w:t>
            </w:r>
          </w:p>
        </w:tc>
      </w:tr>
    </w:tbl>
    <w:p>
      <w:pPr>
        <w:pBdr>
          <w:bottom w:val="single" w:color="2E75B6" w:sz="6" w:space="1"/>
        </w:pBdr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AWS Cloud Practitioner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Ab Initio Architect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Collibra Data Steward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Oracle Certified Professional</w:t>
      </w:r>
    </w:p>
    <w:p>
      <w:pPr>
        <w:pBdr>
          <w:bottom w:val="single" w:color="2E75B6" w:sz="6" w:space="1"/>
        </w:pBdr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KEY ACHIEVEMENTS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$7M+ cost savings delivered through optimized data pipeline architecture and SAS/CRON automation.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66% faster risk reporting and batch processing via the RDG 2.0 architectural redesign at Synchrony Financial — reducing a 3-day batch cycle to 1 day, with $1.2M in annual savings.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~90% reduction in manual review time through an AI-driven model for PII/sensitive column classification across data dumps.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$2.8M revenue growth attributed to Customer 360 analytics platform, enabling 400+ active business consumers.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$500K/year storage cost reduction from the Secured Installments Synapps migration, plus 40% SLA compliance improvement post-RDG 2.0 redesign.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28% improvement in fraud detection via Neo4J POC, now running as an in-house pilot.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2 Synchrony CEO Awards (2022 and 2024) for mentorship and innovation, plus 50+ Pillar Awards and a DNA Star Award for innovation at Infosys.</w:t>
      </w:r>
    </w:p>
    <w:p>
      <w:pPr>
        <w:pBdr>
          <w:bottom w:val="single" w:color="2E75B6" w:sz="6" w:space="1"/>
        </w:pBdr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PROFESSIONAL EXPERIENCE</w:t>
      </w:r>
    </w:p>
    <w:p>
      <w:pPr>
        <w:spacing w:after="20" w:before="2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Lead AVP, Credit Information Architect – Synchrony Financial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Sep 2019 – Present  |  Remote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Led data modernization across Synchrony’s Credit Cards data domain — driving alignment between business strategy and technical execution through complex platform transformation, data curation projects, and governance enforcement.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Redesigned the RDG (Curated DB) platform into a modular and dimensional architecture (RDG 2.0), updating 50+ Ab Initio ETL graphs. Outcome: batch processing cut from 3 days to 1 day (66% faster), $1.2M annual savings, and 40% SLA compliance improvement.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Built an AI-driven classification model for PII and sensitive column detection, reducing manual review effort from 2–3 days to 30 seconds at 95.7% accuracy — improving data governance and regulatory readiness across the platform.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Defined and maintained logical and physical data models for the Credit Cards data lake, ensuring reusability, scalability, and alignment with enterprise standards across shared dimensions and key business metrics.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Led Secured Installments Synapps Migration — migrating the legacy credit application platform (Surveyor) to Synapps, impacting 100+ RDG variables. Built automated validation processes and templates to preserve data lifecycle integrity. Outcome: $500K/year storage cost reduction.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Enhanced the Customer 360 view, directing data modeling and designing SCD Type 1/2 for attributes and junk dimensions for transaction flags — expanding credit analytics capability to 400+ active business consumers and contributing to $2.8M in revenue growth.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Curated a CCAR data table aligned to regulatory standards, and conducted POCs in Neo4J (28% fraud detection improvement), ER Studio (reusable ontology models), and Conexus (validated and moved to in-house pilot).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Streamlined manual request workflows into JIRA with multi-level board validations, automated email notifications, and governance controls — reducing process overhead and improving audit trail quality.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Mentored junior data professionals across global teams, led cross-functional Agile delivery, and managed vendor collaboration and negotiation across technology and compliance workstreams.</w:t>
      </w:r>
    </w:p>
    <w:p>
      <w:pPr>
        <w:spacing w:after="20" w:before="2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Senior Data Engineer – Tata Consultancy Services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Dec 2016 – Sep 2019  |  Noida, India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Built an automated Hadoop data lake for Space Management Analytics processing 14 TB/week of retail data, architected for 24-way parallel processing via Ab Initio multi-file systems — significantly improving throughput and processing reliability.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Eliminated a manual backdated SSIS exclusions process for a US retail client by automating it end to end, achieving an 80% reduction in effort and freeing up analyst time for higher-value work.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Led dimensional schema redesign for the BDM platform, converting legacy point-in-time data structures into star and snowflake models to improve query performance, analytical flexibility, and scalability.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Designed conformed fact tables with shared dimensions across Customers, Store, Products, Date, and SKU — enabling consistent cross-domain analytics and eliminating redundant data marts.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Worked closely with business stakeholders and data consumers to gather requirements, validate data models, and ensure transformed data structures matched downstream reporting and analytical needs.</w:t>
      </w:r>
    </w:p>
    <w:p>
      <w:pPr>
        <w:spacing w:after="20" w:before="2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Senior Systems Engineer – Infosys Ltd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Feb 2014 – Dec 2016  |  Chandigarh, India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Modernized legacy ETL flows and optimized fact table grain and dimension hierarchies in the Helios Project, balancing query performance with analytical flexibility — work that earned the Infosys DNA Star Award.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Completed a zero-downtime Teradata upgrade with automated validation, managing the migration risk carefully to ensure the platform stayed stable for business users throughout the transition.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Designed and optimized SQL queries and SOQL processes across Teradata and Oracle environments, improving data retrieval performance and reducing job run times across the data warehouse.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Contributed to ETL pipeline design and maintenance, collaborating with architects and business analysts to translate reporting requirements into scalable data transformation logic.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Maintained data quality and lineage documentation across key fact tables and dimensions, ensuring consistent metadata standards and supporting audit and governance activities.</w:t>
      </w:r>
    </w:p>
    <w:p>
      <w:pPr>
        <w:spacing w:after="20" w:before="2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Project Assistant / Innovation Catalyst – CSIR Delhi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May 2013 – Feb 2014  |  New Delhi, India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Developed an Android application for HRDG database access using Java and SQLite, delivering 65% faster data retrieval for researchers and building an efficient mobile data architecture serving 500+ monthly users.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Designed the underlying data schema and access layer for the mobile application, ensuring the data model could scale to support growing user numbers without performance degradation.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Worked with internal stakeholders to gather functional and data requirements, translating them into a usable technical solution that non-technical research staff could operate independently.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Conducted performance testing and validation to verify data retrieval speed improvements and identify bottlenecks before rollout to the broader user base.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Maintained technical documentation for the application architecture, database design, and deployment process to support future maintainability and onboarding of new team members.</w:t>
      </w:r>
    </w:p>
    <w:p>
      <w:pPr>
        <w:pBdr>
          <w:bottom w:val="single" w:color="2E75B6" w:sz="6" w:space="1"/>
        </w:pBdr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TECHNOLOGIES USED ACROSS PROJECTS</w:t>
      </w:r>
    </w:p>
    <w:p>
      <w:pPr>
        <w:spacing w:after="60" w:line="240" w:lineRule="auto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Engineering: </w:t>
      </w:r>
      <w:r>
        <w:rPr>
          <w:rFonts w:ascii="Calibri" w:cs="Calibri" w:eastAsia="Calibri" w:hAnsi="Calibri"/>
          <w:sz w:val="21"/>
          <w:szCs w:val="21"/>
        </w:rPr>
        <w:t xml:space="preserve">Ab Initio GDE, SSIS, EDL, Unix Shell Scripting, Hadoop, Python, SQL, SAS/CRON Automation</w:t>
      </w:r>
    </w:p>
    <w:p>
      <w:pPr>
        <w:spacing w:after="60" w:line="240" w:lineRule="auto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Databases: </w:t>
      </w:r>
      <w:r>
        <w:rPr>
          <w:rFonts w:ascii="Calibri" w:cs="Calibri" w:eastAsia="Calibri" w:hAnsi="Calibri"/>
          <w:sz w:val="21"/>
          <w:szCs w:val="21"/>
        </w:rPr>
        <w:t xml:space="preserve">AWS, Teradata, Netezza, Oracle, SQL Server, Conexus, Anaconda</w:t>
      </w:r>
    </w:p>
    <w:p>
      <w:pPr>
        <w:spacing w:after="60" w:line="240" w:lineRule="auto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Modeling: </w:t>
      </w:r>
      <w:r>
        <w:rPr>
          <w:rFonts w:ascii="Calibri" w:cs="Calibri" w:eastAsia="Calibri" w:hAnsi="Calibri"/>
          <w:sz w:val="21"/>
          <w:szCs w:val="21"/>
        </w:rPr>
        <w:t xml:space="preserve">Star/Snowflake Schemas, SCD Type 1/2, Conformed Fact Tables, Dimensional Modeling, ER Studio</w:t>
      </w:r>
    </w:p>
    <w:p>
      <w:pPr>
        <w:spacing w:after="60" w:line="240" w:lineRule="auto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Architecture: </w:t>
      </w:r>
      <w:r>
        <w:rPr>
          <w:rFonts w:ascii="Calibri" w:cs="Calibri" w:eastAsia="Calibri" w:hAnsi="Calibri"/>
          <w:sz w:val="21"/>
          <w:szCs w:val="21"/>
        </w:rPr>
        <w:t xml:space="preserve">Curated Data Layers (RDG), Data Lake Design, Metadata-Driven Architecture, Logical &amp; Physical Modeling</w:t>
      </w:r>
    </w:p>
    <w:p>
      <w:pPr>
        <w:spacing w:after="60" w:line="240" w:lineRule="auto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Governance: </w:t>
      </w:r>
      <w:r>
        <w:rPr>
          <w:rFonts w:ascii="Calibri" w:cs="Calibri" w:eastAsia="Calibri" w:hAnsi="Calibri"/>
          <w:sz w:val="21"/>
          <w:szCs w:val="21"/>
        </w:rPr>
        <w:t xml:space="preserve">Collibra, Data Lineage, Metadata Management, Data Catalog, PII/GDPR Frameworks, CCAR Regulatory</w:t>
      </w:r>
    </w:p>
    <w:p>
      <w:pPr>
        <w:spacing w:after="60" w:line="240" w:lineRule="auto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Analytics &amp; AI: </w:t>
      </w:r>
      <w:r>
        <w:rPr>
          <w:rFonts w:ascii="Calibri" w:cs="Calibri" w:eastAsia="Calibri" w:hAnsi="Calibri"/>
          <w:sz w:val="21"/>
          <w:szCs w:val="21"/>
        </w:rPr>
        <w:t xml:space="preserve">SAS, Tableau, Visio, Lucidchart, Neo4J Graph Analytics, Customer 360</w:t>
      </w:r>
    </w:p>
    <w:p>
      <w:pPr>
        <w:spacing w:after="60" w:line="240" w:lineRule="auto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Tools: </w:t>
      </w:r>
      <w:r>
        <w:rPr>
          <w:rFonts w:ascii="Calibri" w:cs="Calibri" w:eastAsia="Calibri" w:hAnsi="Calibri"/>
          <w:sz w:val="21"/>
          <w:szCs w:val="21"/>
        </w:rPr>
        <w:t xml:space="preserve">JIRA, Confluence, Agile/Scrum, UAT, Reverse Engineering</w:t>
      </w:r>
    </w:p>
    <w:p>
      <w:pPr>
        <w:pBdr>
          <w:bottom w:val="single" w:color="2E75B6" w:sz="6" w:space="1"/>
        </w:pBdr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EDUCATION</w:t>
      </w:r>
    </w:p>
    <w:p>
      <w:pPr>
        <w:spacing w:after="20" w:line="240" w:lineRule="auto"/>
      </w:pPr>
      <w:r>
        <w:rPr>
          <w:rFonts w:ascii="Calibri" w:cs="Calibri" w:eastAsia="Calibri" w:hAnsi="Calibri"/>
          <w:i w:val="false"/>
          <w:iCs w:val="false"/>
          <w:color w:val="000000"/>
          <w:sz w:val="21"/>
          <w:szCs w:val="21"/>
        </w:rPr>
        <w:t xml:space="preserve">MBA – IT &amp; Operations</w:t>
      </w:r>
    </w:p>
    <w:p>
      <w:pPr>
        <w:spacing w:after="80" w:line="240" w:lineRule="auto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Amity University, Delhi NCR  |  2012 – 2015</w:t>
      </w:r>
    </w:p>
    <w:p>
      <w:pPr>
        <w:spacing w:after="20" w:line="240" w:lineRule="auto"/>
      </w:pPr>
      <w:r>
        <w:rPr>
          <w:rFonts w:ascii="Calibri" w:cs="Calibri" w:eastAsia="Calibri" w:hAnsi="Calibri"/>
          <w:i w:val="false"/>
          <w:iCs w:val="false"/>
          <w:color w:val="000000"/>
          <w:sz w:val="21"/>
          <w:szCs w:val="21"/>
        </w:rPr>
        <w:t xml:space="preserve">B.Tech – Computer Science Engineering</w:t>
      </w:r>
    </w:p>
    <w:p>
      <w:pPr>
        <w:spacing w:after="80" w:line="240" w:lineRule="auto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BM Engineering College  |  2008 – 2012</w:t>
      </w:r>
    </w:p>
    <w:sectPr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-veezgfujnxtpwvzqvcll" Type="http://schemas.openxmlformats.org/officeDocument/2006/relationships/hyperlink" Target="mailto:cseayushjain@gmail.com" TargetMode="External"/><Relationship Id="rIdyrsovjctf-y3irziu8xpn" Type="http://schemas.openxmlformats.org/officeDocument/2006/relationships/hyperlink" Target="https://www.linkedin.com/in/ayush-jain-b43a6b27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2026-07-02T07:27:14.581Z</dcterms:created>
  <dcterms:modified xsi:type="dcterms:W3CDTF">2026-07-02T07:27:14.600Z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