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0206"/>
      </w:tblGrid>
      <w:tr w:rsidR="00000000" w14:paraId="01DAE3F0"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116"/>
            </w:tblGrid>
            <w:tr w:rsidR="00000000" w14:paraId="24CA0796" w14:textId="77777777">
              <w:trPr>
                <w:tblCellSpacing w:w="0" w:type="dxa"/>
              </w:trPr>
              <w:tc>
                <w:tcPr>
                  <w:tcW w:w="0" w:type="auto"/>
                  <w:vAlign w:val="center"/>
                  <w:hideMark/>
                </w:tcPr>
                <w:p w14:paraId="5DE7E85C" w14:textId="77777777" w:rsidR="007F1F59" w:rsidRDefault="007F1F59">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Convenção Coletiva De Trabalho 2025/2026 </w:t>
                  </w:r>
                </w:p>
              </w:tc>
            </w:tr>
            <w:tr w:rsidR="00000000" w14:paraId="68681C0C"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023636D4" w14:textId="77777777">
                    <w:trPr>
                      <w:tblCellSpacing w:w="0" w:type="dxa"/>
                    </w:trPr>
                    <w:tc>
                      <w:tcPr>
                        <w:tcW w:w="0" w:type="auto"/>
                        <w:vAlign w:val="center"/>
                        <w:hideMark/>
                      </w:tcPr>
                      <w:p w14:paraId="7591CA20" w14:textId="77777777" w:rsidR="007F1F59" w:rsidRDefault="007F1F59">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75041626" w14:textId="77777777" w:rsidR="007F1F59" w:rsidRDefault="007F1F59">
                        <w:pPr>
                          <w:rPr>
                            <w:rFonts w:ascii="Arial" w:eastAsia="Times New Roman" w:hAnsi="Arial" w:cs="Arial"/>
                            <w:sz w:val="21"/>
                            <w:szCs w:val="21"/>
                          </w:rPr>
                        </w:pPr>
                      </w:p>
                    </w:tc>
                    <w:tc>
                      <w:tcPr>
                        <w:tcW w:w="0" w:type="auto"/>
                        <w:vAlign w:val="center"/>
                        <w:hideMark/>
                      </w:tcPr>
                      <w:p w14:paraId="38D298A1" w14:textId="77777777" w:rsidR="007F1F59" w:rsidRDefault="007F1F59">
                        <w:pPr>
                          <w:rPr>
                            <w:rFonts w:ascii="Arial" w:eastAsia="Times New Roman" w:hAnsi="Arial" w:cs="Arial"/>
                            <w:sz w:val="21"/>
                            <w:szCs w:val="21"/>
                          </w:rPr>
                        </w:pPr>
                        <w:r>
                          <w:rPr>
                            <w:rFonts w:ascii="Arial" w:eastAsia="Times New Roman" w:hAnsi="Arial" w:cs="Arial"/>
                            <w:sz w:val="21"/>
                            <w:szCs w:val="21"/>
                          </w:rPr>
                          <w:t xml:space="preserve">SP000453/2026 </w:t>
                        </w:r>
                      </w:p>
                    </w:tc>
                  </w:tr>
                  <w:tr w:rsidR="00000000" w14:paraId="227823B7" w14:textId="77777777">
                    <w:trPr>
                      <w:tblCellSpacing w:w="0" w:type="dxa"/>
                    </w:trPr>
                    <w:tc>
                      <w:tcPr>
                        <w:tcW w:w="0" w:type="auto"/>
                        <w:vAlign w:val="center"/>
                        <w:hideMark/>
                      </w:tcPr>
                      <w:p w14:paraId="74E20A6D" w14:textId="77777777" w:rsidR="007F1F59" w:rsidRDefault="007F1F59">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1EB6E645" w14:textId="77777777" w:rsidR="007F1F59" w:rsidRDefault="007F1F59">
                        <w:pPr>
                          <w:rPr>
                            <w:rFonts w:ascii="Arial" w:eastAsia="Times New Roman" w:hAnsi="Arial" w:cs="Arial"/>
                            <w:sz w:val="21"/>
                            <w:szCs w:val="21"/>
                          </w:rPr>
                        </w:pPr>
                      </w:p>
                    </w:tc>
                    <w:tc>
                      <w:tcPr>
                        <w:tcW w:w="0" w:type="auto"/>
                        <w:vAlign w:val="center"/>
                        <w:hideMark/>
                      </w:tcPr>
                      <w:p w14:paraId="69ACBA68" w14:textId="77777777" w:rsidR="007F1F59" w:rsidRDefault="007F1F59">
                        <w:pPr>
                          <w:rPr>
                            <w:rFonts w:ascii="Arial" w:eastAsia="Times New Roman" w:hAnsi="Arial" w:cs="Arial"/>
                            <w:sz w:val="21"/>
                            <w:szCs w:val="21"/>
                          </w:rPr>
                        </w:pPr>
                        <w:r>
                          <w:rPr>
                            <w:rFonts w:ascii="Arial" w:eastAsia="Times New Roman" w:hAnsi="Arial" w:cs="Arial"/>
                            <w:sz w:val="21"/>
                            <w:szCs w:val="21"/>
                          </w:rPr>
                          <w:t xml:space="preserve">12/01/2026 </w:t>
                        </w:r>
                      </w:p>
                    </w:tc>
                  </w:tr>
                  <w:tr w:rsidR="00000000" w14:paraId="40336366" w14:textId="77777777">
                    <w:trPr>
                      <w:tblCellSpacing w:w="0" w:type="dxa"/>
                    </w:trPr>
                    <w:tc>
                      <w:tcPr>
                        <w:tcW w:w="0" w:type="auto"/>
                        <w:vAlign w:val="center"/>
                        <w:hideMark/>
                      </w:tcPr>
                      <w:p w14:paraId="75FEE796" w14:textId="77777777" w:rsidR="007F1F59" w:rsidRDefault="007F1F59">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4F0769F7" w14:textId="77777777" w:rsidR="007F1F59" w:rsidRDefault="007F1F59">
                        <w:pPr>
                          <w:rPr>
                            <w:rFonts w:ascii="Arial" w:eastAsia="Times New Roman" w:hAnsi="Arial" w:cs="Arial"/>
                            <w:sz w:val="21"/>
                            <w:szCs w:val="21"/>
                          </w:rPr>
                        </w:pPr>
                      </w:p>
                    </w:tc>
                    <w:tc>
                      <w:tcPr>
                        <w:tcW w:w="0" w:type="auto"/>
                        <w:vAlign w:val="center"/>
                        <w:hideMark/>
                      </w:tcPr>
                      <w:p w14:paraId="6A7907F6" w14:textId="77777777" w:rsidR="007F1F59" w:rsidRDefault="007F1F59">
                        <w:pPr>
                          <w:rPr>
                            <w:rFonts w:ascii="Arial" w:eastAsia="Times New Roman" w:hAnsi="Arial" w:cs="Arial"/>
                            <w:sz w:val="21"/>
                            <w:szCs w:val="21"/>
                          </w:rPr>
                        </w:pPr>
                        <w:r>
                          <w:rPr>
                            <w:rFonts w:ascii="Arial" w:eastAsia="Times New Roman" w:hAnsi="Arial" w:cs="Arial"/>
                            <w:sz w:val="21"/>
                            <w:szCs w:val="21"/>
                          </w:rPr>
                          <w:t xml:space="preserve">MR069060/2025 </w:t>
                        </w:r>
                      </w:p>
                    </w:tc>
                  </w:tr>
                  <w:tr w:rsidR="00000000" w14:paraId="7B455F6E" w14:textId="77777777">
                    <w:trPr>
                      <w:tblCellSpacing w:w="0" w:type="dxa"/>
                    </w:trPr>
                    <w:tc>
                      <w:tcPr>
                        <w:tcW w:w="0" w:type="auto"/>
                        <w:vAlign w:val="center"/>
                        <w:hideMark/>
                      </w:tcPr>
                      <w:p w14:paraId="0E7923A3" w14:textId="77777777" w:rsidR="007F1F59" w:rsidRDefault="007F1F59">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5858E70D" w14:textId="77777777" w:rsidR="007F1F59" w:rsidRDefault="007F1F59">
                        <w:pPr>
                          <w:rPr>
                            <w:rFonts w:ascii="Arial" w:eastAsia="Times New Roman" w:hAnsi="Arial" w:cs="Arial"/>
                            <w:sz w:val="21"/>
                            <w:szCs w:val="21"/>
                          </w:rPr>
                        </w:pPr>
                      </w:p>
                    </w:tc>
                    <w:tc>
                      <w:tcPr>
                        <w:tcW w:w="0" w:type="auto"/>
                        <w:vAlign w:val="center"/>
                        <w:hideMark/>
                      </w:tcPr>
                      <w:p w14:paraId="65A4B875" w14:textId="77777777" w:rsidR="007F1F59" w:rsidRDefault="007F1F59">
                        <w:pPr>
                          <w:rPr>
                            <w:rFonts w:ascii="Arial" w:eastAsia="Times New Roman" w:hAnsi="Arial" w:cs="Arial"/>
                            <w:sz w:val="21"/>
                            <w:szCs w:val="21"/>
                          </w:rPr>
                        </w:pPr>
                        <w:r>
                          <w:rPr>
                            <w:rFonts w:ascii="Arial" w:eastAsia="Times New Roman" w:hAnsi="Arial" w:cs="Arial"/>
                            <w:sz w:val="21"/>
                            <w:szCs w:val="21"/>
                          </w:rPr>
                          <w:t xml:space="preserve">47979.272905/2025-52 </w:t>
                        </w:r>
                      </w:p>
                    </w:tc>
                  </w:tr>
                  <w:tr w:rsidR="00000000" w14:paraId="14993217" w14:textId="77777777">
                    <w:trPr>
                      <w:tblCellSpacing w:w="0" w:type="dxa"/>
                    </w:trPr>
                    <w:tc>
                      <w:tcPr>
                        <w:tcW w:w="0" w:type="auto"/>
                        <w:vAlign w:val="center"/>
                        <w:hideMark/>
                      </w:tcPr>
                      <w:p w14:paraId="2F6AF3A0" w14:textId="77777777" w:rsidR="007F1F59" w:rsidRDefault="007F1F59">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351113EC" w14:textId="77777777" w:rsidR="007F1F59" w:rsidRDefault="007F1F59">
                        <w:pPr>
                          <w:rPr>
                            <w:rFonts w:ascii="Arial" w:eastAsia="Times New Roman" w:hAnsi="Arial" w:cs="Arial"/>
                            <w:sz w:val="21"/>
                            <w:szCs w:val="21"/>
                          </w:rPr>
                        </w:pPr>
                      </w:p>
                    </w:tc>
                    <w:tc>
                      <w:tcPr>
                        <w:tcW w:w="0" w:type="auto"/>
                        <w:vAlign w:val="center"/>
                        <w:hideMark/>
                      </w:tcPr>
                      <w:p w14:paraId="6B36138E" w14:textId="77777777" w:rsidR="007F1F59" w:rsidRDefault="007F1F59">
                        <w:pPr>
                          <w:rPr>
                            <w:rFonts w:ascii="Arial" w:eastAsia="Times New Roman" w:hAnsi="Arial" w:cs="Arial"/>
                            <w:sz w:val="21"/>
                            <w:szCs w:val="21"/>
                          </w:rPr>
                        </w:pPr>
                        <w:r>
                          <w:rPr>
                            <w:rFonts w:ascii="Arial" w:eastAsia="Times New Roman" w:hAnsi="Arial" w:cs="Arial"/>
                            <w:sz w:val="21"/>
                            <w:szCs w:val="21"/>
                          </w:rPr>
                          <w:t xml:space="preserve">06/11/2025 </w:t>
                        </w:r>
                      </w:p>
                    </w:tc>
                  </w:tr>
                </w:tbl>
                <w:p w14:paraId="54234770" w14:textId="77777777" w:rsidR="007F1F59" w:rsidRDefault="007F1F59">
                  <w:pPr>
                    <w:rPr>
                      <w:rFonts w:eastAsia="Times New Roman"/>
                    </w:rPr>
                  </w:pPr>
                </w:p>
                <w:p w14:paraId="68787E88" w14:textId="77777777" w:rsidR="007F1F59" w:rsidRDefault="007F1F59">
                  <w:pPr>
                    <w:pStyle w:val="NormalWeb"/>
                  </w:pPr>
                  <w:r>
                    <w:rPr>
                      <w:b/>
                      <w:bCs/>
                    </w:rPr>
                    <w:t>Confira a autenticidade no endereço http://www3.mte.gov.br/sistemas/mediador/.</w:t>
                  </w:r>
                  <w:r>
                    <w:rPr>
                      <w:b/>
                      <w:bCs/>
                    </w:rPr>
                    <w:t xml:space="preserve"> </w:t>
                  </w:r>
                </w:p>
                <w:p w14:paraId="719B285B" w14:textId="77777777" w:rsidR="007F1F59" w:rsidRDefault="007F1F59">
                  <w:pPr>
                    <w:rPr>
                      <w:rFonts w:eastAsia="Times New Roman"/>
                    </w:rPr>
                  </w:pPr>
                </w:p>
              </w:tc>
            </w:tr>
            <w:tr w:rsidR="00000000" w14:paraId="21B8BD67" w14:textId="77777777">
              <w:trPr>
                <w:tblCellSpacing w:w="0" w:type="dxa"/>
              </w:trPr>
              <w:tc>
                <w:tcPr>
                  <w:tcW w:w="0" w:type="auto"/>
                  <w:vAlign w:val="center"/>
                  <w:hideMark/>
                </w:tcPr>
                <w:p w14:paraId="7D08F543" w14:textId="77777777" w:rsidR="007F1F59" w:rsidRDefault="007F1F59">
                  <w:pPr>
                    <w:pStyle w:val="NormalWeb"/>
                    <w:rPr>
                      <w:rFonts w:ascii="Arial" w:hAnsi="Arial" w:cs="Arial"/>
                      <w:sz w:val="21"/>
                      <w:szCs w:val="21"/>
                    </w:rPr>
                  </w:pPr>
                  <w:r>
                    <w:rPr>
                      <w:rFonts w:ascii="Arial" w:hAnsi="Arial" w:cs="Arial"/>
                      <w:sz w:val="21"/>
                      <w:szCs w:val="21"/>
                    </w:rPr>
                    <w:t xml:space="preserve">SINDICATO DOS NUTRICIONISTAS DO ESTADO DE SAO PAULO, CNPJ n. 52.399.946/0001-76, neste ato representado(a) por seu Presidente, Sr(a). MARIA DA CONSOLACAO MACHADO FUREGATTI;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SINDICATO NACIONAL DAS COOPERATIVAS DE SERVICOS MEDICOS, CNPJ n. 60.902.764/0001-02, neste ato representado(a) por seu Presidente, Sr(a). DILSON LAMAITA MIRANDA; </w:t>
                  </w:r>
                  <w:r>
                    <w:rPr>
                      <w:rFonts w:ascii="Arial" w:hAnsi="Arial" w:cs="Arial"/>
                      <w:sz w:val="21"/>
                      <w:szCs w:val="21"/>
                    </w:rPr>
                    <w:br/>
                    <w:t xml:space="preserve">  </w:t>
                  </w:r>
                  <w:r>
                    <w:rPr>
                      <w:rFonts w:ascii="Arial" w:hAnsi="Arial" w:cs="Arial"/>
                      <w:sz w:val="21"/>
                      <w:szCs w:val="21"/>
                    </w:rPr>
                    <w:br/>
                    <w:t xml:space="preserve">celebram a presente CONVENÇÃO COLETIVA DE TRABALHO, estipulando as condições de trabalho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da presente Convenção Coletiva de Trabalho no período de 01º de julho de 2025 a 30 de junho de 2026 e a data-base da categoria em 01º de julho.</w:t>
                  </w:r>
                  <w:r>
                    <w:rPr>
                      <w:rFonts w:ascii="Arial" w:hAnsi="Arial" w:cs="Arial"/>
                      <w:sz w:val="21"/>
                      <w:szCs w:val="21"/>
                    </w:rPr>
                    <w:t xml:space="preserve"> </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A presente Convenção Coletiva de Trabalho abrangerá a(s) categoria(s) </w:t>
                  </w:r>
                  <w:r>
                    <w:rPr>
                      <w:rFonts w:ascii="Arial" w:hAnsi="Arial" w:cs="Arial"/>
                      <w:b/>
                      <w:bCs/>
                      <w:sz w:val="21"/>
                      <w:szCs w:val="21"/>
                    </w:rPr>
                    <w:t xml:space="preserve">CATEGORIA PROFISSIONAL DOS NUTRICIONISTAS QUE LABORAM NAS COOPERATIVAS DE SERVIÇOS MÉDICOS </w:t>
                  </w:r>
                  <w:r>
                    <w:rPr>
                      <w:rFonts w:ascii="Arial" w:hAnsi="Arial" w:cs="Arial"/>
                      <w:sz w:val="21"/>
                      <w:szCs w:val="21"/>
                    </w:rPr>
                    <w:t xml:space="preserve">, com abrangência territorial em </w:t>
                  </w:r>
                  <w:r>
                    <w:rPr>
                      <w:rFonts w:ascii="Arial" w:hAnsi="Arial" w:cs="Arial"/>
                      <w:b/>
                      <w:bCs/>
                      <w:sz w:val="21"/>
                      <w:szCs w:val="21"/>
                    </w:rPr>
                    <w:t>Adamantina/SP, Adolfo/SP, Aguaí/SP, Águas da Prata/SP, Águas de Lindóia/SP, Águas de Santa Bárbara/SP, Águas de São Pedro/SP, Agudos/SP, Alambari/SP, Alfredo Marcondes/SP, Altair/SP, Altinópolis/SP, Alto Alegre/SP, Alumínio/SP, Álvares Florence/SP, Álvares Machado/SP, Álvaro de Carvalho/SP, Alvinlândia/SP, Americana/</w:t>
                  </w:r>
                  <w:r>
                    <w:rPr>
                      <w:rFonts w:ascii="Arial" w:hAnsi="Arial" w:cs="Arial"/>
                      <w:b/>
                      <w:bCs/>
                      <w:sz w:val="21"/>
                      <w:szCs w:val="21"/>
                    </w:rPr>
                    <w:t>SP, Américo Brasiliense/SP, Américo de Campos/SP, Amparo/SP, Analândia/SP, Andradina/SP, Angatuba/SP, Anhembi/SP, Anhumas/SP, Aparecida d'Oeste/SP, Aparecida/SP, Apiaí/SP, Araçariguama/SP, Araçatuba/SP, Araçoiaba da Serra/SP, Aramina/SP, Arandu/SP, Arapeí/SP, Araraquara/SP, Araras/SP, Arco-Íris/SP, Arealva/SP, Areias/SP, Areiópolis/SP, Ariranha/SP, Artur Nogueira/SP, Arujá/SP, Aspásia/SP, Assis/SP, Atibaia/SP, Auriflama/SP, Avaí/SP, Avanhandava/SP, Avaré/SP, Bady Bassitt/SP, Balbinos/SP, Bálsamo/SP, Bananal</w:t>
                  </w:r>
                  <w:r>
                    <w:rPr>
                      <w:rFonts w:ascii="Arial" w:hAnsi="Arial" w:cs="Arial"/>
                      <w:b/>
                      <w:bCs/>
                      <w:sz w:val="21"/>
                      <w:szCs w:val="21"/>
                    </w:rPr>
                    <w:t>/SP, Barão de Antonina/SP, Barbosa/SP, Bariri/SP, Barra Bonita/SP, Barra do Chapéu/SP, Barra do Turvo/SP, Barretos/SP, Barrinha/SP, Barueri/SP, Bastos/SP, Batatais/SP, Bauru/SP, Bebedouro/SP, Bento de Abreu/SP, Bernardino de Campos/SP, Bertioga/SP, Bilac/SP, Birigui/SP, Biritiba Mirim/SP, Boa Esperança do Sul/SP, Bocaina/SP, Bofete/SP, Boituva/SP, Bom Jesus dos Perdões/SP, Bom Sucesso de Itararé/SP, Borá/SP, Boracéia/SP, Borborema/SP, Borebi/SP, Botucatu/SP, Bragança Paulista/SP, Braúna/SP, Brejo Alegre/SP,</w:t>
                  </w:r>
                  <w:r>
                    <w:rPr>
                      <w:rFonts w:ascii="Arial" w:hAnsi="Arial" w:cs="Arial"/>
                      <w:b/>
                      <w:bCs/>
                      <w:sz w:val="21"/>
                      <w:szCs w:val="21"/>
                    </w:rPr>
                    <w:t xml:space="preserve"> Brodowski/SP, Brotas/SP, Buri/SP, Buritama/SP, Buritizal/SP, Cabrália Paulista/SP, Cabreúva/SP, Caçapava/SP, Cachoeira Paulista/SP, Caconde/SP, Cafelândia/SP, Caiabu/SP, Caieiras/SP, Caiuá/SP, Cajamar/SP, Cajati/SP, Cajobi/SP, Cajuru/SP, Campina do Monte Alegre/SP, Campinas/SP, Campo Limpo Paulista/SP, Campos do Jordão/SP, Campos Novos Paulista/SP, Cananéia/SP, Canas/SP, Cândido Mota/SP, Cândido Rodrigues/SP, Canitar/SP, Capão Bonito/SP, Capela do Alto/SP, Capivari/SP, Caraguatatuba/SP, Carapicuíba/SP, Car</w:t>
                  </w:r>
                  <w:r>
                    <w:rPr>
                      <w:rFonts w:ascii="Arial" w:hAnsi="Arial" w:cs="Arial"/>
                      <w:b/>
                      <w:bCs/>
                      <w:sz w:val="21"/>
                      <w:szCs w:val="21"/>
                    </w:rPr>
                    <w:t xml:space="preserve">doso/SP, Casa Branca/SP, Cássia dos Coqueiros/SP, Castilho/SP, Catanduva/SP, Catiguá/SP, Cedral/SP, Cerqueira César/SP, Cerquilho/SP, Cesário Lange/SP, Charqueada/SP, Chavantes/SP, Clementina/SP, Colina/SP, Colômbia/SP, Conchal/SP, Conchas/SP, Cordeirópolis/SP, Coroados/SP, Coronel Macedo/SP, Corumbataí/SP, Cosmópolis/SP, Cosmorama/SP, Cotia/SP, Cravinhos/SP, Cristais Paulista/SP, Cruzália/SP, Cruzeiro/SP, Cubatão/SP, Cunha/SP, Descalvado/SP, Diadema/SP, Dirce Reis/SP, </w:t>
                  </w:r>
                  <w:r>
                    <w:rPr>
                      <w:rFonts w:ascii="Arial" w:hAnsi="Arial" w:cs="Arial"/>
                      <w:b/>
                      <w:bCs/>
                      <w:sz w:val="21"/>
                      <w:szCs w:val="21"/>
                    </w:rPr>
                    <w:lastRenderedPageBreak/>
                    <w:t>Divinolândia/SP, Dobrada/SP, Dois Córr</w:t>
                  </w:r>
                  <w:r>
                    <w:rPr>
                      <w:rFonts w:ascii="Arial" w:hAnsi="Arial" w:cs="Arial"/>
                      <w:b/>
                      <w:bCs/>
                      <w:sz w:val="21"/>
                      <w:szCs w:val="21"/>
                    </w:rPr>
                    <w:t xml:space="preserve">egos/SP, Dolcinópolis/SP, Dourado/SP, Dracena/SP, Duartina/SP, Dumont/SP, Echaporã/SP, Eldorado/SP, Elias Fausto/SP, Elisiário/SP, Embaúba/SP, Embu das Artes/SP, Embu-Guaçu/SP, Emilianópolis/SP, Engenheiro Coelho/SP, Espírito Santo do Pinhal/SP, Espírito Santo do Turvo/SP, Estiva Gerbi/SP, Estrela do Norte/SP, Estrela d'Oeste/SP, Euclides da Cunha Paulista/SP, Fartura/SP, Fernando Prestes/SP, Fernandópolis/SP, Fernão/SP, Ferraz de Vasconcelos/SP, Flora Rica/SP, Floreal/SP, Flórida Paulista/SP, Florínea/SP, </w:t>
                  </w:r>
                  <w:r>
                    <w:rPr>
                      <w:rFonts w:ascii="Arial" w:hAnsi="Arial" w:cs="Arial"/>
                      <w:b/>
                      <w:bCs/>
                      <w:sz w:val="21"/>
                      <w:szCs w:val="21"/>
                    </w:rPr>
                    <w:t>Franca/SP, Francisco Morato/SP, Franco da Rocha/SP, Gabriel Monteiro/SP, Gália/SP, Garça/SP, Gastão Vidigal/SP, Gavião Peixoto/SP, General Salgado/SP, Getulina/SP, Glicério/SP, Guaiçara/SP, Guaimbê/SP, Guaíra/SP, Guapiaçu/SP, Guapiara/SP, Guará/SP, Guaraçaí/SP, Guaraci/SP, Guarani d'Oeste/SP, Guarantã/SP, Guararapes/SP, Guararema/SP, Guaratinguetá/SP, Guareí/SP, Guariba/SP, Guarujá/SP, Guarulhos/SP, Guatapará/SP, Guzolândia/SP, Herculândia/SP, Holambra/SP, Hortolândia/SP, Iacanga/SP, Iacri/SP, Iaras/SP, Iba</w:t>
                  </w:r>
                  <w:r>
                    <w:rPr>
                      <w:rFonts w:ascii="Arial" w:hAnsi="Arial" w:cs="Arial"/>
                      <w:b/>
                      <w:bCs/>
                      <w:sz w:val="21"/>
                      <w:szCs w:val="21"/>
                    </w:rPr>
                    <w:t>té/SP, Ibirá/SP, Ibirarema/SP, Ibitinga/SP, Ibiúna/SP, Icém/SP, Iepê/SP, Igaraçu do Tietê/SP, Igarapava/SP, Igaratá/SP, Iguape/SP, Ilha Comprida/SP, Ilha Solteira/SP, Ilhabela/SP, Indaiatuba/SP, Indiana/SP, Indiaporã/SP, Inúbia Paulista/SP, Ipaussu/SP, Iperó/SP, Ipeúna/SP, Ipiguá/SP, Iporanga/SP, Ipuã/SP, Iracemápolis/SP, Irapuã/SP, Irapuru/SP, Itaberá/SP, Itaí/SP, Itajobi/SP, Itaju/SP, Itanhaém/SP, Itaoca/SP, Itapecerica da Serra/SP, Itapetininga/SP, Itapeva/SP, Itapevi/SP, Itapira/SP, Itapirapuã Paulista/</w:t>
                  </w:r>
                  <w:r>
                    <w:rPr>
                      <w:rFonts w:ascii="Arial" w:hAnsi="Arial" w:cs="Arial"/>
                      <w:b/>
                      <w:bCs/>
                      <w:sz w:val="21"/>
                      <w:szCs w:val="21"/>
                    </w:rPr>
                    <w:t>SP, Itápolis/SP, Itaporanga/SP, Itapuí/SP, Itapura/SP, Itaquaquecetuba/SP, Itararé/SP, Itariri/SP, Itatiba/SP, Itatinga/SP, Itirapina/SP, Itirapuã/SP, Itobi/SP, Itu/SP, Itupeva/SP, Ituverava/SP, Jaborandi/SP, Jaboticabal/SP, Jacareí/SP, Jaci/SP, Jacupiranga/SP, Jaguariúna/SP, Jales/SP, Jambeiro/SP, Jandira/SP, Jardinópolis/SP, Jarinu/SP, Jaú/SP, Jeriquara/SP, Joanópolis/SP, João Ramalho/SP, José Bonifácio/SP, Júlio Mesquita/SP, Jumirim/SP, Jundiaí/SP, Junqueirópolis/SP, Juquiá/SP, Juquitiba/SP, Lagoinha/SP,</w:t>
                  </w:r>
                  <w:r>
                    <w:rPr>
                      <w:rFonts w:ascii="Arial" w:hAnsi="Arial" w:cs="Arial"/>
                      <w:b/>
                      <w:bCs/>
                      <w:sz w:val="21"/>
                      <w:szCs w:val="21"/>
                    </w:rPr>
                    <w:t xml:space="preserve"> Laranjal Paulista/SP, Lavínia/SP, Lavrinhas/SP, Leme/SP, Lençóis Paulista/SP, Limeira/SP, Lindóia/SP, Lins/SP, Lorena/SP, Lourdes/SP, Louveira/SP, Lucélia/SP, Lucianópolis/SP, Luís Antônio/SP, Luiziânia/SP, Lupércio/SP, Lutécia/SP, Macatuba/SP, Macaubal/SP, Macedônia/SP, Magda/SP, Mairinque/SP, Mairiporã/SP, Manduri/SP, Marabá Paulista/SP, Maracaí/SP, Marapoama/SP, Mariápolis/SP, Marília/SP, Marinópolis/SP, Martinópolis/SP, Matão/SP, Mauá/SP, Mendonça/SP, Meridiano/SP, Mesópolis/SP, Miguelópolis/SP, Mineir</w:t>
                  </w:r>
                  <w:r>
                    <w:rPr>
                      <w:rFonts w:ascii="Arial" w:hAnsi="Arial" w:cs="Arial"/>
                      <w:b/>
                      <w:bCs/>
                      <w:sz w:val="21"/>
                      <w:szCs w:val="21"/>
                    </w:rPr>
                    <w:t>os do Tietê/SP, Mira Estrela/SP, Miracatu/SP, Mirandópolis/SP, Mirante do Paranapanema/SP, Mirassol/SP, Mirassolândia/SP, Mococa/SP, Mogi das Cruzes/SP, Mogi Guaçu/SP, Mogi Mirim/SP, Mombuca/SP, Monções/SP, Mongaguá/SP, Monte Alegre do Sul/SP, Monte Alto/SP, Monte Aprazível/SP, Monte Azul Paulista/SP, Monte Castelo/SP, Monte Mor/SP, Monteiro Lobato/SP, Morro Agudo/SP, Morungaba/SP, Motuca/SP, Murutinga do Sul/SP, Nantes/SP, Narandiba/SP, Natividade da Serra/SP, Nazaré Paulista/SP, Neves Paulista/SP, Nhandea</w:t>
                  </w:r>
                  <w:r>
                    <w:rPr>
                      <w:rFonts w:ascii="Arial" w:hAnsi="Arial" w:cs="Arial"/>
                      <w:b/>
                      <w:bCs/>
                      <w:sz w:val="21"/>
                      <w:szCs w:val="21"/>
                    </w:rPr>
                    <w:t>ra/SP, Nipoã/SP, Nova Aliança/SP, Nova Campina/SP, Nova Canaã Paulista/SP, Nova Castilho/SP, Nova Europa/SP, Nova Granada/SP, Nova Guataporanga/SP, Nova Independência/SP, Nova Luzitânia/SP, Nova Odessa/SP, Novais/SP, Novo Horizonte/SP, Nuporanga/SP, Ocauçu/SP, Óleo/SP, Olímpia/SP, Onda Verde/SP, Oriente/SP, Orindiúva/SP, Orlândia/SP, Osasco/SP, Oscar Bressane/SP, Osvaldo Cruz/SP, Ourinhos/SP, Ouro Verde/SP, Ouroeste/SP, Pacaembu/SP, Palestina/SP, Palmares Paulista/SP, Palmeira d'Oeste/SP, Palmital/SP, Panor</w:t>
                  </w:r>
                  <w:r>
                    <w:rPr>
                      <w:rFonts w:ascii="Arial" w:hAnsi="Arial" w:cs="Arial"/>
                      <w:b/>
                      <w:bCs/>
                      <w:sz w:val="21"/>
                      <w:szCs w:val="21"/>
                    </w:rPr>
                    <w:t>ama/SP, Paraguaçu Paulista/SP, Paraibuna/SP, Paraíso/SP, Paranapanema/SP, Paranapuã/SP, Parapuã/SP, Pardinho/SP, Pariquera-Açu/SP, Parisi/SP, Patrocínio Paulista/SP, Paulicéia/SP, Paulínia/SP, Paulistânia/SP, Paulo de Faria/SP, Pederneiras/SP, Pedra Bela/SP, Pedranópolis/SP, Pedregulho/SP, Pedreira/SP, Pedrinhas Paulista/SP, Pedro de Toledo/SP, Penápolis/SP, Pereira Barreto/SP, Pereiras/SP, Peruíbe/SP, Piacatu/SP, Piedade/SP, Pilar do Sul/SP, Pindamonhangaba/SP, Pindorama/SP, Pinhalzinho/SP, Piquerobi/SP, P</w:t>
                  </w:r>
                  <w:r>
                    <w:rPr>
                      <w:rFonts w:ascii="Arial" w:hAnsi="Arial" w:cs="Arial"/>
                      <w:b/>
                      <w:bCs/>
                      <w:sz w:val="21"/>
                      <w:szCs w:val="21"/>
                    </w:rPr>
                    <w:t>iquete/SP, Piracaia/SP, Piracicaba/SP, Piraju/SP, Pirajuí/SP, Pirangi/SP, Pirapora do Bom Jesus/SP, Pirapozinho/SP, Pirassununga/SP, Piratininga/SP, Pitangueiras/SP, Planalto/SP, Platina/SP, Poá/SP, Poloni/SP, Pompéia/SP, Pongaí/SP, Pontal/SP, Pontalinda/SP, Pontes Gestal/SP, Populina/SP, Porangaba/SP, Porto Feliz/SP, Porto Ferreira/SP, Potim/SP, Potirendaba/SP, Pracinha/SP, Pradópolis/SP, Praia Grande/SP, Pratânia/SP, Presidente Alves/SP, Presidente Bernardes/SP, Presidente Epitácio/SP, Presidente Prudente</w:t>
                  </w:r>
                  <w:r>
                    <w:rPr>
                      <w:rFonts w:ascii="Arial" w:hAnsi="Arial" w:cs="Arial"/>
                      <w:b/>
                      <w:bCs/>
                      <w:sz w:val="21"/>
                      <w:szCs w:val="21"/>
                    </w:rPr>
                    <w:t>/SP, Presidente Venceslau/SP, Promissão/SP, Quadra/SP, Quatá/SP, Queiroz/SP, Queluz/SP, Quintana/SP, Rafard/SP, Rancharia/SP, Redenção da Serra/SP, Regente Feijó/SP, Reginópolis/SP, Registro/SP, Restinga/SP, Ribeira/SP, Ribeirão Bonito/SP, Ribeirão Branco/SP, Ribeirão Corrente/SP, Ribeirão do Sul/SP, Ribeirão dos Índios/SP, Ribeirão Grande/SP, Ribeirão Pires/SP, Ribeirão Preto/SP, Rifaina/SP, Rincão/SP, Rinópolis/SP, Rio Claro/SP, Rio das Pedras/SP, Rio Grande da Serra/SP, Riolândia/SP, Riversul/SP, Rosana/</w:t>
                  </w:r>
                  <w:r>
                    <w:rPr>
                      <w:rFonts w:ascii="Arial" w:hAnsi="Arial" w:cs="Arial"/>
                      <w:b/>
                      <w:bCs/>
                      <w:sz w:val="21"/>
                      <w:szCs w:val="21"/>
                    </w:rPr>
                    <w:t xml:space="preserve">SP, Roseira/SP, Rubiácea/SP, Rubinéia/SP, Sabino/SP, Sagres/SP, Sales Oliveira/SP, Sales/SP, Salesópolis/SP, Salmourão/SP, Saltinho/SP, Salto de Pirapora/SP, Salto Grande/SP, Salto/SP, Sandovalina/SP, Santa Adélia/SP, Santa Albertina/SP, Santa Bárbara </w:t>
                  </w:r>
                  <w:r>
                    <w:rPr>
                      <w:rFonts w:ascii="Arial" w:hAnsi="Arial" w:cs="Arial"/>
                      <w:b/>
                      <w:bCs/>
                      <w:sz w:val="21"/>
                      <w:szCs w:val="21"/>
                    </w:rPr>
                    <w:lastRenderedPageBreak/>
                    <w:t>d'Oeste/SP, Santa Branca/SP, Santa Clara d'Oeste/SP, Santa Cruz da Conceição/SP, Santa Cruz da Esperança/SP, Santa Cruz das Palmeiras/SP, Santa Cruz do Rio Pardo/SP, Santa Ernestina/SP, Santa Fé do Sul/SP, Santa Gertrudes/SP, Santa Isabel/SP, Santa Lúcia/SP, S</w:t>
                  </w:r>
                  <w:r>
                    <w:rPr>
                      <w:rFonts w:ascii="Arial" w:hAnsi="Arial" w:cs="Arial"/>
                      <w:b/>
                      <w:bCs/>
                      <w:sz w:val="21"/>
                      <w:szCs w:val="21"/>
                    </w:rPr>
                    <w:t>anta Maria da Serra/SP, Santa Mercedes/SP, Santa Rita do Passa Quatro/SP, Santa Rita d'Oeste/SP, Santa Rosa de Viterbo/SP, Santa Salete/SP, Santana da Ponte Pensa/SP, Santana de Parnaíba/SP, Santo Anastácio/SP, Santo André/SP, Santo Antônio da Alegria/SP, Santo Antônio de Posse/SP, Santo Antônio do Aracanguá/SP, Santo Antônio do Jardim/SP, Santo Antônio do Pinhal/SP, Santo Expedito/SP, Santópolis do Aguapeí/SP, Santos/SP, São Bento do Sapucaí/SP, São Bernardo do Campo/SP, São Caetano do Sul/SP, São Carlos/S</w:t>
                  </w:r>
                  <w:r>
                    <w:rPr>
                      <w:rFonts w:ascii="Arial" w:hAnsi="Arial" w:cs="Arial"/>
                      <w:b/>
                      <w:bCs/>
                      <w:sz w:val="21"/>
                      <w:szCs w:val="21"/>
                    </w:rPr>
                    <w:t>P, São Francisco/SP, São João da Boa Vista/SP, São João das Duas Pontes/SP, São João de Iracema/SP, São João do Pau d'Alho/SP, São Joaquim da Barra/SP, São José da Bela Vista/SP, São José do Barreiro/SP, São José do Rio Pardo/SP, São José do Rio Preto/SP, São José dos Campos/SP, São Lourenço da Serra/SP, São Luiz do Paraitinga/SP, São Manuel/SP, São Miguel Arcanjo/SP, São Paulo/SP, São Pedro do Turvo/SP, São Pedro/SP, São Roque/SP, São Sebastião da Grama/SP, São Sebastião/SP, São Simão/SP, São Vicente/SP, S</w:t>
                  </w:r>
                  <w:r>
                    <w:rPr>
                      <w:rFonts w:ascii="Arial" w:hAnsi="Arial" w:cs="Arial"/>
                      <w:b/>
                      <w:bCs/>
                      <w:sz w:val="21"/>
                      <w:szCs w:val="21"/>
                    </w:rPr>
                    <w:t>arapuí/SP, Sarutaiá/SP, Sebastianópolis do Sul/SP, Serra Azul/SP, Serra Negra/SP, Serrana/SP, Sertãozinho/SP, Sete Barras/SP, Severínia/SP, Silveiras/SP, Socorro/SP, Sorocaba/SP, Sud Mennucci/SP, Sumaré/SP, Suzanápolis/SP, Suzano/SP, Tabapuã/SP, Tabatinga/SP, Taboão da Serra/SP, Taciba/SP, Taguaí/SP, Taiaçu/SP, Taiúva/SP, Tambaú/SP, Tanabi/SP, Tapiraí/SP, Tapiratiba/SP, Taquaral/SP, Taquaritinga/SP, Taquarituba/SP, Taquarivaí/SP, Tarabai/SP, Tarumã/SP, Tatuí/SP, Taubaté/SP, Tejupá/SP, Teodoro Sampaio/SP, Te</w:t>
                  </w:r>
                  <w:r>
                    <w:rPr>
                      <w:rFonts w:ascii="Arial" w:hAnsi="Arial" w:cs="Arial"/>
                      <w:b/>
                      <w:bCs/>
                      <w:sz w:val="21"/>
                      <w:szCs w:val="21"/>
                    </w:rPr>
                    <w:t>rra Roxa/SP, Tietê/SP, Timburi/SP, Torre de Pedra/SP, Torrinha/SP, Trabiju/SP, Tremembé/SP, Três Fronteiras/SP, Tuiuti/SP, Tupã/SP, Tupi Paulista/SP, Turiúba/SP, Turmalina/SP, Ubarana/SP, Ubatuba/SP, Ubirajara/SP, Uchoa/SP, União Paulista/SP, Urânia/SP, Uru/SP, Urupês/SP, Valentim Gentil/SP, Valinhos/SP, Valparaíso/SP, Vargem Grande do Sul/SP, Vargem Grande Paulista/SP, Vargem/SP, Várzea Paulista/SP, Vera Cruz/SP, Vinhedo/SP, Viradouro/SP, Vista Alegre do Alto/SP, Vitória Brasil/SP, Votorantim/SP, Votuporan</w:t>
                  </w:r>
                  <w:r>
                    <w:rPr>
                      <w:rFonts w:ascii="Arial" w:hAnsi="Arial" w:cs="Arial"/>
                      <w:b/>
                      <w:bCs/>
                      <w:sz w:val="21"/>
                      <w:szCs w:val="21"/>
                    </w:rPr>
                    <w:t>ga/SP e Zacarias/SP</w:t>
                  </w:r>
                  <w:r>
                    <w:rPr>
                      <w:rFonts w:ascii="Arial" w:hAnsi="Arial" w:cs="Arial"/>
                      <w:sz w:val="21"/>
                      <w:szCs w:val="21"/>
                    </w:rPr>
                    <w:t>.</w:t>
                  </w:r>
                  <w:r>
                    <w:rPr>
                      <w:rFonts w:ascii="Arial" w:hAnsi="Arial" w:cs="Arial"/>
                      <w:sz w:val="21"/>
                      <w:szCs w:val="21"/>
                    </w:rPr>
                    <w:t xml:space="preserve"> </w:t>
                  </w:r>
                </w:p>
                <w:p w14:paraId="5BB603AC" w14:textId="77777777" w:rsidR="007F1F59" w:rsidRDefault="007F1F59">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Salários, Reajustes e Pagamento </w:t>
                  </w:r>
                  <w:r>
                    <w:rPr>
                      <w:rFonts w:ascii="Arial" w:eastAsia="Times New Roman" w:hAnsi="Arial" w:cs="Arial"/>
                      <w:b/>
                      <w:bCs/>
                      <w:sz w:val="21"/>
                      <w:szCs w:val="21"/>
                    </w:rPr>
                    <w:br/>
                  </w:r>
                </w:p>
                <w:p w14:paraId="70B7D2E5" w14:textId="77777777" w:rsidR="007F1F59" w:rsidRDefault="007F1F59">
                  <w:pPr>
                    <w:jc w:val="center"/>
                    <w:rPr>
                      <w:rFonts w:ascii="Arial" w:eastAsia="Times New Roman" w:hAnsi="Arial" w:cs="Arial"/>
                      <w:sz w:val="21"/>
                      <w:szCs w:val="21"/>
                    </w:rPr>
                  </w:pPr>
                  <w:r>
                    <w:rPr>
                      <w:rFonts w:ascii="Arial" w:eastAsia="Times New Roman" w:hAnsi="Arial" w:cs="Arial"/>
                      <w:b/>
                      <w:bCs/>
                      <w:sz w:val="21"/>
                      <w:szCs w:val="21"/>
                    </w:rPr>
                    <w:t xml:space="preserve">Piso Salarial </w:t>
                  </w:r>
                  <w:r>
                    <w:rPr>
                      <w:rFonts w:ascii="Arial" w:eastAsia="Times New Roman" w:hAnsi="Arial" w:cs="Arial"/>
                      <w:b/>
                      <w:bCs/>
                      <w:sz w:val="21"/>
                      <w:szCs w:val="21"/>
                    </w:rPr>
                    <w:br/>
                  </w:r>
                </w:p>
                <w:p w14:paraId="57228D3B" w14:textId="77777777" w:rsidR="007F1F59" w:rsidRDefault="007F1F59">
                  <w:pPr>
                    <w:rPr>
                      <w:rFonts w:ascii="Arial" w:eastAsia="Times New Roman" w:hAnsi="Arial" w:cs="Arial"/>
                      <w:sz w:val="21"/>
                      <w:szCs w:val="21"/>
                    </w:rPr>
                  </w:pPr>
                  <w:r>
                    <w:rPr>
                      <w:rFonts w:ascii="Arial" w:eastAsia="Times New Roman" w:hAnsi="Arial" w:cs="Arial"/>
                      <w:b/>
                      <w:bCs/>
                      <w:sz w:val="21"/>
                      <w:szCs w:val="21"/>
                    </w:rPr>
                    <w:br/>
                    <w:t xml:space="preserve">CLÁUSULA TERCEIRA - PISO SALARIAL </w:t>
                  </w:r>
                  <w:r>
                    <w:rPr>
                      <w:rFonts w:ascii="Arial" w:eastAsia="Times New Roman" w:hAnsi="Arial" w:cs="Arial"/>
                      <w:b/>
                      <w:bCs/>
                      <w:sz w:val="21"/>
                      <w:szCs w:val="21"/>
                    </w:rPr>
                    <w:br/>
                  </w:r>
                  <w:r>
                    <w:rPr>
                      <w:rFonts w:ascii="Arial" w:eastAsia="Times New Roman" w:hAnsi="Arial" w:cs="Arial"/>
                      <w:sz w:val="21"/>
                      <w:szCs w:val="21"/>
                    </w:rPr>
                    <w:br/>
                  </w:r>
                </w:p>
                <w:p w14:paraId="6390FBF4" w14:textId="77777777" w:rsidR="007F1F59" w:rsidRDefault="007F1F59">
                  <w:pPr>
                    <w:pStyle w:val="NormalWeb"/>
                    <w:jc w:val="both"/>
                    <w:rPr>
                      <w:rFonts w:ascii="Arial" w:hAnsi="Arial" w:cs="Arial"/>
                      <w:sz w:val="21"/>
                      <w:szCs w:val="21"/>
                    </w:rPr>
                  </w:pPr>
                  <w:r>
                    <w:t xml:space="preserve">A partir de 1º de julho de </w:t>
                  </w:r>
                  <w:r>
                    <w:rPr>
                      <w:rStyle w:val="Forte"/>
                    </w:rPr>
                    <w:t>2025</w:t>
                  </w:r>
                  <w:r>
                    <w:t xml:space="preserve">, o piso salarial da categoria será corrigido com o mesmo índice que corrigirá os salários em geral, ou seja, </w:t>
                  </w:r>
                  <w:r>
                    <w:rPr>
                      <w:rStyle w:val="Forte"/>
                    </w:rPr>
                    <w:t>5.18% (cinco inteiros vírgulas dezoito por cento)</w:t>
                  </w:r>
                  <w:r>
                    <w:t xml:space="preserve"> conforme abaixo:</w:t>
                  </w:r>
                </w:p>
                <w:p w14:paraId="4C1EB295" w14:textId="77777777" w:rsidR="007F1F59" w:rsidRDefault="007F1F59">
                  <w:pPr>
                    <w:pStyle w:val="NormalWeb"/>
                    <w:jc w:val="both"/>
                    <w:rPr>
                      <w:rFonts w:ascii="Arial" w:hAnsi="Arial" w:cs="Arial"/>
                      <w:sz w:val="21"/>
                      <w:szCs w:val="21"/>
                    </w:rPr>
                  </w:pPr>
                  <w:r>
                    <w:t xml:space="preserve">A partir de </w:t>
                  </w:r>
                  <w:r>
                    <w:rPr>
                      <w:rStyle w:val="Forte"/>
                    </w:rPr>
                    <w:t>1º de julho de 2025</w:t>
                  </w:r>
                  <w:r>
                    <w:t xml:space="preserve">, o piso salarial da categoria será de </w:t>
                  </w:r>
                  <w:r>
                    <w:rPr>
                      <w:rStyle w:val="Forte"/>
                    </w:rPr>
                    <w:t>R$ 3.894,88 (trê</w:t>
                  </w:r>
                  <w:r>
                    <w:rPr>
                      <w:rStyle w:val="Forte"/>
                    </w:rPr>
                    <w:t>s mil, oitocentos e noventa e quatro reais e oitenta e oito centavos) mensais, a partir de 01/07/25</w:t>
                  </w:r>
                  <w:r>
                    <w:t xml:space="preserve"> considerando-se jornada de trabalho correspondente a 220 horas mensais.</w:t>
                  </w:r>
                </w:p>
                <w:p w14:paraId="50B5CA08" w14:textId="77777777" w:rsidR="007F1F59" w:rsidRDefault="007F1F59">
                  <w:pPr>
                    <w:pStyle w:val="NormalWeb"/>
                    <w:jc w:val="both"/>
                    <w:rPr>
                      <w:rFonts w:ascii="Arial" w:hAnsi="Arial" w:cs="Arial"/>
                      <w:sz w:val="21"/>
                      <w:szCs w:val="21"/>
                    </w:rPr>
                  </w:pPr>
                  <w:r>
                    <w:rPr>
                      <w:rStyle w:val="Forte"/>
                    </w:rPr>
                    <w:t>Parágrafo 1º</w:t>
                  </w:r>
                  <w:r>
                    <w:t xml:space="preserve"> - As partes convencionam que o piso salarial previsto acima será aplicado a partir de 1º de julho de </w:t>
                  </w:r>
                  <w:r>
                    <w:rPr>
                      <w:rStyle w:val="Forte"/>
                    </w:rPr>
                    <w:t>2025</w:t>
                  </w:r>
                  <w:r>
                    <w:t>, eventuais diferenças salariais oriundas da presente Norma Coletiva de Trabalho, poderá ser paga, em folha de pagamento, até o mês seguinte ao registro desta CCT no órgão do Ministério do Trabalho e emprego.</w:t>
                  </w:r>
                </w:p>
                <w:p w14:paraId="69146ED1" w14:textId="77777777" w:rsidR="007F1F59" w:rsidRDefault="007F1F59">
                  <w:pPr>
                    <w:rPr>
                      <w:rFonts w:ascii="Arial" w:eastAsia="Times New Roman" w:hAnsi="Arial" w:cs="Arial"/>
                      <w:sz w:val="21"/>
                      <w:szCs w:val="21"/>
                    </w:rPr>
                  </w:pPr>
                </w:p>
                <w:p w14:paraId="4FEC46EE" w14:textId="77777777" w:rsidR="007F1F59" w:rsidRDefault="007F1F59">
                  <w:pPr>
                    <w:jc w:val="center"/>
                    <w:rPr>
                      <w:rFonts w:ascii="Arial" w:eastAsia="Times New Roman" w:hAnsi="Arial" w:cs="Arial"/>
                      <w:sz w:val="21"/>
                      <w:szCs w:val="21"/>
                    </w:rPr>
                  </w:pPr>
                  <w:r>
                    <w:rPr>
                      <w:rFonts w:ascii="Arial" w:eastAsia="Times New Roman" w:hAnsi="Arial" w:cs="Arial"/>
                      <w:b/>
                      <w:bCs/>
                      <w:sz w:val="21"/>
                      <w:szCs w:val="21"/>
                    </w:rPr>
                    <w:t xml:space="preserve">Reajustes/Correções Salariais </w:t>
                  </w:r>
                  <w:r>
                    <w:rPr>
                      <w:rFonts w:ascii="Arial" w:eastAsia="Times New Roman" w:hAnsi="Arial" w:cs="Arial"/>
                      <w:b/>
                      <w:bCs/>
                      <w:sz w:val="21"/>
                      <w:szCs w:val="21"/>
                    </w:rPr>
                    <w:br/>
                  </w:r>
                </w:p>
                <w:p w14:paraId="3669EDBB" w14:textId="77777777" w:rsidR="007F1F59" w:rsidRDefault="007F1F59">
                  <w:pPr>
                    <w:rPr>
                      <w:rFonts w:ascii="Arial" w:eastAsia="Times New Roman" w:hAnsi="Arial" w:cs="Arial"/>
                      <w:sz w:val="21"/>
                      <w:szCs w:val="21"/>
                    </w:rPr>
                  </w:pPr>
                  <w:r>
                    <w:rPr>
                      <w:rFonts w:ascii="Arial" w:eastAsia="Times New Roman" w:hAnsi="Arial" w:cs="Arial"/>
                      <w:b/>
                      <w:bCs/>
                      <w:sz w:val="21"/>
                      <w:szCs w:val="21"/>
                    </w:rPr>
                    <w:br/>
                    <w:t xml:space="preserve">CLÁUSULA QUARTA - REAJUSTE SALARIAL </w:t>
                  </w:r>
                  <w:r>
                    <w:rPr>
                      <w:rFonts w:ascii="Arial" w:eastAsia="Times New Roman" w:hAnsi="Arial" w:cs="Arial"/>
                      <w:b/>
                      <w:bCs/>
                      <w:sz w:val="21"/>
                      <w:szCs w:val="21"/>
                    </w:rPr>
                    <w:br/>
                  </w:r>
                  <w:r>
                    <w:rPr>
                      <w:rFonts w:ascii="Arial" w:eastAsia="Times New Roman" w:hAnsi="Arial" w:cs="Arial"/>
                      <w:sz w:val="21"/>
                      <w:szCs w:val="21"/>
                    </w:rPr>
                    <w:br/>
                  </w:r>
                </w:p>
                <w:p w14:paraId="18D1ED89" w14:textId="77777777" w:rsidR="007F1F59" w:rsidRDefault="007F1F59">
                  <w:pPr>
                    <w:pStyle w:val="NormalWeb"/>
                    <w:jc w:val="both"/>
                    <w:rPr>
                      <w:rFonts w:ascii="Arial" w:hAnsi="Arial" w:cs="Arial"/>
                      <w:sz w:val="21"/>
                      <w:szCs w:val="21"/>
                    </w:rPr>
                  </w:pPr>
                  <w:r>
                    <w:t xml:space="preserve">Fica estabelecido o reajuste salarial total de </w:t>
                  </w:r>
                  <w:r>
                    <w:rPr>
                      <w:rStyle w:val="Forte"/>
                    </w:rPr>
                    <w:t>5.18% (cinco inteiros vírgulas dezoito por cento)</w:t>
                  </w:r>
                  <w:r>
                    <w:t xml:space="preserve"> que incidirá sobre os salários de junho de </w:t>
                  </w:r>
                  <w:r>
                    <w:rPr>
                      <w:rStyle w:val="Forte"/>
                    </w:rPr>
                    <w:t>2025</w:t>
                  </w:r>
                  <w:r>
                    <w:t>.</w:t>
                  </w:r>
                </w:p>
                <w:p w14:paraId="48926900" w14:textId="77777777" w:rsidR="007F1F59" w:rsidRDefault="007F1F59">
                  <w:pPr>
                    <w:pStyle w:val="NormalWeb"/>
                    <w:jc w:val="both"/>
                    <w:rPr>
                      <w:rFonts w:ascii="Arial" w:hAnsi="Arial" w:cs="Arial"/>
                      <w:sz w:val="21"/>
                      <w:szCs w:val="21"/>
                    </w:rPr>
                  </w:pPr>
                  <w:r>
                    <w:rPr>
                      <w:rStyle w:val="Forte"/>
                    </w:rPr>
                    <w:t xml:space="preserve">Parágrafo 1º - </w:t>
                  </w:r>
                  <w:r>
                    <w:t xml:space="preserve">O índice acima estabelecido será aplicado aos salários até o valor correspondente a </w:t>
                  </w:r>
                  <w:r>
                    <w:rPr>
                      <w:rStyle w:val="Forte"/>
                      <w:u w:val="single"/>
                    </w:rPr>
                    <w:t>R$ 8.157,41</w:t>
                  </w:r>
                  <w:r>
                    <w:t>, que corresponde a um teto da previdência social, e acima desse valor, o reajuste será o que resultar de livre negociação entre o nutricionista e o empregador.</w:t>
                  </w:r>
                </w:p>
                <w:p w14:paraId="33D302BD" w14:textId="77777777" w:rsidR="007F1F59" w:rsidRDefault="007F1F59">
                  <w:pPr>
                    <w:pStyle w:val="NormalWeb"/>
                    <w:jc w:val="both"/>
                    <w:rPr>
                      <w:rFonts w:ascii="Arial" w:hAnsi="Arial" w:cs="Arial"/>
                      <w:sz w:val="21"/>
                      <w:szCs w:val="21"/>
                    </w:rPr>
                  </w:pPr>
                  <w:r>
                    <w:rPr>
                      <w:rStyle w:val="Forte"/>
                    </w:rPr>
                    <w:t>Parágrafo 2º -</w:t>
                  </w:r>
                  <w:r>
                    <w:t xml:space="preserve"> As partes convencionam que serão compensadas todas as antecipações legais, convencionais ou espontâneas concedidas no período revisando, sendo igualmente adotados os critérios de compensações estabelecidos na categoria preponderante.</w:t>
                  </w:r>
                </w:p>
                <w:p w14:paraId="411CC90D" w14:textId="77777777" w:rsidR="007F1F59" w:rsidRDefault="007F1F59">
                  <w:pPr>
                    <w:pStyle w:val="NormalWeb"/>
                    <w:jc w:val="both"/>
                    <w:rPr>
                      <w:rFonts w:ascii="Arial" w:hAnsi="Arial" w:cs="Arial"/>
                      <w:sz w:val="21"/>
                      <w:szCs w:val="21"/>
                    </w:rPr>
                  </w:pPr>
                  <w:r>
                    <w:rPr>
                      <w:rStyle w:val="Forte"/>
                    </w:rPr>
                    <w:t xml:space="preserve">Parágrafo 3º - </w:t>
                  </w:r>
                  <w:r>
                    <w:t>As partes convencionam que as diferenças decorrentes da aplicação desta cláusula serão pagas, sem qualquer tipo de multa, correção monetária ou acréscimo, poderá ser paga, em folha de pagamento, até o mês seguinte ao registro desta CCT no órgão do Ministério do Trabalho e emprego.</w:t>
                  </w:r>
                </w:p>
                <w:p w14:paraId="0859E100" w14:textId="77777777" w:rsidR="007F1F59" w:rsidRDefault="007F1F59">
                  <w:pPr>
                    <w:rPr>
                      <w:rFonts w:ascii="Arial" w:eastAsia="Times New Roman" w:hAnsi="Arial" w:cs="Arial"/>
                      <w:sz w:val="21"/>
                      <w:szCs w:val="21"/>
                    </w:rPr>
                  </w:pPr>
                </w:p>
                <w:p w14:paraId="7B197857" w14:textId="77777777" w:rsidR="007F1F59" w:rsidRDefault="007F1F59">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salários, reajustes, pagamentos e critérios para cálculo </w:t>
                  </w:r>
                  <w:r>
                    <w:rPr>
                      <w:rFonts w:ascii="Arial" w:eastAsia="Times New Roman" w:hAnsi="Arial" w:cs="Arial"/>
                      <w:b/>
                      <w:bCs/>
                      <w:sz w:val="21"/>
                      <w:szCs w:val="21"/>
                    </w:rPr>
                    <w:br/>
                  </w:r>
                </w:p>
                <w:p w14:paraId="1B2A9C6A" w14:textId="77777777" w:rsidR="007F1F59" w:rsidRDefault="007F1F59">
                  <w:pPr>
                    <w:rPr>
                      <w:rFonts w:ascii="Arial" w:eastAsia="Times New Roman" w:hAnsi="Arial" w:cs="Arial"/>
                      <w:sz w:val="21"/>
                      <w:szCs w:val="21"/>
                    </w:rPr>
                  </w:pPr>
                  <w:r>
                    <w:rPr>
                      <w:rFonts w:ascii="Arial" w:eastAsia="Times New Roman" w:hAnsi="Arial" w:cs="Arial"/>
                      <w:b/>
                      <w:bCs/>
                      <w:sz w:val="21"/>
                      <w:szCs w:val="21"/>
                    </w:rPr>
                    <w:br/>
                    <w:t xml:space="preserve">CLÁUSULA QUINTA - CORREÇÃO SALARIAL </w:t>
                  </w:r>
                  <w:r>
                    <w:rPr>
                      <w:rFonts w:ascii="Arial" w:eastAsia="Times New Roman" w:hAnsi="Arial" w:cs="Arial"/>
                      <w:b/>
                      <w:bCs/>
                      <w:sz w:val="21"/>
                      <w:szCs w:val="21"/>
                    </w:rPr>
                    <w:br/>
                  </w:r>
                  <w:r>
                    <w:rPr>
                      <w:rFonts w:ascii="Arial" w:eastAsia="Times New Roman" w:hAnsi="Arial" w:cs="Arial"/>
                      <w:sz w:val="21"/>
                      <w:szCs w:val="21"/>
                    </w:rPr>
                    <w:br/>
                  </w:r>
                </w:p>
                <w:p w14:paraId="4CBF5D42" w14:textId="77777777" w:rsidR="007F1F59" w:rsidRDefault="007F1F59">
                  <w:pPr>
                    <w:pStyle w:val="NormalWeb"/>
                    <w:jc w:val="both"/>
                    <w:rPr>
                      <w:rFonts w:ascii="Arial" w:hAnsi="Arial" w:cs="Arial"/>
                      <w:sz w:val="21"/>
                      <w:szCs w:val="21"/>
                    </w:rPr>
                  </w:pPr>
                  <w:r>
                    <w:t>Aos admitidos após a data-base, será aplicado o reajuste salarial proporcional ao número de meses efetivamente trabalhados.</w:t>
                  </w:r>
                </w:p>
                <w:p w14:paraId="64698324" w14:textId="77777777" w:rsidR="007F1F59" w:rsidRDefault="007F1F59">
                  <w:pPr>
                    <w:pStyle w:val="NormalWeb"/>
                    <w:jc w:val="both"/>
                    <w:rPr>
                      <w:rFonts w:ascii="Arial" w:hAnsi="Arial" w:cs="Arial"/>
                      <w:sz w:val="21"/>
                      <w:szCs w:val="21"/>
                    </w:rPr>
                  </w:pPr>
                  <w:r>
                    <w:rPr>
                      <w:rStyle w:val="Forte"/>
                    </w:rPr>
                    <w:t>Parágrafo único</w:t>
                  </w:r>
                  <w:r>
                    <w:t>:- considerar como 01 (um) mês trabalhado quando o nutricionista laborar 15 ou mais dias no mês.</w:t>
                  </w:r>
                </w:p>
                <w:p w14:paraId="3ED8F7EF" w14:textId="77777777" w:rsidR="007F1F59" w:rsidRDefault="007F1F59">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SEXTA - COMPENSAÇÃO </w:t>
                  </w:r>
                  <w:r>
                    <w:rPr>
                      <w:rFonts w:ascii="Arial" w:eastAsia="Times New Roman" w:hAnsi="Arial" w:cs="Arial"/>
                      <w:b/>
                      <w:bCs/>
                      <w:sz w:val="21"/>
                      <w:szCs w:val="21"/>
                    </w:rPr>
                    <w:br/>
                  </w:r>
                  <w:r>
                    <w:rPr>
                      <w:rFonts w:ascii="Arial" w:eastAsia="Times New Roman" w:hAnsi="Arial" w:cs="Arial"/>
                      <w:sz w:val="21"/>
                      <w:szCs w:val="21"/>
                    </w:rPr>
                    <w:br/>
                  </w:r>
                </w:p>
                <w:p w14:paraId="24AC6F55" w14:textId="77777777" w:rsidR="007F1F59" w:rsidRDefault="007F1F59">
                  <w:pPr>
                    <w:pStyle w:val="NormalWeb"/>
                    <w:jc w:val="both"/>
                    <w:rPr>
                      <w:rFonts w:ascii="Arial" w:hAnsi="Arial" w:cs="Arial"/>
                      <w:sz w:val="21"/>
                      <w:szCs w:val="21"/>
                    </w:rPr>
                  </w:pPr>
                  <w:r>
                    <w:t>Não serão compensados os aumentos reais, bem como aqueles concedidos a título de promoção, transferência, equiparação salarial e de mérito, e, na ocorrência dos mesmos, sobre eles serão aplicados os percentuais fixados na presente Norma Coletiva.</w:t>
                  </w:r>
                </w:p>
                <w:p w14:paraId="0637CBC0" w14:textId="77777777" w:rsidR="007F1F59" w:rsidRDefault="007F1F59">
                  <w:pPr>
                    <w:rPr>
                      <w:rFonts w:ascii="Arial" w:eastAsia="Times New Roman" w:hAnsi="Arial" w:cs="Arial"/>
                      <w:sz w:val="21"/>
                      <w:szCs w:val="21"/>
                    </w:rPr>
                  </w:pPr>
                </w:p>
                <w:p w14:paraId="25903D3F" w14:textId="77777777" w:rsidR="007F1F59" w:rsidRDefault="007F1F59">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Sindicais </w:t>
                  </w:r>
                  <w:r>
                    <w:rPr>
                      <w:rFonts w:ascii="Arial" w:eastAsia="Times New Roman" w:hAnsi="Arial" w:cs="Arial"/>
                      <w:b/>
                      <w:bCs/>
                      <w:sz w:val="21"/>
                      <w:szCs w:val="21"/>
                    </w:rPr>
                    <w:br/>
                  </w:r>
                </w:p>
                <w:p w14:paraId="298A7214" w14:textId="77777777" w:rsidR="007F1F59" w:rsidRDefault="007F1F59">
                  <w:pPr>
                    <w:jc w:val="center"/>
                    <w:rPr>
                      <w:rFonts w:ascii="Arial" w:eastAsia="Times New Roman" w:hAnsi="Arial" w:cs="Arial"/>
                      <w:sz w:val="21"/>
                      <w:szCs w:val="21"/>
                    </w:rPr>
                  </w:pPr>
                  <w:r>
                    <w:rPr>
                      <w:rFonts w:ascii="Arial" w:eastAsia="Times New Roman" w:hAnsi="Arial" w:cs="Arial"/>
                      <w:b/>
                      <w:bCs/>
                      <w:sz w:val="21"/>
                      <w:szCs w:val="21"/>
                    </w:rPr>
                    <w:t xml:space="preserve">Contribuições Sindicais </w:t>
                  </w:r>
                  <w:r>
                    <w:rPr>
                      <w:rFonts w:ascii="Arial" w:eastAsia="Times New Roman" w:hAnsi="Arial" w:cs="Arial"/>
                      <w:b/>
                      <w:bCs/>
                      <w:sz w:val="21"/>
                      <w:szCs w:val="21"/>
                    </w:rPr>
                    <w:br/>
                  </w:r>
                </w:p>
                <w:p w14:paraId="3F473B16" w14:textId="77777777" w:rsidR="007F1F59" w:rsidRDefault="007F1F59">
                  <w:pPr>
                    <w:rPr>
                      <w:rFonts w:ascii="Arial" w:eastAsia="Times New Roman" w:hAnsi="Arial" w:cs="Arial"/>
                      <w:sz w:val="21"/>
                      <w:szCs w:val="21"/>
                    </w:rPr>
                  </w:pPr>
                  <w:r>
                    <w:rPr>
                      <w:rFonts w:ascii="Arial" w:eastAsia="Times New Roman" w:hAnsi="Arial" w:cs="Arial"/>
                      <w:b/>
                      <w:bCs/>
                      <w:sz w:val="21"/>
                      <w:szCs w:val="21"/>
                    </w:rPr>
                    <w:br/>
                    <w:t xml:space="preserve">CLÁUSULA SÉTIMA - CONTRIBUIÇÃO ASSISTENCIAL </w:t>
                  </w:r>
                  <w:r>
                    <w:rPr>
                      <w:rFonts w:ascii="Arial" w:eastAsia="Times New Roman" w:hAnsi="Arial" w:cs="Arial"/>
                      <w:b/>
                      <w:bCs/>
                      <w:sz w:val="21"/>
                      <w:szCs w:val="21"/>
                    </w:rPr>
                    <w:br/>
                  </w:r>
                  <w:r>
                    <w:rPr>
                      <w:rFonts w:ascii="Arial" w:eastAsia="Times New Roman" w:hAnsi="Arial" w:cs="Arial"/>
                      <w:sz w:val="21"/>
                      <w:szCs w:val="21"/>
                    </w:rPr>
                    <w:br/>
                  </w:r>
                </w:p>
                <w:p w14:paraId="2AB2A252" w14:textId="77777777" w:rsidR="007F1F59" w:rsidRDefault="007F1F59">
                  <w:pPr>
                    <w:pStyle w:val="NormalWeb"/>
                    <w:jc w:val="both"/>
                    <w:rPr>
                      <w:rFonts w:ascii="Arial" w:hAnsi="Arial" w:cs="Arial"/>
                      <w:sz w:val="21"/>
                      <w:szCs w:val="21"/>
                    </w:rPr>
                  </w:pPr>
                  <w:r>
                    <w:t xml:space="preserve">As cooperativas de serviços médico descontarão do salário já reajustado de todos os nutricionistas abrangidos por esta Convenção, </w:t>
                  </w:r>
                  <w:r>
                    <w:rPr>
                      <w:u w:val="single"/>
                    </w:rPr>
                    <w:t>desde que devidamente autorizado individualmente e por escrito pelos mesmos</w:t>
                  </w:r>
                  <w:r>
                    <w:t>, na forma de legislação em vigor, perante o departamento de pessoal ou RH do hospital, ao sindicato dos empregados, uma Contribuição Assistencial, conforme discriminação abaixo:</w:t>
                  </w:r>
                </w:p>
                <w:p w14:paraId="2209E9C6" w14:textId="77777777" w:rsidR="007F1F59" w:rsidRDefault="007F1F59">
                  <w:pPr>
                    <w:pStyle w:val="NormalWeb"/>
                    <w:jc w:val="both"/>
                    <w:rPr>
                      <w:rFonts w:ascii="Arial" w:hAnsi="Arial" w:cs="Arial"/>
                      <w:sz w:val="21"/>
                      <w:szCs w:val="21"/>
                    </w:rPr>
                  </w:pPr>
                  <w:r>
                    <w:rPr>
                      <w:rStyle w:val="Forte"/>
                    </w:rPr>
                    <w:t>a-    1,0%</w:t>
                  </w:r>
                  <w:r>
                    <w:t xml:space="preserve"> (um por cento) do salário do empregado por mês, caso o nutricionista emita autorização individual e por escrito, autorizando o desconto da contribuição sindical ou na forma da legislação em vigor na ocasião, tendo por limite máximo (teto) de desconto o valor de </w:t>
                  </w:r>
                  <w:r>
                    <w:rPr>
                      <w:rStyle w:val="Forte"/>
                    </w:rPr>
                    <w:t>R$ 158,00 (cento e cinquenta e oito reais).</w:t>
                  </w:r>
                </w:p>
                <w:p w14:paraId="715A1D6E" w14:textId="77777777" w:rsidR="007F1F59" w:rsidRDefault="007F1F59">
                  <w:pPr>
                    <w:pStyle w:val="NormalWeb"/>
                    <w:jc w:val="both"/>
                    <w:rPr>
                      <w:rFonts w:ascii="Arial" w:hAnsi="Arial" w:cs="Arial"/>
                      <w:sz w:val="21"/>
                      <w:szCs w:val="21"/>
                    </w:rPr>
                  </w:pPr>
                  <w:r>
                    <w:rPr>
                      <w:rStyle w:val="Forte"/>
                    </w:rPr>
                    <w:t xml:space="preserve">b-    </w:t>
                  </w:r>
                  <w:r>
                    <w:t xml:space="preserve">É garantido o direito de oposição ao Nutricionista não filiado, mediante manifestação </w:t>
                  </w:r>
                  <w:r>
                    <w:rPr>
                      <w:rStyle w:val="Forte"/>
                    </w:rPr>
                    <w:t>pessoal, individual e escrita na sede sindical</w:t>
                  </w:r>
                  <w:r>
                    <w:t xml:space="preserve"> (Av. Paulista, 453, 13º andar, cj. 134, São Paulo/SP, CEP 01311-907), </w:t>
                  </w:r>
                  <w:r>
                    <w:rPr>
                      <w:rStyle w:val="Forte"/>
                    </w:rPr>
                    <w:t>em até 10 (dez) dias contados da data da assinatura.</w:t>
                  </w:r>
                  <w:r>
                    <w:t xml:space="preserve"> Para profissionais de fora da capital e da região metropolitana, admite-se oposição por correspondência com aviso de Av. Paulista 453, 13º andar, cj. 134 – Bela Vista - São Paulo/SP – CEP 01311-907 Tel: (11) 3337.5263 / 96400.0745 - recepcao@sindinutrisp.o</w:t>
                  </w:r>
                  <w:r>
                    <w:t xml:space="preserve">rg.br - www.sindinutrisp.org.br SINDICATO DOS NUTRICIONISTAS DO ESTADO DE SÃO PAULO recebimento. </w:t>
                  </w:r>
                  <w:r>
                    <w:rPr>
                      <w:rStyle w:val="Forte"/>
                    </w:rPr>
                    <w:t>São nulas as oposições por listas coletivas</w:t>
                  </w:r>
                  <w:r>
                    <w:t>.</w:t>
                  </w:r>
                </w:p>
                <w:p w14:paraId="2927F043" w14:textId="77777777" w:rsidR="007F1F59" w:rsidRDefault="007F1F59">
                  <w:pPr>
                    <w:pStyle w:val="NormalWeb"/>
                    <w:jc w:val="both"/>
                    <w:rPr>
                      <w:rFonts w:ascii="Arial" w:hAnsi="Arial" w:cs="Arial"/>
                      <w:sz w:val="21"/>
                      <w:szCs w:val="21"/>
                    </w:rPr>
                  </w:pPr>
                  <w:r>
                    <w:t xml:space="preserve">Caso haja filiação posterior ao sindicato, a oposição fica automaticamente retratada no prazo de 10 (dez) dias a contar da assinatura da presente Convenção. </w:t>
                  </w:r>
                  <w:r>
                    <w:rPr>
                      <w:rStyle w:val="Forte"/>
                    </w:rPr>
                    <w:t xml:space="preserve">c-    </w:t>
                  </w:r>
                  <w:r>
                    <w:t>Oposições levadas a efeito mediante listas ou cartas, mesmo enviadas ao Sindicato Profissional através de Cartórios, serão consideradas desconformes ao disposto na Assembleia Geral.</w:t>
                  </w:r>
                </w:p>
                <w:p w14:paraId="7C38F202" w14:textId="77777777" w:rsidR="007F1F59" w:rsidRDefault="007F1F59">
                  <w:pPr>
                    <w:pStyle w:val="NormalWeb"/>
                    <w:jc w:val="both"/>
                    <w:rPr>
                      <w:rFonts w:ascii="Arial" w:hAnsi="Arial" w:cs="Arial"/>
                      <w:sz w:val="21"/>
                      <w:szCs w:val="21"/>
                    </w:rPr>
                  </w:pPr>
                  <w:r>
                    <w:rPr>
                      <w:rStyle w:val="Forte"/>
                    </w:rPr>
                    <w:t xml:space="preserve">d-    </w:t>
                  </w:r>
                  <w:r>
                    <w:t xml:space="preserve">As empresas efetuarão o recolhimento dos valores descontados, a favor do Sindicato da categoria profissional liberal, em qualquer agência do Banco do Brasil, para crédito na agência nº </w:t>
                  </w:r>
                  <w:r>
                    <w:rPr>
                      <w:rStyle w:val="Forte"/>
                    </w:rPr>
                    <w:t>4307-9, c/c nº 120.550-1</w:t>
                  </w:r>
                  <w:r>
                    <w:t>, até o 5º (quinto) dia útil do mês subsequente ao do desconto.</w:t>
                  </w:r>
                </w:p>
                <w:p w14:paraId="2FA9355B" w14:textId="77777777" w:rsidR="007F1F59" w:rsidRDefault="007F1F59">
                  <w:pPr>
                    <w:pStyle w:val="NormalWeb"/>
                    <w:jc w:val="both"/>
                    <w:rPr>
                      <w:rFonts w:ascii="Arial" w:hAnsi="Arial" w:cs="Arial"/>
                      <w:sz w:val="21"/>
                      <w:szCs w:val="21"/>
                    </w:rPr>
                  </w:pPr>
                  <w:r>
                    <w:rPr>
                      <w:rStyle w:val="Forte"/>
                    </w:rPr>
                    <w:t xml:space="preserve">e-    </w:t>
                  </w:r>
                  <w:r>
                    <w:t xml:space="preserve">Na hipótese de já ter sido descontada Contribuição Assistencial, ou equivalente, relativa ao ano de </w:t>
                  </w:r>
                  <w:r>
                    <w:rPr>
                      <w:rStyle w:val="Forte"/>
                    </w:rPr>
                    <w:t>2025</w:t>
                  </w:r>
                  <w:r>
                    <w:t>, o empregado beneficiado pela presente Convenção Coletiva não sofrerá novo desconto.</w:t>
                  </w:r>
                </w:p>
                <w:p w14:paraId="0970BD01" w14:textId="77777777" w:rsidR="007F1F59" w:rsidRDefault="007F1F59">
                  <w:pPr>
                    <w:pStyle w:val="NormalWeb"/>
                    <w:jc w:val="both"/>
                    <w:rPr>
                      <w:rFonts w:ascii="Arial" w:hAnsi="Arial" w:cs="Arial"/>
                      <w:sz w:val="21"/>
                      <w:szCs w:val="21"/>
                    </w:rPr>
                  </w:pPr>
                  <w:r>
                    <w:rPr>
                      <w:rStyle w:val="Forte"/>
                    </w:rPr>
                    <w:t xml:space="preserve">f-    </w:t>
                  </w:r>
                  <w:r>
                    <w:t>A falta do recolhimento no prazo citado implicará em multa de 3% (três por cento) sobre o valor do débito.</w:t>
                  </w:r>
                </w:p>
                <w:p w14:paraId="450F73C7" w14:textId="77777777" w:rsidR="007F1F59" w:rsidRDefault="007F1F59">
                  <w:pPr>
                    <w:pStyle w:val="NormalWeb"/>
                    <w:jc w:val="both"/>
                    <w:rPr>
                      <w:rFonts w:ascii="Arial" w:hAnsi="Arial" w:cs="Arial"/>
                      <w:sz w:val="21"/>
                      <w:szCs w:val="21"/>
                    </w:rPr>
                  </w:pPr>
                  <w:r>
                    <w:rPr>
                      <w:rStyle w:val="Forte"/>
                    </w:rPr>
                    <w:t xml:space="preserve">g-    </w:t>
                  </w:r>
                  <w:r>
                    <w:t>A Contribuiçã</w:t>
                  </w:r>
                  <w:r>
                    <w:t>o Assistencial prevista nesta cláusula atende inteiramente ao disposto no artigo 5º, inciso X, artigo 8º, inciso IV, da CF.</w:t>
                  </w:r>
                </w:p>
                <w:p w14:paraId="7CD97DC5" w14:textId="77777777" w:rsidR="007F1F59" w:rsidRDefault="007F1F59">
                  <w:pPr>
                    <w:rPr>
                      <w:rFonts w:ascii="Arial" w:eastAsia="Times New Roman" w:hAnsi="Arial" w:cs="Arial"/>
                      <w:sz w:val="21"/>
                      <w:szCs w:val="21"/>
                    </w:rPr>
                  </w:pPr>
                </w:p>
                <w:p w14:paraId="3EBADEA9" w14:textId="77777777" w:rsidR="007F1F59" w:rsidRDefault="007F1F59">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21FCC90C" w14:textId="77777777" w:rsidR="007F1F59" w:rsidRDefault="007F1F59">
                  <w:pPr>
                    <w:jc w:val="center"/>
                    <w:rPr>
                      <w:rFonts w:ascii="Arial" w:eastAsia="Times New Roman" w:hAnsi="Arial" w:cs="Arial"/>
                      <w:sz w:val="21"/>
                      <w:szCs w:val="21"/>
                    </w:rPr>
                  </w:pPr>
                  <w:r>
                    <w:rPr>
                      <w:rFonts w:ascii="Arial" w:eastAsia="Times New Roman" w:hAnsi="Arial" w:cs="Arial"/>
                      <w:b/>
                      <w:bCs/>
                      <w:sz w:val="21"/>
                      <w:szCs w:val="21"/>
                    </w:rPr>
                    <w:t xml:space="preserve">Outras Disposições </w:t>
                  </w:r>
                  <w:r>
                    <w:rPr>
                      <w:rFonts w:ascii="Arial" w:eastAsia="Times New Roman" w:hAnsi="Arial" w:cs="Arial"/>
                      <w:b/>
                      <w:bCs/>
                      <w:sz w:val="21"/>
                      <w:szCs w:val="21"/>
                    </w:rPr>
                    <w:br/>
                  </w:r>
                </w:p>
                <w:p w14:paraId="79B9880E" w14:textId="77777777" w:rsidR="007F1F59" w:rsidRDefault="007F1F59">
                  <w:pPr>
                    <w:rPr>
                      <w:rFonts w:ascii="Arial" w:eastAsia="Times New Roman" w:hAnsi="Arial" w:cs="Arial"/>
                      <w:sz w:val="21"/>
                      <w:szCs w:val="21"/>
                    </w:rPr>
                  </w:pPr>
                  <w:r>
                    <w:rPr>
                      <w:rFonts w:ascii="Arial" w:eastAsia="Times New Roman" w:hAnsi="Arial" w:cs="Arial"/>
                      <w:b/>
                      <w:bCs/>
                      <w:sz w:val="21"/>
                      <w:szCs w:val="21"/>
                    </w:rPr>
                    <w:br/>
                    <w:t xml:space="preserve">CLÁUSULA OITAVA - NORMA DA CATEGORIA PREPONDERANTE </w:t>
                  </w:r>
                  <w:r>
                    <w:rPr>
                      <w:rFonts w:ascii="Arial" w:eastAsia="Times New Roman" w:hAnsi="Arial" w:cs="Arial"/>
                      <w:b/>
                      <w:bCs/>
                      <w:sz w:val="21"/>
                      <w:szCs w:val="21"/>
                    </w:rPr>
                    <w:br/>
                  </w:r>
                  <w:r>
                    <w:rPr>
                      <w:rFonts w:ascii="Arial" w:eastAsia="Times New Roman" w:hAnsi="Arial" w:cs="Arial"/>
                      <w:sz w:val="21"/>
                      <w:szCs w:val="21"/>
                    </w:rPr>
                    <w:br/>
                  </w:r>
                </w:p>
                <w:p w14:paraId="5DA571DA" w14:textId="77777777" w:rsidR="007F1F59" w:rsidRDefault="007F1F59">
                  <w:pPr>
                    <w:pStyle w:val="NormalWeb"/>
                    <w:jc w:val="both"/>
                    <w:rPr>
                      <w:rFonts w:ascii="Arial" w:hAnsi="Arial" w:cs="Arial"/>
                      <w:sz w:val="21"/>
                      <w:szCs w:val="21"/>
                    </w:rPr>
                  </w:pPr>
                  <w:r>
                    <w:t>Respeitadas as cláusulas objeto da presente Norma Coletiva, ficam estendidas aos empregados Nutricionistas, que exerçam suas funções em ambulatórios, clínicas, laboratórios, pronto atendimento, pronto socorro ou hospitais pertencentes as cooperativas de serviços médicos, as demais cláusulas gerais e respectivos benefícios constantes de eventuais normas coletivas de trabalho existentes e que estejam em vigor em</w:t>
                  </w:r>
                  <w:r>
                    <w:rPr>
                      <w:rStyle w:val="Forte"/>
                    </w:rPr>
                    <w:t xml:space="preserve"> 1º de julho de 2025</w:t>
                  </w:r>
                  <w:r>
                    <w:t>, aplicáveis para a categoria profissional preponderante nas empresas, respeitando-se as respectivas localidades da prestação dos serviços.</w:t>
                  </w:r>
                </w:p>
                <w:p w14:paraId="2F0DA046" w14:textId="77777777" w:rsidR="007F1F59" w:rsidRDefault="007F1F59">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7774"/>
                  </w:tblGrid>
                  <w:tr w:rsidR="00000000" w14:paraId="4646722B" w14:textId="77777777">
                    <w:trPr>
                      <w:tblCellSpacing w:w="0" w:type="dxa"/>
                      <w:jc w:val="center"/>
                    </w:trPr>
                    <w:tc>
                      <w:tcPr>
                        <w:tcW w:w="0" w:type="auto"/>
                        <w:vAlign w:val="center"/>
                        <w:hideMark/>
                      </w:tcPr>
                      <w:p w14:paraId="38CA5C5F" w14:textId="77777777" w:rsidR="007F1F59" w:rsidRDefault="007F1F59">
                        <w:pPr>
                          <w:jc w:val="center"/>
                          <w:rPr>
                            <w:rFonts w:eastAsia="Times New Roman"/>
                          </w:rPr>
                        </w:pPr>
                        <w:r>
                          <w:rPr>
                            <w:rFonts w:eastAsia="Times New Roman"/>
                          </w:rPr>
                          <w:br/>
                        </w:r>
                        <w:r>
                          <w:rPr>
                            <w:rFonts w:eastAsia="Times New Roman"/>
                          </w:rPr>
                          <w:br/>
                        </w:r>
                        <w:r>
                          <w:rPr>
                            <w:rFonts w:eastAsia="Times New Roman"/>
                          </w:rPr>
                          <w:t xml:space="preserve">MARIA DA CONSOLACAO MACHADO FUREGATTI </w:t>
                        </w:r>
                        <w:r>
                          <w:rPr>
                            <w:rFonts w:eastAsia="Times New Roman"/>
                          </w:rPr>
                          <w:br/>
                          <w:t xml:space="preserve">Presidente </w:t>
                        </w:r>
                        <w:r>
                          <w:rPr>
                            <w:rFonts w:eastAsia="Times New Roman"/>
                          </w:rPr>
                          <w:br/>
                          <w:t xml:space="preserve">SINDICATO DOS NUTRICIONISTAS DO ESTADO DE SAO PAULO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DILSON LAMAITA MIRANDA </w:t>
                        </w:r>
                        <w:r>
                          <w:rPr>
                            <w:rFonts w:eastAsia="Times New Roman"/>
                          </w:rPr>
                          <w:br/>
                          <w:t xml:space="preserve">Presidente </w:t>
                        </w:r>
                        <w:r>
                          <w:rPr>
                            <w:rFonts w:eastAsia="Times New Roman"/>
                          </w:rPr>
                          <w:br/>
                          <w:t xml:space="preserve">SINDICATO NACIONAL DAS COOPERATIVAS DE SERVICOS MEDICOS </w:t>
                        </w:r>
                        <w:r>
                          <w:rPr>
                            <w:rFonts w:eastAsia="Times New Roman"/>
                          </w:rPr>
                          <w:br/>
                        </w:r>
                        <w:r>
                          <w:rPr>
                            <w:rFonts w:eastAsia="Times New Roman"/>
                          </w:rPr>
                          <w:br/>
                        </w:r>
                      </w:p>
                    </w:tc>
                  </w:tr>
                </w:tbl>
                <w:p w14:paraId="1796A44E" w14:textId="77777777" w:rsidR="007F1F59" w:rsidRDefault="007F1F59">
                  <w:pPr>
                    <w:rPr>
                      <w:rFonts w:ascii="Arial" w:eastAsia="Times New Roman" w:hAnsi="Arial" w:cs="Arial"/>
                      <w:sz w:val="21"/>
                      <w:szCs w:val="21"/>
                    </w:rPr>
                  </w:pPr>
                </w:p>
                <w:p w14:paraId="0929FF29" w14:textId="77777777" w:rsidR="007F1F59" w:rsidRDefault="007F1F59">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2B2E6B90" w14:textId="77777777" w:rsidR="007F1F59" w:rsidRDefault="007F1F59">
                  <w:pPr>
                    <w:jc w:val="center"/>
                    <w:rPr>
                      <w:rFonts w:ascii="Arial" w:eastAsia="Times New Roman" w:hAnsi="Arial" w:cs="Arial"/>
                      <w:b/>
                      <w:bCs/>
                      <w:sz w:val="21"/>
                      <w:szCs w:val="21"/>
                    </w:rPr>
                  </w:pPr>
                  <w:r>
                    <w:rPr>
                      <w:rFonts w:ascii="Arial" w:eastAsia="Times New Roman" w:hAnsi="Arial" w:cs="Arial"/>
                      <w:b/>
                      <w:bCs/>
                      <w:sz w:val="21"/>
                      <w:szCs w:val="21"/>
                    </w:rPr>
                    <w:t>ANEXO I - ATA</w:t>
                  </w:r>
                  <w:r>
                    <w:rPr>
                      <w:rFonts w:ascii="Arial" w:eastAsia="Times New Roman" w:hAnsi="Arial" w:cs="Arial"/>
                      <w:b/>
                      <w:bCs/>
                      <w:sz w:val="21"/>
                      <w:szCs w:val="21"/>
                    </w:rPr>
                    <w:t xml:space="preserve"> </w:t>
                  </w:r>
                </w:p>
                <w:p w14:paraId="2EE13879" w14:textId="77777777" w:rsidR="007F1F59" w:rsidRDefault="007F1F59">
                  <w:pPr>
                    <w:rPr>
                      <w:rFonts w:ascii="Arial" w:eastAsia="Times New Roman" w:hAnsi="Arial" w:cs="Arial"/>
                      <w:sz w:val="21"/>
                      <w:szCs w:val="21"/>
                    </w:rPr>
                  </w:pPr>
                  <w:r>
                    <w:rPr>
                      <w:rFonts w:ascii="Arial" w:eastAsia="Times New Roman" w:hAnsi="Arial" w:cs="Arial"/>
                      <w:sz w:val="21"/>
                      <w:szCs w:val="21"/>
                    </w:rPr>
                    <w:br/>
                  </w:r>
                </w:p>
                <w:p w14:paraId="11404689" w14:textId="77777777" w:rsidR="007F1F59" w:rsidRDefault="007F1F59">
                  <w:pPr>
                    <w:pStyle w:val="NormalWeb"/>
                    <w:rPr>
                      <w:rFonts w:ascii="Arial" w:hAnsi="Arial" w:cs="Arial"/>
                      <w:sz w:val="21"/>
                      <w:szCs w:val="21"/>
                    </w:rPr>
                  </w:pPr>
                  <w:hyperlink r:id="rId4" w:tgtFrame="_blank" w:history="1">
                    <w:r>
                      <w:rPr>
                        <w:rStyle w:val="Hyperlink"/>
                        <w:rFonts w:ascii="Arial" w:hAnsi="Arial" w:cs="Arial"/>
                        <w:sz w:val="21"/>
                        <w:szCs w:val="21"/>
                      </w:rPr>
                      <w:t>Anexo (PDF)</w:t>
                    </w:r>
                  </w:hyperlink>
                </w:p>
                <w:p w14:paraId="69DEC1AB" w14:textId="77777777" w:rsidR="007F1F59" w:rsidRDefault="007F1F59">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A autenticidade deste documento poderá ser confirmada na página do Ministerio do Trabalho e Emprego na Internet, no endereço http://www.mte.gov.br.</w:t>
                  </w:r>
                  <w:r>
                    <w:rPr>
                      <w:rFonts w:ascii="Arial" w:eastAsia="Times New Roman" w:hAnsi="Arial" w:cs="Arial"/>
                      <w:sz w:val="21"/>
                      <w:szCs w:val="21"/>
                    </w:rPr>
                    <w:t xml:space="preserve"> </w:t>
                  </w:r>
                </w:p>
              </w:tc>
            </w:tr>
          </w:tbl>
          <w:p w14:paraId="4746CAB2" w14:textId="77777777" w:rsidR="007F1F59" w:rsidRDefault="007F1F59">
            <w:pPr>
              <w:rPr>
                <w:rFonts w:eastAsia="Times New Roman"/>
              </w:rPr>
            </w:pPr>
          </w:p>
        </w:tc>
      </w:tr>
    </w:tbl>
    <w:p w14:paraId="4567166D" w14:textId="77777777" w:rsidR="007F1F59" w:rsidRDefault="007F1F59">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1F59"/>
    <w:rsid w:val="004D3944"/>
    <w:rsid w:val="007F1F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572DCE"/>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3.mte.gov.br/sistemas/mediador/imagemAnexo/MR069060_20252025_11_06T09_07_24.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2751</Words>
  <Characters>14856</Characters>
  <Application>Microsoft Office Word</Application>
  <DocSecurity>0</DocSecurity>
  <Lines>123</Lines>
  <Paragraphs>35</Paragraphs>
  <ScaleCrop>false</ScaleCrop>
  <Company/>
  <LinksUpToDate>false</LinksUpToDate>
  <CharactersWithSpaces>17572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Convenção Coletiva </dc:title>
  <dc:subject/>
  <dc:creator>allyson pimentel</dc:creator>
  <cp:keywords/>
  <dc:description/>
  <cp:lastModifiedBy>allyson pimentel</cp:lastModifiedBy>
  <cp:revision>2</cp:revision>
  <dcterms:created xsi:type="dcterms:W3CDTF">2026-02-14T00:12:00Z</dcterms:created>
  <dcterms:modified xsi:type="dcterms:W3CDTF">2026-02-14T00:12:00Z</dcterms:modified>
</cp:coreProperties>
</file>