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b/>
          <w:bCs/>
          <w:sz w:val="28"/>
          <w:szCs w:val="28"/>
        </w:rPr>
        <w:t xml:space="preserve">HOCHSCHULE PFORZHEIM</w:t>
      </w:r>
    </w:p>
    <w:p>
      <w:pPr>
        <w:spacing w:after="240" w:before="0"/>
      </w:pPr>
      <w:r>
        <w:t xml:space="preserve">– Fakultät Wirtschaft und Recht –</w:t>
      </w:r>
    </w:p>
    <w:p>
      <w:pPr>
        <w:spacing w:after="120" w:before="0"/>
      </w:pPr>
      <w:r>
        <w:rPr>
          <w:b/>
          <w:bCs/>
        </w:rPr>
        <w:t xml:space="preserve">Studiengang: </w:t>
      </w:r>
      <w:r>
        <w:t xml:space="preserve">BELS1/BWI1</w:t>
      </w:r>
    </w:p>
    <w:p>
      <w:pPr>
        <w:spacing w:after="120" w:before="0"/>
      </w:pPr>
      <w:r>
        <w:rPr>
          <w:b/>
          <w:bCs/>
        </w:rPr>
        <w:t xml:space="preserve">Fach: </w:t>
      </w:r>
      <w:r>
        <w:t xml:space="preserve">Grundlagen des Vertragsrechts</w:t>
      </w:r>
    </w:p>
    <w:p>
      <w:pPr>
        <w:spacing w:after="120" w:before="0"/>
      </w:pPr>
      <w:r>
        <w:rPr>
          <w:b/>
          <w:bCs/>
        </w:rPr>
        <w:t xml:space="preserve">Studiensemester: </w:t>
      </w:r>
      <w:r>
        <w:t xml:space="preserve">1</w:t>
      </w:r>
    </w:p>
    <w:p>
      <w:pPr>
        <w:spacing w:after="120" w:before="0"/>
      </w:pPr>
      <w:r>
        <w:rPr>
          <w:b/>
          <w:bCs/>
        </w:rPr>
        <w:t xml:space="preserve">Semester: </w:t>
      </w:r>
      <w:r>
        <w:t xml:space="preserve">WS 2026/27</w:t>
      </w:r>
    </w:p>
    <w:p>
      <w:pPr>
        <w:spacing w:after="120" w:before="0"/>
      </w:pPr>
      <w:r>
        <w:rPr>
          <w:b/>
          <w:bCs/>
        </w:rPr>
        <w:t xml:space="preserve">Datum: </w:t>
      </w:r>
      <w:r>
        <w:t xml:space="preserve">XXXX</w:t>
      </w:r>
    </w:p>
    <w:p>
      <w:pPr>
        <w:spacing w:after="120" w:before="0"/>
      </w:pPr>
      <w:r>
        <w:rPr>
          <w:b/>
          <w:bCs/>
        </w:rPr>
        <w:t xml:space="preserve">Prüfer: </w:t>
      </w:r>
      <w:r>
        <w:t xml:space="preserve">RA Tobias Trost</w:t>
      </w:r>
    </w:p>
    <w:p>
      <w:pPr>
        <w:spacing w:after="120" w:before="0"/>
      </w:pPr>
      <w:r>
        <w:rPr>
          <w:b/>
          <w:bCs/>
        </w:rPr>
        <w:t xml:space="preserve">Bearbeitungszeit: </w:t>
      </w:r>
      <w:r>
        <w:t xml:space="preserve">60 Minuten</w:t>
      </w:r>
    </w:p>
    <w:p>
      <w:pPr>
        <w:spacing w:after="120" w:before="0"/>
      </w:pPr>
      <w:r>
        <w:t xml:space="preserve"/>
      </w:r>
    </w:p>
    <w:p>
      <w:pPr>
        <w:spacing w:after="200" w:before="0"/>
      </w:pPr>
      <w:r>
        <w:t xml:space="preserve">Name: ________________________    Vorname: ________________________</w:t>
      </w:r>
    </w:p>
    <w:p>
      <w:pPr>
        <w:spacing w:after="240" w:before="0"/>
      </w:pPr>
      <w:r>
        <w:t xml:space="preserve">Matrikelnummer: ________________</w:t>
      </w:r>
    </w:p>
    <w:p>
      <w:pPr>
        <w:spacing w:after="120" w:before="0"/>
      </w:pPr>
      <w:r>
        <w:rPr>
          <w:b/>
          <w:bCs/>
        </w:rPr>
        <w:t xml:space="preserve">Zulässige Hilfsmittel: </w:t>
      </w:r>
      <w:r>
        <w:t xml:space="preserve">Unkommentierte Gesetzestexte – zulässig sind Unterstreichungen, farbige Markierungen, Querverweise auf andere §§ und Fähnchen zum schnelleren Auffinden einzelner Vorschriften, die nur §§-Ziffern und die Wiederholung von Gesetzestext enthalten dürfen.</w:t>
      </w:r>
    </w:p>
    <w:p>
      <w:pPr>
        <w:spacing w:after="120" w:before="0"/>
      </w:pPr>
      <w:r>
        <w:rPr>
          <w:b/>
          <w:bCs/>
        </w:rPr>
        <w:t xml:space="preserve">Hinweis zur verbindlichen Teilnahme: </w:t>
      </w:r>
      <w:r>
        <w:t xml:space="preserve">Mit dem Antritt zur Klausur erklären Sie Ihre verbindliche Teilnahme und dass Sie gesundheitlich in der Lage sind, den Leistungsnachweis abzulegen.</w:t>
      </w:r>
    </w:p>
    <w:p>
      <w:pPr>
        <w:spacing w:after="120" w:before="0"/>
      </w:pPr>
      <w:r>
        <w:rPr>
          <w:b/>
          <w:bCs/>
        </w:rPr>
        <w:t xml:space="preserve">Bearbeitungshinweise: </w:t>
      </w:r>
      <w:r>
        <w:t xml:space="preserve">Schreiben Sie Ihre Antworten direkt unter die jeweilige Aufgabe. Die Punktzahl jeder Aufgabe entspricht ungefähr der empfohlenen Bearbeitungszeit in Minuten. In den Aufgaben 1 bis 3 genügen Stichworte und Paragraphen; ganze Sätze sind nur in Aufgabe 4 verlangt.</w:t>
      </w:r>
    </w:p>
    <w:p>
      <w:pPr>
        <w:spacing w:after="120" w:before="0"/>
      </w:pPr>
      <w:r>
        <w:t xml:space="preserve"/>
      </w:r>
    </w:p>
    <w:p>
      <w:pPr>
        <w:spacing w:after="120" w:before="0"/>
      </w:pPr>
      <w:r>
        <w:rPr>
          <w:b/>
          <w:bCs/>
        </w:rPr>
        <w:t xml:space="preserve">Nur vom Prüfer auszufüllen: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</w:tblGrid>
      <w:tr>
        <w:trPr>
          <w:cantSplit/>
          <w:tblHeader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Aufgabe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max. Punkte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erreicht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Richtig oder falsch?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Kurzfragen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 Kurzfälle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 Gutachten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Summe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60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40"/>
      </w:pPr>
      <w:r>
        <w:t xml:space="preserve">Aufgabe 1: Richtig oder falsch? (10 Punkte)</w:t>
      </w:r>
    </w:p>
    <w:p>
      <w:pPr>
        <w:spacing w:after="120" w:before="0"/>
      </w:pPr>
      <w:r>
        <w:rPr>
          <w:i/>
          <w:iCs/>
        </w:rPr>
        <w:t xml:space="preserve">Kreuzen Sie pro Aussage genau ein Feld an. Jede richtige Antwort gibt 1 Punkt. Falsche oder fehlende Kreuze geben 0 Punkte; es gibt keinen Punktabzug.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300"/>
        <w:gridCol w:w="600"/>
        <w:gridCol w:w="600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Nr.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Aussage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Das BGB gehört zum Privatrecht.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§ 433 Abs. 2 BGB ist eine Anspruchsgrundlage.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Ist der Kaufvertrag nichtig, ist wegen des Abstraktionsprinzips auch die Übereignung der Kaufsache automatisch nichtig.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Eine Willenserklärung unter Abwesenden wird erst wirksam, wenn der Empfänger sie tatsächlich zur Kenntnis nimmt.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Die Warenauslage mit Preisschild im Schaufenster ist regelmäßig eine invitatio ad offerendum.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Eine Annahme unter Erweiterungen, Einschränkungen oder sonstigen Änderungen gilt als Ablehnung, verbunden mit einem neuen Antrag.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Ist eine einzelne AGB-Klausel unwirksam, ist der gesamte Vertrag unwirksam.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Ein Sechsjähriger ist geschäftsunfähig.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Ein wirksam angefochtenes Rechtsgeschäft ist erst ab dem Zeitpunkt der Anfechtung nichtig.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Ein Rechtsgeschäft, das gegen die guten Sitten verstößt, ist nichtig.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☐</w:t>
            </w:r>
          </w:p>
        </w:tc>
      </w:tr>
    </w:tbl>
    <w:p>
      <w:pPr>
        <w:pStyle w:val="Heading2"/>
        <w:keepNext/>
        <w:spacing w:after="120" w:before="240"/>
      </w:pPr>
      <w:r>
        <w:t xml:space="preserve">Aufgabe 2: Kurzfragen (10 Punkte)</w:t>
      </w:r>
    </w:p>
    <w:p>
      <w:pPr>
        <w:keepNext/>
        <w:spacing w:after="120" w:before="0"/>
      </w:pPr>
      <w:r>
        <w:rPr>
          <w:b/>
          <w:bCs/>
        </w:rPr>
        <w:t xml:space="preserve">a. </w:t>
      </w:r>
      <w:r>
        <w:t xml:space="preserve">Definieren Sie den Begriff „Anspruch“ und nennen Sie die Norm, in der er definiert ist.</w:t>
      </w:r>
      <w:r>
        <w:rPr>
          <w:i/>
          <w:iCs/>
        </w:rPr>
        <w:t xml:space="preserve"> (2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b. </w:t>
      </w:r>
      <w:r>
        <w:t xml:space="preserve">Nennen Sie die drei Prüfungsebenen der Anspruchsprüfung.</w:t>
      </w:r>
      <w:r>
        <w:rPr>
          <w:i/>
          <w:iCs/>
        </w:rPr>
        <w:t xml:space="preserve"> (3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c. </w:t>
      </w:r>
      <w:r>
        <w:t xml:space="preserve">Nennen Sie die drei Bestandteile des subjektiven Tatbestands einer Willenserklärung.</w:t>
      </w:r>
      <w:r>
        <w:rPr>
          <w:i/>
          <w:iCs/>
        </w:rPr>
        <w:t xml:space="preserve"> (3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d. </w:t>
      </w:r>
      <w:r>
        <w:t xml:space="preserve">In welchen Paragraphen des BGB sind „Verbraucher“ und „Unternehmer“ definiert?</w:t>
      </w:r>
      <w:r>
        <w:rPr>
          <w:i/>
          <w:iCs/>
        </w:rPr>
        <w:t xml:space="preserve"> (2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r>
        <w:br w:type="page"/>
      </w:r>
    </w:p>
    <w:p>
      <w:pPr>
        <w:pStyle w:val="Heading2"/>
        <w:keepNext/>
        <w:spacing w:after="120" w:before="240"/>
      </w:pPr>
      <w:r>
        <w:t xml:space="preserve">Aufgabe 3: Kurzfälle (20 Punkte)</w:t>
      </w:r>
    </w:p>
    <w:p>
      <w:pPr>
        <w:spacing w:after="120" w:before="0"/>
      </w:pPr>
      <w:r>
        <w:rPr>
          <w:i/>
          <w:iCs/>
        </w:rPr>
        <w:t xml:space="preserve">Antworten Sie in Stichworten unter Nennung der Paragraphen.</w:t>
      </w:r>
    </w:p>
    <w:p>
      <w:pPr>
        <w:keepNext/>
        <w:spacing w:after="120" w:before="0"/>
      </w:pPr>
      <w:r>
        <w:rPr>
          <w:b/>
          <w:bCs/>
        </w:rPr>
        <w:t xml:space="preserve">a. </w:t>
      </w:r>
      <w:r>
        <w:t xml:space="preserve">Die Studentin S bestellt am Montag, 01.02.2027, in einem Onlineshop des Händlers H (Unternehmer) neue Kopfhörer. Sie wird ordnungsgemäß über ihr Widerrufsrecht belehrt. Die Kopfhörer werden ihr am Donnerstag, 04.02.2027, geliefert.</w:t>
      </w:r>
    </w:p>
    <w:p>
      <w:pPr>
        <w:keepNext/>
        <w:spacing w:after="120" w:before="0"/>
      </w:pPr>
      <w:r>
        <w:rPr>
          <w:b/>
          <w:bCs/>
        </w:rPr>
        <w:t xml:space="preserve">Wann beginnt die Widerrufsfrist? Nennen Sie das maßgebliche Ereignis und die Paragraphen.</w:t>
      </w:r>
      <w:r>
        <w:rPr>
          <w:i/>
          <w:iCs/>
        </w:rPr>
        <w:t xml:space="preserve"> (3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Wann endet die Widerrufsfrist? Nennen Sie das Datum und die Paragraphen.</w:t>
      </w:r>
      <w:r>
        <w:rPr>
          <w:i/>
          <w:iCs/>
        </w:rPr>
        <w:t xml:space="preserve"> (3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b. </w:t>
      </w:r>
      <w:r>
        <w:t xml:space="preserve">Der 22-jährige A bestellt ohne Wissen seiner Mitbewohnerin B und ausdrücklich in deren Namen beim Getränkehändler L eine Kiste Wein für 120 €. L weiß nicht, dass B nichts von der Bestellung weiß. Als L die Rechnung an B schickt, erklärt B, sie habe nichts bestellt und werde auch nichts bezahlen.</w:t>
      </w:r>
    </w:p>
    <w:p>
      <w:pPr>
        <w:keepNext/>
        <w:spacing w:after="120" w:before="0"/>
      </w:pPr>
      <w:r>
        <w:rPr>
          <w:b/>
          <w:bCs/>
        </w:rPr>
        <w:t xml:space="preserve">Von wem kann L Zahlung verlangen? (Stichworte und Paragraphen)</w:t>
      </w:r>
      <w:r>
        <w:rPr>
          <w:i/>
          <w:iCs/>
        </w:rPr>
        <w:t xml:space="preserve"> (5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c. </w:t>
      </w:r>
      <w:r>
        <w:t xml:space="preserve">Die 15-jährige M kauft ohne Wissen ihrer Eltern im Elektromarkt eine Spielkonsole für 450 €. Sie vereinbart mit dem Markt Ratenzahlung in neun Monatsraten zu je 50 €. Als die Eltern davon erfahren, erklären sie gegenüber dem Markt, dass sie mit dem Kauf nicht einverstanden sind.</w:t>
      </w:r>
    </w:p>
    <w:p>
      <w:pPr>
        <w:keepNext/>
        <w:spacing w:after="120" w:before="0"/>
      </w:pPr>
      <w:r>
        <w:rPr>
          <w:b/>
          <w:bCs/>
        </w:rPr>
        <w:t xml:space="preserve">Ist der Kaufvertrag wirksam? (Stichworte und Paragraphen)</w:t>
      </w:r>
      <w:r>
        <w:rPr>
          <w:i/>
          <w:iCs/>
        </w:rPr>
        <w:t xml:space="preserve"> (5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keepNext/>
        <w:spacing w:after="120" w:before="0"/>
      </w:pPr>
      <w:r>
        <w:rPr>
          <w:b/>
          <w:bCs/>
        </w:rPr>
        <w:t xml:space="preserve">d. </w:t>
      </w:r>
      <w:r>
        <w:t xml:space="preserve">K kauft im Ladengeschäft des Händlers H einen Laptop, bezahlt und nimmt ihn mit. Im Laden gibt es keinen Hinweis auf Allgemeine Geschäftsbedingungen. Eine Woche später schickt H die Rechnung per Post. Auf deren Rückseite stehen die AGB des H, die H für alle seine Verkäufe verwendet. Darin heißt es: „Reparaturkosten trägt in jedem Fall der Käufer.“</w:t>
      </w:r>
    </w:p>
    <w:p>
      <w:pPr>
        <w:keepNext/>
        <w:spacing w:after="120" w:before="0"/>
      </w:pPr>
      <w:r>
        <w:rPr>
          <w:b/>
          <w:bCs/>
        </w:rPr>
        <w:t xml:space="preserve">Ist die Klausel Bestandteil des Kaufvertrags geworden? Was gilt stattdessen? (Stichworte und Paragraphen)</w:t>
      </w:r>
      <w:r>
        <w:rPr>
          <w:i/>
          <w:iCs/>
        </w:rPr>
        <w:t xml:space="preserve"> (4 P.)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r>
        <w:br w:type="page"/>
      </w:r>
    </w:p>
    <w:p>
      <w:pPr>
        <w:pStyle w:val="Heading2"/>
        <w:keepNext/>
        <w:spacing w:after="120" w:before="240"/>
      </w:pPr>
      <w:r>
        <w:t xml:space="preserve">Aufgabe 4: Falllösung im Gutachten (20 Punkte)</w:t>
      </w:r>
    </w:p>
    <w:p>
      <w:pPr>
        <w:spacing w:after="120" w:before="0"/>
      </w:pPr>
      <w:r>
        <w:rPr>
          <w:b/>
          <w:bCs/>
        </w:rPr>
        <w:t xml:space="preserve">Sachverhalt:</w:t>
      </w:r>
    </w:p>
    <w:p>
      <w:pPr>
        <w:spacing w:after="120" w:before="0"/>
      </w:pPr>
      <w:r>
        <w:t xml:space="preserve">V ist Privatperson und will sein gebrauchtes E-Bike verkaufen. Am Montag schreibt er seinem Bekannten K eine E-Mail: „Ich verkaufe dir mein E-Bike für 1.100 €. Gib mir bis Freitag Bescheid.“ Dabei hat sich V vertippt: Er wollte 1.900 € schreiben. Ein Preis von 1.100 € ist für ein solches Rad nicht ungewöhnlich, sodass K keinen Anlass hat, an der Angabe zu zweifeln.</w:t>
      </w:r>
    </w:p>
    <w:p>
      <w:pPr>
        <w:spacing w:after="120" w:before="0"/>
      </w:pPr>
      <w:r>
        <w:t xml:space="preserve">K antwortet am Mittwochmittag per E-Mail: „Einverstanden, ich nehme das E-Bike für 1.100 €.“ V liest die E-Mail am Mittwochabend und bemerkt dabei seinen Tippfehler. Am Donnerstagmorgen schreibt er K: „Ich habe mich vertippt, gemeint waren 1.900 €. Ich fechte meine Erklärung an.“</w:t>
      </w:r>
    </w:p>
    <w:p>
      <w:pPr>
        <w:spacing w:after="120" w:before="120"/>
      </w:pPr>
      <w:r>
        <w:rPr>
          <w:b/>
          <w:bCs/>
        </w:rPr>
        <w:t xml:space="preserve">Fallfrage: </w:t>
      </w:r>
      <w:r>
        <w:t xml:space="preserve">Kann K von V Übergabe und Übereignung des E-Bikes gegen Zahlung von 1.100 € verlangen?</w:t>
      </w:r>
    </w:p>
    <w:p>
      <w:pPr>
        <w:spacing w:after="120" w:before="0"/>
      </w:pPr>
      <w:r>
        <w:rPr>
          <w:b/>
          <w:bCs/>
        </w:rPr>
        <w:t xml:space="preserve">Bearbeitervermerk: </w:t>
      </w:r>
      <w:r>
        <w:t xml:space="preserve">Zur Fallfrage ist gutachterlich Stellung zu nehmen. Das Gutachten ist in ganzen Sätzen und unter Nennung der einschlägigen Paragraphen zu fertigen. Ansprüche des K auf Ersatz eines Vertrauensschadens sind nicht zu prüfen.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r>
        <w:br w:type="page"/>
      </w:r>
    </w:p>
    <w:p>
      <w:pPr>
        <w:spacing w:after="120" w:before="0"/>
      </w:pPr>
      <w:r>
        <w:rPr>
          <w:b/>
          <w:bCs/>
        </w:rPr>
        <w:t xml:space="preserve">Fortsetzung Aufgabe 4:</w:t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2026-09-27T17:56:00.756Z</dcterms:created>
  <dcterms:modified xsi:type="dcterms:W3CDTF">2026-09-27T17:56:00.756Z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